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2169967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וארבע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A" w14:textId="7EB58FE7" w:rsidR="00E13C27" w:rsidRPr="00CF1AA2" w:rsidRDefault="008F6665" w:rsidP="00007206">
      <w:pPr>
        <w:pStyle w:val="David"/>
        <w:ind w:left="3544"/>
        <w:rPr>
          <w:b/>
          <w:bCs/>
          <w:sz w:val="16"/>
          <w:szCs w:val="16"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ולדימיר בליאק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מירב בן ארי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יוראי להב הרצנו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סימון דוידסון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נעמה לזימי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ענבר בזק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טטיאנה מזרסקי</w:t>
      </w:r>
      <w:bookmarkStart w:id="4" w:name="LGS_Join_List"/>
      <w:bookmarkEnd w:id="3"/>
      <w:r w:rsidR="007D585A"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 w:rsidR="007D585A"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56639C" w:rsidR="00E13C27" w:rsidRPr="00E06736" w:rsidRDefault="00904591" w:rsidP="00007206">
      <w:pPr>
        <w:pStyle w:val="David"/>
        <w:spacing w:line="240" w:lineRule="auto"/>
        <w:ind w:left="6424" w:firstLine="56"/>
        <w:rPr>
          <w:rtl/>
        </w:rPr>
      </w:pPr>
      <w:bookmarkStart w:id="6" w:name="Private_Number"/>
      <w:r>
        <w:rPr>
          <w:rFonts w:hint="cs"/>
          <w:rtl/>
        </w:rPr>
        <w:t>פ/3390/24</w:t>
      </w:r>
      <w:bookmarkEnd w:id="6"/>
    </w:p>
    <w:p w14:paraId="7F6961AD" w14:textId="77777777" w:rsidR="00E13C27" w:rsidRPr="00F67051" w:rsidRDefault="00A443CF" w:rsidP="0021633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החברות (תיקון – פרסום דוחות כספיים של מונופול), התשפ"ב–2022</w:t>
      </w:r>
      <w:bookmarkEnd w:id="7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39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624"/>
        <w:gridCol w:w="7143"/>
      </w:tblGrid>
      <w:tr w:rsidR="0004480F" w14:paraId="0F0C659A" w14:textId="77777777" w:rsidTr="00007206">
        <w:trPr>
          <w:cantSplit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7F54171" w14:textId="77777777" w:rsidR="0004480F" w:rsidRDefault="0004480F" w:rsidP="00465900">
            <w:pPr>
              <w:pStyle w:val="TableSideHeading"/>
              <w:keepLines w:val="0"/>
            </w:pPr>
            <w:r>
              <w:rPr>
                <w:sz w:val="26"/>
                <w:rtl/>
              </w:rPr>
              <w:t>תיקון סעיף 172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06DC54F6" w14:textId="77777777" w:rsidR="0004480F" w:rsidRDefault="0004480F" w:rsidP="00465900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DB40ABA" w14:textId="77777777" w:rsidR="0004480F" w:rsidRDefault="0004480F" w:rsidP="00007206">
            <w:pPr>
              <w:pStyle w:val="TableBlock"/>
              <w:rPr>
                <w:sz w:val="26"/>
              </w:rPr>
            </w:pPr>
            <w:r>
              <w:rPr>
                <w:sz w:val="26"/>
                <w:rtl/>
              </w:rPr>
              <w:t>בחוק החברות, התשנ"ט–1999</w:t>
            </w:r>
            <w:r w:rsidRPr="00007206">
              <w:rPr>
                <w:rStyle w:val="a6"/>
                <w:rFonts w:ascii="David" w:hAnsi="David"/>
                <w:sz w:val="26"/>
                <w:rtl/>
              </w:rPr>
              <w:footnoteReference w:id="2"/>
            </w:r>
            <w:r>
              <w:rPr>
                <w:sz w:val="26"/>
                <w:rtl/>
              </w:rPr>
              <w:t>, בסעיף 172, בסופו יבוא:</w:t>
            </w:r>
          </w:p>
        </w:tc>
      </w:tr>
      <w:tr w:rsidR="0004480F" w14:paraId="6144989A" w14:textId="77777777" w:rsidTr="00007206">
        <w:trPr>
          <w:cantSplit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9A28B3A" w14:textId="77777777" w:rsidR="0004480F" w:rsidRDefault="0004480F" w:rsidP="00465900">
            <w:pPr>
              <w:pStyle w:val="TableSideHeading"/>
              <w:keepLines w:val="0"/>
              <w:rPr>
                <w:sz w:val="2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1BC41873" w14:textId="77777777" w:rsidR="0004480F" w:rsidRDefault="0004480F" w:rsidP="00465900">
            <w:pPr>
              <w:pStyle w:val="TableText"/>
            </w:pP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CEAA83A" w14:textId="77777777" w:rsidR="0004480F" w:rsidRDefault="0004480F" w:rsidP="00007206">
            <w:pPr>
              <w:pStyle w:val="TableBlock"/>
              <w:tabs>
                <w:tab w:val="left" w:pos="624"/>
                <w:tab w:val="left" w:pos="1247"/>
              </w:tabs>
              <w:rPr>
                <w:sz w:val="26"/>
              </w:rPr>
            </w:pPr>
            <w:r>
              <w:rPr>
                <w:sz w:val="26"/>
                <w:rtl/>
              </w:rPr>
              <w:t>"(ח)</w:t>
            </w:r>
            <w:r>
              <w:rPr>
                <w:sz w:val="26"/>
                <w:rtl/>
              </w:rPr>
              <w:tab/>
              <w:t>דוחות של חברה שאינה תאגיד מדווח שהיא בעל מונופולין, כמשמעותו בסעיף 26 לחוק ההגבלים העסקיים, התשמ"ח–1988</w:t>
            </w:r>
            <w:r w:rsidRPr="00007206">
              <w:rPr>
                <w:rStyle w:val="a6"/>
                <w:rFonts w:ascii="David" w:hAnsi="David"/>
                <w:sz w:val="26"/>
                <w:rtl/>
              </w:rPr>
              <w:footnoteReference w:id="3"/>
            </w:r>
            <w:r>
              <w:rPr>
                <w:sz w:val="26"/>
                <w:rtl/>
              </w:rPr>
              <w:t xml:space="preserve">, יפורסמו לציבור; לעניין סעיף זה, "פרסום לציבור" – </w:t>
            </w:r>
            <w:r>
              <w:rPr>
                <w:rFonts w:hint="cs"/>
                <w:sz w:val="26"/>
                <w:rtl/>
              </w:rPr>
              <w:t>פרסום באתר האינטרנט של החברה ומתן הודעה על פרסום כאמור בדרך המפורטת</w:t>
            </w:r>
            <w:r>
              <w:rPr>
                <w:sz w:val="26"/>
                <w:rtl/>
              </w:rPr>
              <w:t xml:space="preserve"> בסעיף 55ב לחוק ניירות ערך, התשכ"ח–1968</w:t>
            </w:r>
            <w:r w:rsidRPr="00007206">
              <w:rPr>
                <w:rStyle w:val="a6"/>
                <w:rFonts w:ascii="David" w:hAnsi="David"/>
                <w:sz w:val="26"/>
                <w:rtl/>
              </w:rPr>
              <w:footnoteReference w:id="4"/>
            </w:r>
            <w:r>
              <w:rPr>
                <w:sz w:val="26"/>
                <w:rtl/>
              </w:rPr>
              <w:t>."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32C5B49A" w14:textId="77777777" w:rsidR="0004480F" w:rsidRPr="00B30596" w:rsidRDefault="0004480F" w:rsidP="00B30596">
      <w:pPr>
        <w:pStyle w:val="Hesber"/>
        <w:rPr>
          <w:rtl/>
        </w:rPr>
      </w:pPr>
      <w:r w:rsidRPr="00B30596">
        <w:rPr>
          <w:rFonts w:hint="cs"/>
          <w:rtl/>
        </w:rPr>
        <w:t>בימים אלו אנו חווים גל התייקרויות בקרב ענפים שונים במשק הישראלי, כגון ענף המזון, דלק, דיור ועוד. כמו כן אנו עדים לכך ש</w:t>
      </w:r>
      <w:r w:rsidRPr="00B30596">
        <w:rPr>
          <w:rtl/>
        </w:rPr>
        <w:t xml:space="preserve">חברות </w:t>
      </w:r>
      <w:r w:rsidRPr="00B30596">
        <w:rPr>
          <w:rFonts w:hint="cs"/>
          <w:rtl/>
        </w:rPr>
        <w:t>בעלות מונופול</w:t>
      </w:r>
      <w:r w:rsidRPr="00B30596">
        <w:rPr>
          <w:rtl/>
        </w:rPr>
        <w:t xml:space="preserve"> בישראל </w:t>
      </w:r>
      <w:r w:rsidRPr="00B30596">
        <w:rPr>
          <w:rFonts w:hint="cs"/>
          <w:rtl/>
        </w:rPr>
        <w:t>משתמשות</w:t>
      </w:r>
      <w:r w:rsidRPr="00B30596">
        <w:rPr>
          <w:rtl/>
        </w:rPr>
        <w:t xml:space="preserve"> בכוחן</w:t>
      </w:r>
      <w:r w:rsidRPr="00B30596">
        <w:rPr>
          <w:rFonts w:hint="cs"/>
          <w:rtl/>
        </w:rPr>
        <w:t xml:space="preserve"> על מנת </w:t>
      </w:r>
      <w:r w:rsidRPr="00B30596">
        <w:rPr>
          <w:rtl/>
        </w:rPr>
        <w:t xml:space="preserve">להפקיע מחירים ולנקוט דרכי פעולה עסקיות פסולות </w:t>
      </w:r>
      <w:r w:rsidRPr="00B30596">
        <w:rPr>
          <w:rFonts w:hint="cs"/>
          <w:rtl/>
        </w:rPr>
        <w:t>כדי</w:t>
      </w:r>
      <w:r w:rsidRPr="00B30596">
        <w:rPr>
          <w:rtl/>
        </w:rPr>
        <w:t xml:space="preserve"> להגדיל את רווחיהן על חשבון ציבור הצרכנים בישראל ועל חשבון המתחרים הקטנים בענפים שבהם הן פועלות.</w:t>
      </w:r>
      <w:r w:rsidRPr="00B30596">
        <w:rPr>
          <w:rFonts w:hint="cs"/>
          <w:rtl/>
        </w:rPr>
        <w:t xml:space="preserve"> בשוק מונופוליסטי בכוחו של בעל המונופולין להפחית את כמות המוצרים המוצעים בשוק, להביא להעלאת מחיריהם או לפגום באיכותם של המוצרים.</w:t>
      </w:r>
    </w:p>
    <w:p w14:paraId="65AE524F" w14:textId="77777777" w:rsidR="0004480F" w:rsidRPr="00B30596" w:rsidRDefault="0004480F" w:rsidP="00B30596">
      <w:pPr>
        <w:pStyle w:val="Hesber"/>
        <w:rPr>
          <w:rtl/>
        </w:rPr>
      </w:pPr>
      <w:r w:rsidRPr="00B30596">
        <w:rPr>
          <w:rFonts w:hint="cs"/>
          <w:rtl/>
        </w:rPr>
        <w:t xml:space="preserve">המשק בישראל מתאפיין בריכוזיות על ענפית יתרה בהשוואה לשווקים אחרים בעולם. </w:t>
      </w:r>
      <w:r w:rsidRPr="00B30596">
        <w:rPr>
          <w:rtl/>
        </w:rPr>
        <w:br/>
        <w:t xml:space="preserve">חלק מהחברות המונופוליסטיות בישראל אינן נסחרות בבורסה ועל כן אינן נדרשות לפרסם לציבור את </w:t>
      </w:r>
      <w:r w:rsidRPr="00B30596">
        <w:rPr>
          <w:rtl/>
        </w:rPr>
        <w:lastRenderedPageBreak/>
        <w:t>הדוחות הכספיים שלהן. ואולם</w:t>
      </w:r>
      <w:r w:rsidRPr="00B30596">
        <w:rPr>
          <w:rFonts w:hint="cs"/>
          <w:rtl/>
        </w:rPr>
        <w:t xml:space="preserve">, עצם היותה של חברה מונופוליסטית השולטת בנתח שוק מצדיקה את חובת פרסום הדוחות הכספיים שלה לציבור כחלק משמירה על האינטרס הציבורי. </w:t>
      </w:r>
      <w:r w:rsidRPr="00B30596">
        <w:rPr>
          <w:rtl/>
        </w:rPr>
        <w:t>פרסום כזה יאפשר לציבור ולתקשורת לבקר את התנהלותו הפיננסית ואת התנהגותו העסקית של המונופול, ובכך יקשה על קיום התנהלות הפוגעת באינטרס הצרכני והציבורי.</w:t>
      </w:r>
    </w:p>
    <w:p w14:paraId="6B987CC9" w14:textId="77777777" w:rsidR="0004480F" w:rsidRPr="00B30596" w:rsidRDefault="0004480F" w:rsidP="00B30596">
      <w:pPr>
        <w:pStyle w:val="Hesber"/>
        <w:rPr>
          <w:rtl/>
        </w:rPr>
      </w:pPr>
      <w:r w:rsidRPr="00B30596">
        <w:rPr>
          <w:rtl/>
        </w:rPr>
        <w:t>לפיכך מוצע בהצעת חוק זו לחייב, במסגרת חוק החברות,</w:t>
      </w:r>
      <w:r w:rsidRPr="00B30596">
        <w:rPr>
          <w:rFonts w:hint="cs"/>
          <w:rtl/>
        </w:rPr>
        <w:t xml:space="preserve"> התשנ"ט</w:t>
      </w:r>
      <w:r w:rsidRPr="00B30596">
        <w:rPr>
          <w:rtl/>
        </w:rPr>
        <w:t>–</w:t>
      </w:r>
      <w:r w:rsidRPr="00B30596">
        <w:rPr>
          <w:rFonts w:hint="cs"/>
          <w:rtl/>
        </w:rPr>
        <w:t>1999,</w:t>
      </w:r>
      <w:r w:rsidRPr="00B30596">
        <w:rPr>
          <w:rtl/>
        </w:rPr>
        <w:t xml:space="preserve"> חברה שהיא בעלת מונופולין כמשמעות הדבר בחוק ההגבלים העסקיים, </w:t>
      </w:r>
      <w:r w:rsidRPr="00B30596">
        <w:rPr>
          <w:rFonts w:hint="cs"/>
          <w:rtl/>
        </w:rPr>
        <w:t>התשמ"ח</w:t>
      </w:r>
      <w:r w:rsidRPr="00B30596">
        <w:rPr>
          <w:rtl/>
        </w:rPr>
        <w:t>–</w:t>
      </w:r>
      <w:r w:rsidRPr="00B30596">
        <w:rPr>
          <w:rFonts w:hint="cs"/>
          <w:rtl/>
        </w:rPr>
        <w:t xml:space="preserve">1988, </w:t>
      </w:r>
      <w:r w:rsidRPr="00B30596">
        <w:rPr>
          <w:rtl/>
        </w:rPr>
        <w:t xml:space="preserve">לפרסם את הדוחות הכספיים שלה לציבור. פרסום כאמור יבוצע </w:t>
      </w:r>
      <w:r w:rsidRPr="00B30596">
        <w:rPr>
          <w:rFonts w:hint="cs"/>
          <w:rtl/>
        </w:rPr>
        <w:t>באתר האינטרנט של החברה ותינתן על כך הודעה בעיתון בדרך המפורטת ב</w:t>
      </w:r>
      <w:r w:rsidRPr="00B30596">
        <w:rPr>
          <w:rtl/>
        </w:rPr>
        <w:t>חוק ניירות</w:t>
      </w:r>
      <w:r w:rsidRPr="00B30596">
        <w:rPr>
          <w:rFonts w:hint="cs"/>
          <w:rtl/>
        </w:rPr>
        <w:t xml:space="preserve"> ערך, התשכ"ח</w:t>
      </w:r>
      <w:r w:rsidRPr="00B30596">
        <w:rPr>
          <w:rtl/>
        </w:rPr>
        <w:t>–</w:t>
      </w:r>
      <w:r w:rsidRPr="00B30596">
        <w:rPr>
          <w:rFonts w:hint="cs"/>
          <w:rtl/>
        </w:rPr>
        <w:t>1968</w:t>
      </w:r>
      <w:r w:rsidRPr="00B30596">
        <w:rPr>
          <w:rtl/>
        </w:rPr>
        <w:t xml:space="preserve">. </w:t>
      </w:r>
    </w:p>
    <w:p w14:paraId="53F80DED" w14:textId="77777777" w:rsidR="0004480F" w:rsidRPr="00B30596" w:rsidRDefault="0004480F" w:rsidP="00B30596">
      <w:pPr>
        <w:pStyle w:val="Hesber"/>
        <w:rPr>
          <w:rtl/>
        </w:rPr>
      </w:pPr>
      <w:r w:rsidRPr="00B30596">
        <w:rPr>
          <w:rtl/>
        </w:rPr>
        <w:t>הצע</w:t>
      </w:r>
      <w:r w:rsidRPr="00B30596">
        <w:rPr>
          <w:rFonts w:hint="cs"/>
          <w:rtl/>
        </w:rPr>
        <w:t>ו</w:t>
      </w:r>
      <w:r w:rsidRPr="00B30596">
        <w:rPr>
          <w:rtl/>
        </w:rPr>
        <w:t>ת חוק דומ</w:t>
      </w:r>
      <w:r w:rsidRPr="00B30596">
        <w:rPr>
          <w:rFonts w:hint="cs"/>
          <w:rtl/>
        </w:rPr>
        <w:t>ות</w:t>
      </w:r>
      <w:r w:rsidRPr="00B30596">
        <w:rPr>
          <w:rtl/>
        </w:rPr>
        <w:t xml:space="preserve"> בעיקר</w:t>
      </w:r>
      <w:r w:rsidRPr="00B30596">
        <w:rPr>
          <w:rFonts w:hint="cs"/>
          <w:rtl/>
        </w:rPr>
        <w:t>ן</w:t>
      </w:r>
      <w:r w:rsidRPr="00B30596">
        <w:rPr>
          <w:rtl/>
        </w:rPr>
        <w:t xml:space="preserve"> הונח</w:t>
      </w:r>
      <w:r w:rsidRPr="00B30596">
        <w:rPr>
          <w:rFonts w:hint="cs"/>
          <w:rtl/>
        </w:rPr>
        <w:t>ו</w:t>
      </w:r>
      <w:r w:rsidRPr="00B30596">
        <w:rPr>
          <w:rtl/>
        </w:rPr>
        <w:t xml:space="preserve"> על שולחן הכנסת השמונה-עשרה על ידי חברת הכנסת זהבה גלאון וחבר הכנסת יצחק וקנין (פ/3800/18) ועל שולחן הכנסת התשע-עשרה על ידי חברת הכנסת זהבה גלאון וקבוצת חברי הכנסת (</w:t>
      </w:r>
      <w:bookmarkStart w:id="8" w:name="LawNum"/>
      <w:r w:rsidRPr="00B30596">
        <w:rPr>
          <w:rtl/>
        </w:rPr>
        <w:t>פ/323/19</w:t>
      </w:r>
      <w:bookmarkEnd w:id="8"/>
      <w:r w:rsidRPr="00B30596">
        <w:rPr>
          <w:rtl/>
        </w:rPr>
        <w:t>).</w:t>
      </w:r>
    </w:p>
    <w:p w14:paraId="6E3B0DF1" w14:textId="3BB949C0" w:rsidR="0004480F" w:rsidRPr="00B30596" w:rsidRDefault="0004480F" w:rsidP="00E573B8">
      <w:pPr>
        <w:pStyle w:val="Hesber"/>
        <w:rPr>
          <w:rtl/>
        </w:rPr>
      </w:pPr>
      <w:r w:rsidRPr="00B30596">
        <w:rPr>
          <w:rFonts w:hint="cs"/>
          <w:rtl/>
        </w:rPr>
        <w:t>הצע</w:t>
      </w:r>
      <w:r w:rsidR="00B30596">
        <w:rPr>
          <w:rFonts w:hint="cs"/>
          <w:rtl/>
        </w:rPr>
        <w:t>ות חוק זהות</w:t>
      </w:r>
      <w:r w:rsidRPr="00B30596">
        <w:rPr>
          <w:rFonts w:hint="cs"/>
          <w:rtl/>
        </w:rPr>
        <w:t xml:space="preserve"> הונח</w:t>
      </w:r>
      <w:r w:rsidR="00E573B8">
        <w:rPr>
          <w:rFonts w:hint="cs"/>
          <w:rtl/>
        </w:rPr>
        <w:t>ו</w:t>
      </w:r>
      <w:r w:rsidRPr="00B30596">
        <w:rPr>
          <w:rFonts w:hint="cs"/>
          <w:rtl/>
        </w:rPr>
        <w:t xml:space="preserve"> על שולחן הכנסת העשרים על ידי חברת הכנסת זהבה גלאון וקבוצת חברי הכנסת (פ/1551/20) </w:t>
      </w:r>
      <w:r w:rsidR="00E573B8">
        <w:rPr>
          <w:rFonts w:hint="cs"/>
          <w:rtl/>
        </w:rPr>
        <w:t xml:space="preserve">ועל ידי </w:t>
      </w:r>
      <w:r w:rsidR="00007206">
        <w:rPr>
          <w:rFonts w:hint="cs"/>
          <w:rtl/>
        </w:rPr>
        <w:t>חבר</w:t>
      </w:r>
      <w:bookmarkStart w:id="9" w:name="_GoBack"/>
      <w:bookmarkEnd w:id="9"/>
      <w:r w:rsidR="008D2773">
        <w:rPr>
          <w:rFonts w:hint="cs"/>
          <w:rtl/>
        </w:rPr>
        <w:t xml:space="preserve"> הכנסת </w:t>
      </w:r>
      <w:r w:rsidR="00E573B8">
        <w:rPr>
          <w:rFonts w:hint="cs"/>
          <w:rtl/>
        </w:rPr>
        <w:t>רועי פולקמן וקבוצת חברי הכנסת</w:t>
      </w:r>
      <w:r w:rsidRPr="00B30596">
        <w:rPr>
          <w:rFonts w:hint="cs"/>
          <w:rtl/>
        </w:rPr>
        <w:t xml:space="preserve"> (פ/5973/20). </w:t>
      </w:r>
    </w:p>
    <w:p w14:paraId="6A92D660" w14:textId="77777777" w:rsidR="0004480F" w:rsidRDefault="0004480F" w:rsidP="0004480F">
      <w:pPr>
        <w:pStyle w:val="Hesber"/>
        <w:rPr>
          <w:sz w:val="26"/>
          <w:rtl/>
        </w:rPr>
      </w:pPr>
    </w:p>
    <w:p w14:paraId="7F6961CB" w14:textId="77777777" w:rsidR="00E13C27" w:rsidRPr="0004480F" w:rsidRDefault="00E13C27" w:rsidP="00E13C27">
      <w:pPr>
        <w:pStyle w:val="Hesber"/>
        <w:rPr>
          <w:rtl/>
        </w:rPr>
      </w:pPr>
    </w:p>
    <w:p w14:paraId="51A6ACF6" w14:textId="77777777" w:rsidR="002849E7" w:rsidRDefault="00007206">
      <w:pPr>
        <w:jc w:val="left"/>
      </w:pPr>
      <w:bookmarkStart w:id="10" w:name="selectedDocDateB"/>
      <w:bookmarkEnd w:id="10"/>
      <w:r>
        <w:rPr>
          <w:rFonts w:eastAsia="David" w:hint="cs"/>
          <w:sz w:val="26"/>
          <w:szCs w:val="26"/>
          <w:rtl/>
        </w:rPr>
        <w:t>--------------------------------</w:t>
      </w:r>
    </w:p>
    <w:p w14:paraId="02463143" w14:textId="77777777" w:rsidR="002849E7" w:rsidRDefault="00007206">
      <w:pPr>
        <w:jc w:val="left"/>
      </w:pPr>
      <w:r>
        <w:rPr>
          <w:rFonts w:eastAsia="David" w:hint="cs"/>
          <w:sz w:val="26"/>
          <w:szCs w:val="26"/>
          <w:rtl/>
        </w:rPr>
        <w:t>הוגשה ליו"ר הכנסת והסגנים</w:t>
      </w:r>
    </w:p>
    <w:p w14:paraId="59DC8D49" w14:textId="77777777" w:rsidR="002849E7" w:rsidRDefault="00007206">
      <w:pPr>
        <w:jc w:val="left"/>
      </w:pPr>
      <w:r>
        <w:rPr>
          <w:rFonts w:eastAsia="David" w:hint="cs"/>
          <w:sz w:val="26"/>
          <w:szCs w:val="26"/>
          <w:rtl/>
        </w:rPr>
        <w:t>והונחה על שולחן הכנסת ביום</w:t>
      </w:r>
    </w:p>
    <w:p w14:paraId="7D252154" w14:textId="77777777" w:rsidR="002849E7" w:rsidRDefault="00007206">
      <w:pPr>
        <w:jc w:val="left"/>
      </w:pPr>
      <w:r>
        <w:rPr>
          <w:rFonts w:eastAsia="David" w:hint="cs"/>
          <w:sz w:val="26"/>
          <w:szCs w:val="26"/>
          <w:rtl/>
        </w:rPr>
        <w:t xml:space="preserve">כ"ז באדר א' התשפ"ב (28.02.2022) </w:t>
      </w:r>
    </w:p>
    <w:p w14:paraId="6B26FC37" w14:textId="77777777" w:rsidR="002849E7" w:rsidRDefault="002849E7">
      <w:pPr>
        <w:spacing w:line="276" w:lineRule="auto"/>
        <w:jc w:val="left"/>
      </w:pPr>
    </w:p>
    <w:sectPr w:rsidR="002849E7" w:rsidSect="00007206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7" w14:textId="26AB6BC4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007206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674C0" w14:textId="77777777" w:rsidR="00D142D3" w:rsidRDefault="00D142D3" w:rsidP="00007206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1F9F3C7D" w14:textId="77777777" w:rsidR="0004480F" w:rsidRDefault="0004480F" w:rsidP="0004480F">
      <w:pPr>
        <w:pStyle w:val="a4"/>
      </w:pPr>
      <w:r>
        <w:rPr>
          <w:rStyle w:val="a6"/>
        </w:rPr>
        <w:footnoteRef/>
      </w:r>
      <w:r>
        <w:rPr>
          <w:sz w:val="20"/>
          <w:rtl/>
        </w:rPr>
        <w:t xml:space="preserve"> ס"ח התשנ"ט, עמ' 189. </w:t>
      </w:r>
    </w:p>
  </w:footnote>
  <w:footnote w:id="3">
    <w:p w14:paraId="3AE05A82" w14:textId="77777777" w:rsidR="0004480F" w:rsidRDefault="0004480F" w:rsidP="0004480F">
      <w:pPr>
        <w:pStyle w:val="a4"/>
      </w:pPr>
      <w:r>
        <w:rPr>
          <w:rStyle w:val="a6"/>
        </w:rPr>
        <w:footnoteRef/>
      </w:r>
      <w:r>
        <w:rPr>
          <w:sz w:val="20"/>
          <w:rtl/>
        </w:rPr>
        <w:t>ס"ח התשמ"ח, עמ' 128.</w:t>
      </w:r>
    </w:p>
  </w:footnote>
  <w:footnote w:id="4">
    <w:p w14:paraId="4BFCF190" w14:textId="77777777" w:rsidR="0004480F" w:rsidRDefault="0004480F" w:rsidP="0004480F">
      <w:pPr>
        <w:pStyle w:val="a4"/>
      </w:pPr>
      <w:r>
        <w:rPr>
          <w:rStyle w:val="a6"/>
        </w:rPr>
        <w:footnoteRef/>
      </w:r>
      <w:r>
        <w:rPr>
          <w:sz w:val="20"/>
          <w:rtl/>
        </w:rPr>
        <w:t xml:space="preserve"> ס"ח התשכ"ח, עמ' 234.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07206"/>
    <w:rsid w:val="00015B27"/>
    <w:rsid w:val="0004480F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849E7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D2773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0596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573B8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6D3076A0-A731-49D9-8A45-F33D4F89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206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07206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007206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007206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007206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07206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007206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007206"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007206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007206"/>
    <w:rPr>
      <w:sz w:val="36"/>
      <w:szCs w:val="52"/>
    </w:rPr>
  </w:style>
  <w:style w:type="paragraph" w:customStyle="1" w:styleId="Cover3-Haknesset">
    <w:name w:val="Cover 3-Haknesset"/>
    <w:basedOn w:val="Cover1-Reshumot"/>
    <w:rsid w:val="00007206"/>
    <w:rPr>
      <w:b/>
      <w:bCs/>
      <w:spacing w:val="60"/>
    </w:rPr>
  </w:style>
  <w:style w:type="paragraph" w:customStyle="1" w:styleId="Cover4-Date">
    <w:name w:val="Cover 4-Date"/>
    <w:basedOn w:val="a"/>
    <w:rsid w:val="00007206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007206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007206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007206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007206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007206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007206"/>
    <w:pPr>
      <w:outlineLvl w:val="2"/>
    </w:pPr>
  </w:style>
  <w:style w:type="paragraph" w:customStyle="1" w:styleId="TableBlock">
    <w:name w:val="Table Block"/>
    <w:basedOn w:val="TableText"/>
    <w:rsid w:val="00007206"/>
    <w:pPr>
      <w:jc w:val="both"/>
    </w:pPr>
  </w:style>
  <w:style w:type="paragraph" w:customStyle="1" w:styleId="TableHead">
    <w:name w:val="Table Head"/>
    <w:basedOn w:val="TableText"/>
    <w:rsid w:val="00007206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007206"/>
    <w:pPr>
      <w:outlineLvl w:val="9"/>
    </w:pPr>
  </w:style>
  <w:style w:type="paragraph" w:customStyle="1" w:styleId="Hesber">
    <w:name w:val="Hesber"/>
    <w:basedOn w:val="a"/>
    <w:rsid w:val="00007206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link w:val="a5"/>
    <w:autoRedefine/>
    <w:rsid w:val="00007206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6">
    <w:name w:val="footnote reference"/>
    <w:aliases w:val="Footnote Reference"/>
    <w:basedOn w:val="a0"/>
    <w:rsid w:val="00007206"/>
    <w:rPr>
      <w:vertAlign w:val="superscript"/>
    </w:rPr>
  </w:style>
  <w:style w:type="paragraph" w:customStyle="1" w:styleId="HesberHeading">
    <w:name w:val="Hesber Heading"/>
    <w:basedOn w:val="Hesber"/>
    <w:rsid w:val="00007206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007206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007206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007206"/>
    <w:rPr>
      <w:vertAlign w:val="superscript"/>
    </w:rPr>
  </w:style>
  <w:style w:type="paragraph" w:customStyle="1" w:styleId="TableBlockOutdent">
    <w:name w:val="Table BlockOutdent"/>
    <w:basedOn w:val="TableBlock"/>
    <w:rsid w:val="00007206"/>
    <w:pPr>
      <w:ind w:left="624" w:hanging="624"/>
    </w:pPr>
  </w:style>
  <w:style w:type="paragraph" w:styleId="a8">
    <w:name w:val="header"/>
    <w:basedOn w:val="a"/>
    <w:rsid w:val="00007206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007206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007206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007206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b">
    <w:name w:val="page number"/>
    <w:basedOn w:val="a0"/>
    <w:rsid w:val="00007206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locked/>
    <w:rsid w:val="0004480F"/>
    <w:rPr>
      <w:rFonts w:ascii="Arial" w:eastAsia="Arial Unicode MS" w:hAnsi="Arial" w:cs="David"/>
      <w:snapToGrid w:val="0"/>
      <w:sz w:val="14"/>
    </w:rPr>
  </w:style>
  <w:style w:type="character" w:styleId="ae">
    <w:name w:val="Strong"/>
    <w:basedOn w:val="a0"/>
    <w:qFormat/>
    <w:rsid w:val="0004480F"/>
    <w:rPr>
      <w:b/>
      <w:bCs/>
    </w:rPr>
  </w:style>
  <w:style w:type="character" w:customStyle="1" w:styleId="10">
    <w:name w:val="כותרת 1 תו"/>
    <w:basedOn w:val="a0"/>
    <w:link w:val="1"/>
    <w:uiPriority w:val="9"/>
    <w:rsid w:val="00007206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007206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007206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007206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007206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f">
    <w:name w:val="TOC Heading"/>
    <w:basedOn w:val="1"/>
    <w:next w:val="a"/>
    <w:uiPriority w:val="39"/>
    <w:unhideWhenUsed/>
    <w:qFormat/>
    <w:rsid w:val="00007206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007206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007206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007206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007206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007206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007206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007206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007206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007206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007206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007206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007206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007206"/>
    <w:rPr>
      <w:rFonts w:eastAsia="Times New Roman"/>
    </w:rPr>
  </w:style>
  <w:style w:type="paragraph" w:styleId="af0">
    <w:name w:val="List Paragraph"/>
    <w:basedOn w:val="a"/>
    <w:uiPriority w:val="34"/>
    <w:qFormat/>
    <w:rsid w:val="00007206"/>
    <w:pPr>
      <w:widowControl/>
      <w:spacing w:line="259" w:lineRule="auto"/>
    </w:pPr>
    <w:rPr>
      <w:rFonts w:asciiTheme="minorHAnsi" w:hAnsiTheme="minorHAnsi"/>
      <w:sz w:val="22"/>
    </w:rPr>
  </w:style>
  <w:style w:type="table" w:styleId="af1">
    <w:name w:val="Table Grid"/>
    <w:basedOn w:val="a1"/>
    <w:rsid w:val="00007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00720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00720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2">
    <w:name w:val="טבלת חקיקה"/>
    <w:basedOn w:val="a1"/>
    <w:uiPriority w:val="99"/>
    <w:rsid w:val="00007206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007206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BE13442BF316646AF5951F2A6F4E844" ma:contentTypeVersion="" ma:contentTypeDescription="צור מסמך חדש." ma:contentTypeScope="" ma:versionID="3e09f08e861ef8c9ca8a66bc33319a2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290d5b49-c690-4c6f-bbb9-1e50dab33ee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67517A-160E-4805-B3DD-C999CCF9E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7A848C-84B9-44CF-9352-38BE1A10A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393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טליה ווייס עמר</cp:lastModifiedBy>
  <cp:revision>8</cp:revision>
  <cp:lastPrinted>2013-07-04T08:25:00Z</cp:lastPrinted>
  <dcterms:created xsi:type="dcterms:W3CDTF">2015-04-20T09:58:00Z</dcterms:created>
  <dcterms:modified xsi:type="dcterms:W3CDTF">2022-02-24T07:31:00Z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0x010100ABE13442BF316646AF5951F2A6F4E844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2169967</vt:r8>
  </property>
</Properties>
</file>