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2168221</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מוסי רז</w:t>
      </w:r>
      <w:r>
        <w:br/>
      </w:r>
      <w:r>
        <w:rPr>
          <w:rFonts w:hint="cs"/>
          <w:b/>
          <w:bCs/>
          <w:rtl/>
        </w:rPr>
        <w:t xml:space="preserve"> </w:t>
      </w:r>
      <w:r>
        <w:tab/>
      </w:r>
      <w:r>
        <w:tab/>
      </w:r>
      <w:r>
        <w:tab/>
      </w:r>
      <w:r>
        <w:tab/>
      </w:r>
      <w:r>
        <w:rPr>
          <w:rFonts w:hint="cs"/>
          <w:b/>
          <w:bCs/>
          <w:rtl/>
        </w:rPr>
        <w:t>עופר כסיף</w:t>
      </w:r>
      <w:r>
        <w:br/>
      </w:r>
      <w:r>
        <w:rPr>
          <w:rFonts w:hint="cs"/>
          <w:b/>
          <w:bCs/>
          <w:rtl/>
        </w:rPr>
        <w:t xml:space="preserve"> </w:t>
      </w:r>
      <w:r>
        <w:tab/>
      </w:r>
      <w:r>
        <w:tab/>
      </w:r>
      <w:r>
        <w:tab/>
      </w:r>
      <w:r>
        <w:tab/>
      </w:r>
      <w:r>
        <w:rPr>
          <w:rFonts w:hint="cs"/>
          <w:b/>
          <w:bCs/>
          <w:rtl/>
        </w:rPr>
        <w:t>סמי אבו שחאדה</w:t>
      </w:r>
      <w:r>
        <w:br/>
      </w:r>
      <w:r>
        <w:rPr>
          <w:rFonts w:hint="cs"/>
          <w:b/>
          <w:bCs/>
          <w:rtl/>
        </w:rPr>
        <w:t xml:space="preserve"> </w:t>
      </w:r>
      <w:r>
        <w:tab/>
      </w:r>
      <w:r>
        <w:tab/>
      </w:r>
      <w:r>
        <w:tab/>
      </w:r>
      <w:r>
        <w:tab/>
      </w:r>
      <w:r>
        <w:rPr>
          <w:rFonts w:hint="cs"/>
          <w:b/>
          <w:bCs/>
          <w:rtl/>
        </w:rPr>
        <w:t>מיכל רוזין</w:t>
      </w:r>
      <w:r>
        <w:br/>
      </w:r>
      <w:r>
        <w:rPr>
          <w:rFonts w:hint="cs"/>
          <w:b/>
          <w:bCs/>
          <w:rtl/>
        </w:rPr>
        <w:t xml:space="preserve"> </w:t>
      </w:r>
      <w:r>
        <w:tab/>
      </w:r>
      <w:r>
        <w:tab/>
      </w:r>
      <w:r>
        <w:tab/>
      </w:r>
      <w:r>
        <w:tab/>
      </w:r>
      <w:r>
        <w:rPr>
          <w:rFonts w:hint="cs"/>
          <w:b/>
          <w:bCs/>
          <w:rtl/>
        </w:rPr>
        <w:t>אלון טל</w:t>
      </w:r>
      <w:r>
        <w:br/>
      </w:r>
      <w:r>
        <w:rPr>
          <w:rFonts w:hint="cs"/>
          <w:b/>
          <w:bCs/>
          <w:rtl/>
        </w:rPr>
        <w:t xml:space="preserve"> </w:t>
      </w:r>
      <w:r>
        <w:tab/>
      </w:r>
      <w:r>
        <w:tab/>
      </w:r>
      <w:r>
        <w:tab/>
      </w:r>
      <w:r>
        <w:tab/>
      </w:r>
      <w:r>
        <w:rPr>
          <w:rFonts w:hint="cs"/>
          <w:b/>
          <w:bCs/>
          <w:rtl/>
        </w:rPr>
        <w:t>אמילי חיה מואטי</w:t>
      </w:r>
      <w:bookmarkEnd w:id="3"/>
    </w:p>
    <w:p w14:paraId="7F6961AA" w14:textId="55BB5505" w:rsidR="00E13C27" w:rsidRPr="00CF1AA2" w:rsidRDefault="007D585A" w:rsidP="0036422C">
      <w:pPr>
        <w:pStyle w:val="David"/>
        <w:ind w:left="3544"/>
        <w:rPr>
          <w:b/>
          <w:bCs/>
          <w:sz w:val="16"/>
          <w:szCs w:val="16"/>
          <w:rtl/>
        </w:rPr>
      </w:pPr>
      <w:bookmarkStart w:id="4" w:name="LGS_Join_List"/>
      <w:r>
        <w:rPr>
          <w:rtl/>
        </w:rPr>
        <w:t>______________________________________________</w:t>
      </w:r>
      <w:r>
        <w:br/>
      </w:r>
      <w:r>
        <w:rPr>
          <w:rtl/>
        </w:rPr>
        <w:t>מצטרף:      חבר הכנסת</w:t>
      </w:r>
      <w:bookmarkEnd w:id="4"/>
      <w:r w:rsidR="002D2692">
        <w:rPr>
          <w:rFonts w:hint="cs"/>
          <w:rtl/>
        </w:rPr>
        <w:t xml:space="preserve"> </w:t>
      </w:r>
      <w:r w:rsidR="002200A1" w:rsidRPr="00CF1AA2">
        <w:rPr>
          <w:rFonts w:hint="cs"/>
          <w:rtl/>
        </w:rPr>
        <w:tab/>
      </w:r>
      <w:bookmarkStart w:id="5" w:name="LGS_PM_NamesJoin"/>
      <w:r>
        <w:rPr>
          <w:rFonts w:hint="cs"/>
          <w:rtl/>
        </w:rPr>
        <w:t>איתן גינזבורג</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01F61ED6" w:rsidR="00E13C27" w:rsidRPr="00E06736" w:rsidRDefault="00904591" w:rsidP="00904591">
      <w:pPr>
        <w:pStyle w:val="David"/>
        <w:spacing w:line="240" w:lineRule="auto"/>
        <w:ind w:left="3544"/>
        <w:rPr>
          <w:rtl/>
        </w:rPr>
      </w:pPr>
      <w:r>
        <w:t xml:space="preserve">                                            </w:t>
      </w:r>
      <w:r w:rsidR="008F1308">
        <w:t xml:space="preserve"> </w:t>
      </w:r>
      <w:bookmarkStart w:id="6" w:name="Private_Number"/>
      <w:r w:rsidR="009C153A">
        <w:rPr>
          <w:rtl/>
        </w:rPr>
        <w:tab/>
      </w:r>
      <w:bookmarkStart w:id="7" w:name="_GoBack"/>
      <w:bookmarkEnd w:id="7"/>
      <w:r>
        <w:rPr>
          <w:rFonts w:hint="cs"/>
          <w:rtl/>
        </w:rPr>
        <w:t>פ/3318/24</w:t>
      </w:r>
      <w:bookmarkEnd w:id="6"/>
    </w:p>
    <w:p w14:paraId="7F6961AC" w14:textId="77777777" w:rsidR="00E13C27" w:rsidRDefault="00E13C27" w:rsidP="00E13C27">
      <w:pPr>
        <w:ind w:left="2880" w:firstLine="720"/>
        <w:rPr>
          <w:sz w:val="26"/>
          <w:szCs w:val="26"/>
          <w:rtl/>
        </w:rPr>
      </w:pPr>
    </w:p>
    <w:p w14:paraId="7F6961AD" w14:textId="7D311399" w:rsidR="00E13C27" w:rsidRPr="00F67051" w:rsidRDefault="00A443CF" w:rsidP="0009094F">
      <w:pPr>
        <w:pStyle w:val="HeadHatzaotHok"/>
        <w:rPr>
          <w:rtl/>
        </w:rPr>
      </w:pPr>
      <w:bookmarkStart w:id="8" w:name="LGS_Subject"/>
      <w:r>
        <w:rPr>
          <w:rFonts w:hint="cs"/>
          <w:rtl/>
        </w:rPr>
        <w:t>הצעת חוק ניירות ערך (תיקון – חובת גילוי בדוחות הכספיים של חברות ציבוריות אודות תביעות הנוגעות למפגעים סביבתיים), התשפ"ב–2022</w:t>
      </w:r>
      <w:bookmarkEnd w:id="8"/>
    </w:p>
    <w:p w14:paraId="7F6961AE" w14:textId="77777777" w:rsidR="00E13C27" w:rsidRDefault="00E13C27" w:rsidP="0021633A">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1872"/>
        <w:gridCol w:w="624"/>
        <w:gridCol w:w="4647"/>
      </w:tblGrid>
      <w:tr w:rsidR="002F1D80" w:rsidRPr="002D3320" w14:paraId="035EEF3D" w14:textId="77777777" w:rsidTr="00C63C23">
        <w:trPr>
          <w:cantSplit/>
        </w:trPr>
        <w:tc>
          <w:tcPr>
            <w:tcW w:w="1871" w:type="dxa"/>
          </w:tcPr>
          <w:p w14:paraId="3863FF98" w14:textId="2AE65268" w:rsidR="002F1D80" w:rsidRPr="00C63C23" w:rsidRDefault="002D3320" w:rsidP="00C63C23">
            <w:pPr>
              <w:pStyle w:val="TableSideHeading"/>
              <w:outlineLvl w:val="9"/>
            </w:pPr>
            <w:r w:rsidRPr="00C63C23">
              <w:rPr>
                <w:rFonts w:hint="cs"/>
                <w:rtl/>
              </w:rPr>
              <w:t>תיקון סעיף 1</w:t>
            </w:r>
          </w:p>
        </w:tc>
        <w:tc>
          <w:tcPr>
            <w:tcW w:w="624" w:type="dxa"/>
          </w:tcPr>
          <w:p w14:paraId="6F513EF6" w14:textId="0CB0E3DF" w:rsidR="002F1D80" w:rsidRPr="00C63C23" w:rsidRDefault="002D3320" w:rsidP="00C63C23">
            <w:pPr>
              <w:pStyle w:val="TableText"/>
              <w:jc w:val="both"/>
            </w:pPr>
            <w:r w:rsidRPr="00C63C23">
              <w:rPr>
                <w:rFonts w:hint="cs"/>
                <w:rtl/>
              </w:rPr>
              <w:t>1.</w:t>
            </w:r>
          </w:p>
        </w:tc>
        <w:tc>
          <w:tcPr>
            <w:tcW w:w="7143" w:type="dxa"/>
            <w:gridSpan w:val="3"/>
          </w:tcPr>
          <w:p w14:paraId="1AE94DEB" w14:textId="34CBB6B1" w:rsidR="002F1D80" w:rsidRPr="002D3320" w:rsidRDefault="002D3320" w:rsidP="00C63C23">
            <w:pPr>
              <w:pStyle w:val="TableBlock"/>
            </w:pPr>
            <w:r w:rsidRPr="002D3320">
              <w:rPr>
                <w:rFonts w:hint="cs"/>
                <w:rtl/>
              </w:rPr>
              <w:t>בחוק ניירות ערך התשכ״ח</w:t>
            </w:r>
            <w:r w:rsidR="0009094F">
              <w:rPr>
                <w:rFonts w:hint="cs"/>
                <w:rtl/>
              </w:rPr>
              <w:t>–1968</w:t>
            </w:r>
            <w:r w:rsidR="0009094F" w:rsidRPr="00C63C23">
              <w:rPr>
                <w:rStyle w:val="a5"/>
                <w:rFonts w:ascii="David" w:hAnsi="David"/>
                <w:sz w:val="26"/>
                <w:rtl/>
              </w:rPr>
              <w:footnoteReference w:id="2"/>
            </w:r>
            <w:r w:rsidRPr="002D3320">
              <w:rPr>
                <w:rFonts w:hint="cs"/>
                <w:rtl/>
              </w:rPr>
              <w:t xml:space="preserve"> (להלן </w:t>
            </w:r>
            <w:r w:rsidR="00B6621F">
              <w:rPr>
                <w:rFonts w:hint="cs"/>
                <w:rtl/>
              </w:rPr>
              <w:t>–</w:t>
            </w:r>
            <w:r w:rsidRPr="002D3320">
              <w:rPr>
                <w:rFonts w:hint="cs"/>
                <w:rtl/>
              </w:rPr>
              <w:t xml:space="preserve"> החוק העיקרי)</w:t>
            </w:r>
            <w:r w:rsidR="00B6621F">
              <w:rPr>
                <w:rFonts w:hint="cs"/>
                <w:rtl/>
              </w:rPr>
              <w:t xml:space="preserve">, </w:t>
            </w:r>
            <w:r w:rsidRPr="002D3320">
              <w:rPr>
                <w:rFonts w:hint="cs"/>
                <w:rtl/>
              </w:rPr>
              <w:t>בסעיף 1</w:t>
            </w:r>
            <w:r w:rsidR="00E471FD">
              <w:rPr>
                <w:rFonts w:hint="cs"/>
                <w:rtl/>
              </w:rPr>
              <w:t xml:space="preserve">, </w:t>
            </w:r>
            <w:r w:rsidR="00E471FD" w:rsidRPr="002D3320">
              <w:rPr>
                <w:rFonts w:hint="cs"/>
                <w:rtl/>
              </w:rPr>
              <w:t>אחרי ההגדרה ״</w:t>
            </w:r>
            <w:r w:rsidR="00E471FD">
              <w:rPr>
                <w:rFonts w:hint="cs"/>
                <w:rtl/>
              </w:rPr>
              <w:t>מערכת דואר אלקטרוני מאובטח" יבוא:</w:t>
            </w:r>
          </w:p>
        </w:tc>
      </w:tr>
      <w:tr w:rsidR="00852992" w:rsidRPr="002D3320" w14:paraId="5D0BBBD2" w14:textId="77777777" w:rsidTr="00C63C23">
        <w:trPr>
          <w:cantSplit/>
        </w:trPr>
        <w:tc>
          <w:tcPr>
            <w:tcW w:w="1871" w:type="dxa"/>
          </w:tcPr>
          <w:p w14:paraId="21BD67DA" w14:textId="77777777" w:rsidR="00852992" w:rsidRPr="00C63C23" w:rsidRDefault="00852992" w:rsidP="00C63C23">
            <w:pPr>
              <w:pStyle w:val="TableSideHeading"/>
              <w:outlineLvl w:val="9"/>
              <w:rPr>
                <w:rtl/>
              </w:rPr>
            </w:pPr>
          </w:p>
        </w:tc>
        <w:tc>
          <w:tcPr>
            <w:tcW w:w="624" w:type="dxa"/>
          </w:tcPr>
          <w:p w14:paraId="7A45CD44" w14:textId="77777777" w:rsidR="00852992" w:rsidRPr="002D3320" w:rsidRDefault="00852992" w:rsidP="00660E0C">
            <w:pPr>
              <w:pStyle w:val="TableText"/>
              <w:rPr>
                <w:rtl/>
              </w:rPr>
            </w:pPr>
          </w:p>
        </w:tc>
        <w:tc>
          <w:tcPr>
            <w:tcW w:w="7143" w:type="dxa"/>
            <w:gridSpan w:val="3"/>
          </w:tcPr>
          <w:p w14:paraId="62E096F2" w14:textId="492BB34F" w:rsidR="00852992" w:rsidRPr="00852992" w:rsidRDefault="00852992" w:rsidP="00C63C23">
            <w:pPr>
              <w:pStyle w:val="TableBlockOutdent"/>
              <w:rPr>
                <w:rtl/>
              </w:rPr>
            </w:pPr>
            <w:r>
              <w:rPr>
                <w:rtl/>
              </w:rPr>
              <w:t>"</w:t>
            </w:r>
            <w:r>
              <w:rPr>
                <w:rFonts w:hint="cs"/>
                <w:rtl/>
              </w:rPr>
              <w:t>מפגע סביבתי"</w:t>
            </w:r>
            <w:r w:rsidR="00E8565E">
              <w:rPr>
                <w:rFonts w:hint="cs"/>
                <w:rtl/>
              </w:rPr>
              <w:t xml:space="preserve"> </w:t>
            </w:r>
            <w:r>
              <w:rPr>
                <w:rFonts w:hint="cs"/>
                <w:rtl/>
              </w:rPr>
              <w:t xml:space="preserve">– </w:t>
            </w:r>
            <w:r w:rsidR="00E8565E">
              <w:rPr>
                <w:rFonts w:hint="cs"/>
                <w:rtl/>
              </w:rPr>
              <w:t xml:space="preserve">כהגדרתו </w:t>
            </w:r>
            <w:r>
              <w:rPr>
                <w:rFonts w:hint="cs"/>
                <w:rtl/>
              </w:rPr>
              <w:t>בחוק למניעת מפגעים סביבתיים (תביעות אזרחיות), התשנ"ב–1992</w:t>
            </w:r>
            <w:r w:rsidRPr="00C63C23">
              <w:rPr>
                <w:rStyle w:val="a5"/>
                <w:rFonts w:ascii="David" w:hAnsi="David"/>
                <w:sz w:val="26"/>
                <w:rtl/>
              </w:rPr>
              <w:footnoteReference w:id="3"/>
            </w:r>
            <w:r>
              <w:rPr>
                <w:rFonts w:hint="cs"/>
                <w:rtl/>
              </w:rPr>
              <w:t>.</w:t>
            </w:r>
          </w:p>
        </w:tc>
      </w:tr>
      <w:tr w:rsidR="002D3320" w:rsidRPr="002D3320" w14:paraId="287D291E" w14:textId="77777777" w:rsidTr="00C63C23">
        <w:trPr>
          <w:cantSplit/>
        </w:trPr>
        <w:tc>
          <w:tcPr>
            <w:tcW w:w="1871" w:type="dxa"/>
          </w:tcPr>
          <w:p w14:paraId="3DB81841" w14:textId="26144055" w:rsidR="002D3320" w:rsidRPr="00C63C23" w:rsidRDefault="00E46DD1" w:rsidP="00C63C23">
            <w:pPr>
              <w:pStyle w:val="TableSideHeading"/>
              <w:outlineLvl w:val="9"/>
              <w:rPr>
                <w:rtl/>
              </w:rPr>
            </w:pPr>
            <w:r w:rsidRPr="00C63C23">
              <w:rPr>
                <w:rFonts w:hint="cs"/>
                <w:rtl/>
              </w:rPr>
              <w:t>הוספת סעיף 36ה</w:t>
            </w:r>
          </w:p>
        </w:tc>
        <w:tc>
          <w:tcPr>
            <w:tcW w:w="624" w:type="dxa"/>
          </w:tcPr>
          <w:p w14:paraId="5A873EE4" w14:textId="2C8AAF73" w:rsidR="002D3320" w:rsidRPr="00C63C23" w:rsidRDefault="00E471FD" w:rsidP="00C63C23">
            <w:pPr>
              <w:pStyle w:val="TableText"/>
              <w:jc w:val="both"/>
              <w:rPr>
                <w:rtl/>
              </w:rPr>
            </w:pPr>
            <w:r w:rsidRPr="00C63C23">
              <w:rPr>
                <w:rFonts w:hint="cs"/>
                <w:rtl/>
              </w:rPr>
              <w:t>2.</w:t>
            </w:r>
          </w:p>
        </w:tc>
        <w:tc>
          <w:tcPr>
            <w:tcW w:w="7143" w:type="dxa"/>
            <w:gridSpan w:val="3"/>
          </w:tcPr>
          <w:p w14:paraId="1184A366" w14:textId="7F89F111" w:rsidR="002D3320" w:rsidRPr="002D3320" w:rsidRDefault="002D3320" w:rsidP="00C63C23">
            <w:pPr>
              <w:pStyle w:val="TableBlock"/>
              <w:rPr>
                <w:rtl/>
              </w:rPr>
            </w:pPr>
            <w:r w:rsidRPr="002D3320">
              <w:rPr>
                <w:rFonts w:hint="cs"/>
                <w:rtl/>
              </w:rPr>
              <w:t>אחרי סעיף 36ד לחוק העיקרי יבוא:</w:t>
            </w:r>
          </w:p>
        </w:tc>
      </w:tr>
      <w:tr w:rsidR="007C4D43" w14:paraId="021D5BFD" w14:textId="77777777" w:rsidTr="00C63C23">
        <w:trPr>
          <w:cantSplit/>
        </w:trPr>
        <w:tc>
          <w:tcPr>
            <w:tcW w:w="1871" w:type="dxa"/>
          </w:tcPr>
          <w:p w14:paraId="3E15962A" w14:textId="77777777" w:rsidR="007C4D43" w:rsidRDefault="007C4D43">
            <w:pPr>
              <w:pStyle w:val="TableSideHeading"/>
              <w:keepLines w:val="0"/>
            </w:pPr>
          </w:p>
        </w:tc>
        <w:tc>
          <w:tcPr>
            <w:tcW w:w="624" w:type="dxa"/>
          </w:tcPr>
          <w:p w14:paraId="5D2E99BB" w14:textId="77777777" w:rsidR="007C4D43" w:rsidRDefault="007C4D43">
            <w:pPr>
              <w:pStyle w:val="TableText"/>
              <w:keepLines w:val="0"/>
            </w:pPr>
          </w:p>
        </w:tc>
        <w:tc>
          <w:tcPr>
            <w:tcW w:w="1872" w:type="dxa"/>
          </w:tcPr>
          <w:p w14:paraId="5FCC77EB" w14:textId="4B94AC7B" w:rsidR="007C4D43" w:rsidRDefault="007C4D43">
            <w:pPr>
              <w:pStyle w:val="TableInnerSideHeading"/>
            </w:pPr>
            <w:r>
              <w:rPr>
                <w:rFonts w:hint="cs"/>
                <w:rtl/>
              </w:rPr>
              <w:t>"</w:t>
            </w:r>
            <w:r w:rsidRPr="002D3320">
              <w:rPr>
                <w:rFonts w:hint="cs"/>
                <w:rtl/>
              </w:rPr>
              <w:t>גילוי על תביעות בדבר מפגעים סביבתיים</w:t>
            </w:r>
          </w:p>
        </w:tc>
        <w:tc>
          <w:tcPr>
            <w:tcW w:w="624" w:type="dxa"/>
          </w:tcPr>
          <w:p w14:paraId="42215C2C" w14:textId="133AA33A" w:rsidR="007C4D43" w:rsidRDefault="007C4D43">
            <w:pPr>
              <w:pStyle w:val="TableText"/>
            </w:pPr>
            <w:r w:rsidRPr="002D3320">
              <w:rPr>
                <w:rFonts w:hint="cs"/>
                <w:rtl/>
              </w:rPr>
              <w:t>36ה.</w:t>
            </w:r>
          </w:p>
        </w:tc>
        <w:tc>
          <w:tcPr>
            <w:tcW w:w="4647" w:type="dxa"/>
          </w:tcPr>
          <w:p w14:paraId="14D9C9BF" w14:textId="27D1D083" w:rsidR="007C4D43" w:rsidRDefault="007C4D43" w:rsidP="00C63C23">
            <w:pPr>
              <w:pStyle w:val="TableBlock"/>
            </w:pPr>
            <w:r>
              <w:rPr>
                <w:rFonts w:hint="cs"/>
                <w:rtl/>
              </w:rPr>
              <w:t>(א)</w:t>
            </w:r>
            <w:r>
              <w:rPr>
                <w:rtl/>
              </w:rPr>
              <w:tab/>
            </w:r>
            <w:r w:rsidRPr="002D3320">
              <w:rPr>
                <w:rFonts w:hint="cs"/>
                <w:rtl/>
              </w:rPr>
              <w:t xml:space="preserve">חברה ציבורית </w:t>
            </w:r>
            <w:r>
              <w:rPr>
                <w:rFonts w:hint="cs"/>
                <w:rtl/>
              </w:rPr>
              <w:t xml:space="preserve">שהוגשה נגדה </w:t>
            </w:r>
            <w:r w:rsidRPr="002D3320">
              <w:rPr>
                <w:rFonts w:hint="cs"/>
                <w:rtl/>
              </w:rPr>
              <w:t xml:space="preserve">תביעה הנוגעת למפגעים סביבתיים </w:t>
            </w:r>
            <w:r>
              <w:rPr>
                <w:rFonts w:hint="cs"/>
                <w:rtl/>
              </w:rPr>
              <w:t>תפר</w:t>
            </w:r>
            <w:r w:rsidR="004D5D93">
              <w:rPr>
                <w:rFonts w:hint="cs"/>
                <w:rtl/>
              </w:rPr>
              <w:t>סם</w:t>
            </w:r>
            <w:r w:rsidRPr="002D3320">
              <w:rPr>
                <w:rFonts w:hint="cs"/>
                <w:rtl/>
              </w:rPr>
              <w:t xml:space="preserve"> זאת בדוחותיה הכספיים השנתיים</w:t>
            </w:r>
            <w:r w:rsidR="00700791">
              <w:rPr>
                <w:rFonts w:hint="cs"/>
                <w:rtl/>
              </w:rPr>
              <w:t>.</w:t>
            </w:r>
          </w:p>
        </w:tc>
      </w:tr>
      <w:tr w:rsidR="00D70A17" w14:paraId="5DA50470" w14:textId="77777777" w:rsidTr="00C63C23">
        <w:trPr>
          <w:cantSplit/>
        </w:trPr>
        <w:tc>
          <w:tcPr>
            <w:tcW w:w="1871" w:type="dxa"/>
          </w:tcPr>
          <w:p w14:paraId="375282EE" w14:textId="77777777" w:rsidR="00D70A17" w:rsidRDefault="00D70A17">
            <w:pPr>
              <w:pStyle w:val="TableSideHeading"/>
              <w:keepLines w:val="0"/>
            </w:pPr>
          </w:p>
        </w:tc>
        <w:tc>
          <w:tcPr>
            <w:tcW w:w="624" w:type="dxa"/>
          </w:tcPr>
          <w:p w14:paraId="7375BD19" w14:textId="77777777" w:rsidR="00D70A17" w:rsidRDefault="00D70A17">
            <w:pPr>
              <w:pStyle w:val="TableText"/>
              <w:keepLines w:val="0"/>
            </w:pPr>
          </w:p>
        </w:tc>
        <w:tc>
          <w:tcPr>
            <w:tcW w:w="1872" w:type="dxa"/>
          </w:tcPr>
          <w:p w14:paraId="06E463B8" w14:textId="3AC3B2B7" w:rsidR="00D70A17" w:rsidRPr="00D70A17" w:rsidRDefault="00D70A17">
            <w:pPr>
              <w:pStyle w:val="TableInnerSideHeading"/>
            </w:pPr>
          </w:p>
        </w:tc>
        <w:tc>
          <w:tcPr>
            <w:tcW w:w="624" w:type="dxa"/>
          </w:tcPr>
          <w:p w14:paraId="02D2323C" w14:textId="53AF9D84" w:rsidR="00D70A17" w:rsidRDefault="00D70A17">
            <w:pPr>
              <w:pStyle w:val="TableText"/>
            </w:pPr>
          </w:p>
        </w:tc>
        <w:tc>
          <w:tcPr>
            <w:tcW w:w="4647" w:type="dxa"/>
          </w:tcPr>
          <w:p w14:paraId="54DDD79A" w14:textId="501F9BA3" w:rsidR="00D70A17" w:rsidRDefault="007C4D43" w:rsidP="00C63C23">
            <w:pPr>
              <w:pStyle w:val="TableBlock"/>
            </w:pPr>
            <w:r>
              <w:rPr>
                <w:rFonts w:hint="cs"/>
                <w:rtl/>
              </w:rPr>
              <w:t>(ב)</w:t>
            </w:r>
            <w:r>
              <w:rPr>
                <w:rtl/>
              </w:rPr>
              <w:tab/>
            </w:r>
            <w:r>
              <w:rPr>
                <w:rFonts w:hint="cs"/>
                <w:rtl/>
              </w:rPr>
              <w:t>שר האוצר רשאי, לפי הצעת הרשות או לאחר התייעצות עמה ובאישור ועדת הכספים של הכנסת, לקבוע הוראות לעניין אופן חישוב והצגת הפרשה להתחייבות לתביעה</w:t>
            </w:r>
            <w:r w:rsidR="00174DF1">
              <w:rPr>
                <w:rFonts w:hint="cs"/>
                <w:rtl/>
              </w:rPr>
              <w:t>; לעניין זה, "הפר</w:t>
            </w:r>
            <w:r w:rsidR="00A51D51">
              <w:rPr>
                <w:rFonts w:hint="cs"/>
                <w:rtl/>
              </w:rPr>
              <w:t>ש</w:t>
            </w:r>
            <w:r w:rsidR="00174DF1">
              <w:rPr>
                <w:rFonts w:hint="cs"/>
                <w:rtl/>
              </w:rPr>
              <w:t xml:space="preserve">ה להתחייבות לתביעה" – </w:t>
            </w:r>
            <w:r w:rsidR="00690A1A">
              <w:rPr>
                <w:rFonts w:hint="cs"/>
                <w:rtl/>
              </w:rPr>
              <w:t>לרבות התחייבות תלויה בגין תביעה כמשמעות</w:t>
            </w:r>
            <w:r w:rsidR="00061DDE">
              <w:rPr>
                <w:rFonts w:hint="cs"/>
                <w:rtl/>
              </w:rPr>
              <w:t>ה בכללי החשבונאות המקובלים לפיהם מדווחת החברה בדוחותיה</w:t>
            </w:r>
            <w:r>
              <w:rPr>
                <w:rFonts w:hint="cs"/>
                <w:rtl/>
              </w:rPr>
              <w:t>.</w:t>
            </w:r>
            <w:r w:rsidR="00C63C23">
              <w:rPr>
                <w:rFonts w:hint="cs"/>
                <w:rtl/>
              </w:rPr>
              <w:t>"</w:t>
            </w:r>
          </w:p>
        </w:tc>
      </w:tr>
    </w:tbl>
    <w:p w14:paraId="7F6961CA" w14:textId="77777777" w:rsidR="002D1EE3" w:rsidRDefault="002D1EE3" w:rsidP="002D1EE3">
      <w:pPr>
        <w:pStyle w:val="HeadDivreiHesber"/>
        <w:rPr>
          <w:rtl/>
        </w:rPr>
      </w:pPr>
      <w:r w:rsidRPr="0027450A">
        <w:rPr>
          <w:rFonts w:hint="cs"/>
          <w:rtl/>
        </w:rPr>
        <w:t>דברי הסבר</w:t>
      </w:r>
    </w:p>
    <w:p w14:paraId="2E548DBB" w14:textId="510904ED" w:rsidR="007A1917" w:rsidRPr="00425498" w:rsidRDefault="007A1917" w:rsidP="0095163B">
      <w:pPr>
        <w:pStyle w:val="Hesber"/>
      </w:pPr>
      <w:r w:rsidRPr="00425498">
        <w:rPr>
          <w:rtl/>
        </w:rPr>
        <w:t>מטרתה של הצעת חוק זו היא להבטיח כי יינתן מידע מספק בביאורים לדוחות הכספיים של החברה אודות התביעות הקיימות בנושאים סביבתיים כנגד החברה. מידע זה משמש את המשקיעים הנוכחיים</w:t>
      </w:r>
      <w:r w:rsidR="0095163B">
        <w:rPr>
          <w:rFonts w:hint="cs"/>
          <w:rtl/>
        </w:rPr>
        <w:t xml:space="preserve"> של החברה</w:t>
      </w:r>
      <w:r w:rsidRPr="00425498">
        <w:rPr>
          <w:rtl/>
        </w:rPr>
        <w:t xml:space="preserve"> ו</w:t>
      </w:r>
      <w:r w:rsidR="0095163B">
        <w:rPr>
          <w:rFonts w:hint="cs"/>
          <w:rtl/>
        </w:rPr>
        <w:t>את</w:t>
      </w:r>
      <w:r w:rsidRPr="00425498">
        <w:rPr>
          <w:rtl/>
        </w:rPr>
        <w:t xml:space="preserve"> משקיעי</w:t>
      </w:r>
      <w:r w:rsidR="0095163B">
        <w:rPr>
          <w:rFonts w:hint="cs"/>
          <w:rtl/>
        </w:rPr>
        <w:t>ה</w:t>
      </w:r>
      <w:r w:rsidRPr="00425498">
        <w:rPr>
          <w:rtl/>
        </w:rPr>
        <w:t xml:space="preserve"> העתידיים, וגורם לאותם </w:t>
      </w:r>
      <w:r w:rsidR="0095163B">
        <w:rPr>
          <w:rFonts w:hint="cs"/>
          <w:rtl/>
        </w:rPr>
        <w:t>משקיעים</w:t>
      </w:r>
      <w:r w:rsidR="0095163B" w:rsidRPr="00425498">
        <w:rPr>
          <w:rtl/>
        </w:rPr>
        <w:t xml:space="preserve"> </w:t>
      </w:r>
      <w:r w:rsidRPr="00425498">
        <w:rPr>
          <w:rtl/>
        </w:rPr>
        <w:t xml:space="preserve">להבין את </w:t>
      </w:r>
      <w:r w:rsidR="0095163B">
        <w:rPr>
          <w:rFonts w:hint="cs"/>
          <w:rtl/>
        </w:rPr>
        <w:t>טיבן</w:t>
      </w:r>
      <w:r w:rsidRPr="00425498">
        <w:rPr>
          <w:rtl/>
        </w:rPr>
        <w:t>, אופיין וסכומן של התביעות הקיימות כנגד החברה שבה הם משקיעים או עתידים להשקיע, בין אם הן מיוצגות כהפרשות או כהתחייבות תלויה בדוחות הכספיים.</w:t>
      </w:r>
    </w:p>
    <w:p w14:paraId="7CCE01C4" w14:textId="37F2BD5C" w:rsidR="007A1917" w:rsidRPr="00425498" w:rsidRDefault="007A1917" w:rsidP="00EA200B">
      <w:pPr>
        <w:pStyle w:val="Hesber"/>
      </w:pPr>
      <w:r w:rsidRPr="00425498">
        <w:rPr>
          <w:rtl/>
        </w:rPr>
        <w:t xml:space="preserve">מטרתו של גילוי מידע זה היא להביא למודעות בקרב </w:t>
      </w:r>
      <w:r w:rsidR="00EA200B" w:rsidRPr="00425498">
        <w:rPr>
          <w:rtl/>
        </w:rPr>
        <w:t>ה</w:t>
      </w:r>
      <w:r w:rsidR="00EA200B">
        <w:rPr>
          <w:rFonts w:hint="cs"/>
          <w:rtl/>
        </w:rPr>
        <w:t xml:space="preserve">משקיעים </w:t>
      </w:r>
      <w:r w:rsidRPr="00425498">
        <w:rPr>
          <w:rtl/>
        </w:rPr>
        <w:t>את פעולות החברה שפוגעות בסביבה במישורים שונים ושמחריפות את משבר האקלים. בדרך זו הציבור יוכל לשקול באופן מושכל באילו חברות הוא מעוניין להשקיע, כשהוא מודע לתביעות שהוגשו כנגד החברה הנוגעות לנושאים סביבתיים ומפגעים סביבתיים</w:t>
      </w:r>
      <w:r w:rsidR="00EA200B">
        <w:rPr>
          <w:rFonts w:hint="cs"/>
          <w:rtl/>
        </w:rPr>
        <w:t>,</w:t>
      </w:r>
      <w:r w:rsidRPr="00425498">
        <w:rPr>
          <w:rtl/>
        </w:rPr>
        <w:t xml:space="preserve"> כהגדרתם בחוק למניעת מפגעים סביבתיים (תביעות אזרחיות), </w:t>
      </w:r>
      <w:r w:rsidRPr="00425498">
        <w:rPr>
          <w:rFonts w:hint="cs"/>
          <w:rtl/>
        </w:rPr>
        <w:t>ה</w:t>
      </w:r>
      <w:r w:rsidRPr="00425498">
        <w:rPr>
          <w:rtl/>
        </w:rPr>
        <w:t>תשנ"ב</w:t>
      </w:r>
      <w:r w:rsidRPr="00425498">
        <w:rPr>
          <w:rFonts w:hint="cs"/>
          <w:rtl/>
        </w:rPr>
        <w:t>–</w:t>
      </w:r>
      <w:r w:rsidRPr="00425498">
        <w:rPr>
          <w:rtl/>
        </w:rPr>
        <w:t>1992.</w:t>
      </w:r>
    </w:p>
    <w:p w14:paraId="0626BD4F" w14:textId="3F54294F" w:rsidR="007A1917" w:rsidRPr="00425498" w:rsidRDefault="007A1917" w:rsidP="00EA200B">
      <w:pPr>
        <w:pStyle w:val="Hesber"/>
      </w:pPr>
      <w:r w:rsidRPr="00425498">
        <w:rPr>
          <w:rtl/>
        </w:rPr>
        <w:t xml:space="preserve">על פי כללי החשבונאות המקובלים, ועל פי הוראותיו של תקן חשבונאות </w:t>
      </w:r>
      <w:r w:rsidRPr="00425498">
        <w:t>IAS 37</w:t>
      </w:r>
      <w:r w:rsidRPr="00425498">
        <w:rPr>
          <w:rtl/>
        </w:rPr>
        <w:t xml:space="preserve"> בפרט, אין להכיר בדוחות הכספיים של החברות על תביעות שמסווגות כהתחייבות תלויה, שהן התחייבויות בגין תביעות כנגד החברה אשר אין הן עומדות בהגד</w:t>
      </w:r>
      <w:r w:rsidRPr="00425498">
        <w:rPr>
          <w:rFonts w:hint="cs"/>
          <w:rtl/>
        </w:rPr>
        <w:t>ר</w:t>
      </w:r>
      <w:r w:rsidRPr="00425498">
        <w:rPr>
          <w:rtl/>
        </w:rPr>
        <w:t xml:space="preserve">ות התקן להפרשה בגין התחייבות לתביעה. </w:t>
      </w:r>
      <w:r w:rsidR="00EA200B">
        <w:rPr>
          <w:rFonts w:hint="cs"/>
          <w:rtl/>
        </w:rPr>
        <w:t>מוצע לקבוע כי</w:t>
      </w:r>
      <w:r w:rsidRPr="00425498">
        <w:rPr>
          <w:rtl/>
        </w:rPr>
        <w:t xml:space="preserve"> </w:t>
      </w:r>
      <w:r w:rsidR="00EA200B">
        <w:rPr>
          <w:rFonts w:hint="cs"/>
          <w:rtl/>
        </w:rPr>
        <w:t>חובת</w:t>
      </w:r>
      <w:r w:rsidRPr="00425498">
        <w:rPr>
          <w:rtl/>
        </w:rPr>
        <w:t xml:space="preserve"> הגילוי </w:t>
      </w:r>
      <w:r w:rsidR="00EA200B">
        <w:rPr>
          <w:rFonts w:hint="cs"/>
          <w:rtl/>
        </w:rPr>
        <w:t xml:space="preserve">תחול </w:t>
      </w:r>
      <w:r w:rsidRPr="00425498">
        <w:rPr>
          <w:rtl/>
        </w:rPr>
        <w:t xml:space="preserve">על שני סוגי התביעות </w:t>
      </w:r>
      <w:r w:rsidR="00EA200B">
        <w:rPr>
          <w:rFonts w:hint="cs"/>
          <w:rtl/>
        </w:rPr>
        <w:t>–</w:t>
      </w:r>
      <w:r w:rsidRPr="00425498">
        <w:rPr>
          <w:rtl/>
        </w:rPr>
        <w:t xml:space="preserve"> הן תביעות המיוצגות בדוחות הכספיים של החברה כהפרשה להתחייבות בגין תביעה והן על התחייבויות תלויות בגין תביעה. הרציונל מאחורי ד</w:t>
      </w:r>
      <w:r w:rsidR="00EA200B">
        <w:rPr>
          <w:rFonts w:hint="cs"/>
          <w:rtl/>
        </w:rPr>
        <w:t xml:space="preserve"> ההסדר המוצע</w:t>
      </w:r>
      <w:r w:rsidRPr="00425498">
        <w:rPr>
          <w:rtl/>
        </w:rPr>
        <w:t xml:space="preserve"> הוא </w:t>
      </w:r>
      <w:r w:rsidR="00EA200B">
        <w:rPr>
          <w:rFonts w:hint="cs"/>
          <w:rtl/>
        </w:rPr>
        <w:t>שהמשקיעים</w:t>
      </w:r>
      <w:r w:rsidRPr="00425498">
        <w:rPr>
          <w:rtl/>
        </w:rPr>
        <w:t xml:space="preserve"> יהיו מודעים לכלל התביעות המוגשות כנגד החברה בנושאים הסביבתיים השונים. </w:t>
      </w:r>
    </w:p>
    <w:p w14:paraId="5DE6DAAB" w14:textId="083F1918" w:rsidR="007A1917" w:rsidRPr="00425498" w:rsidRDefault="007A1917" w:rsidP="00425498">
      <w:pPr>
        <w:pStyle w:val="Hesber"/>
        <w:rPr>
          <w:rtl/>
        </w:rPr>
      </w:pPr>
      <w:r w:rsidRPr="00425498">
        <w:rPr>
          <w:rtl/>
        </w:rPr>
        <w:t>הצעת חוק זו הוכנה בסיוע צוות מנגנונים כלכליים של קליניקת הכנסת בפקולטה למשפטים של אוניברסיטת תל אביב.</w:t>
      </w:r>
    </w:p>
    <w:p w14:paraId="7F6961CB" w14:textId="0955706D" w:rsidR="00E13C27" w:rsidRDefault="00E13C27" w:rsidP="001C4912">
      <w:pPr>
        <w:pStyle w:val="Hesber"/>
        <w:ind w:firstLine="0"/>
        <w:rPr>
          <w:rtl/>
        </w:rPr>
      </w:pPr>
    </w:p>
    <w:p w14:paraId="4AA2FA07" w14:textId="77777777" w:rsidR="00CD567C" w:rsidRDefault="009C153A">
      <w:pPr>
        <w:jc w:val="left"/>
      </w:pPr>
      <w:bookmarkStart w:id="9" w:name="selectedDocDateB"/>
      <w:bookmarkEnd w:id="9"/>
      <w:r>
        <w:rPr>
          <w:rFonts w:eastAsia="David" w:hint="cs"/>
          <w:sz w:val="26"/>
          <w:szCs w:val="26"/>
          <w:rtl/>
        </w:rPr>
        <w:t>--------------------------------</w:t>
      </w:r>
    </w:p>
    <w:p w14:paraId="695EA92B" w14:textId="77777777" w:rsidR="00CD567C" w:rsidRDefault="009C153A">
      <w:pPr>
        <w:jc w:val="left"/>
      </w:pPr>
      <w:r>
        <w:rPr>
          <w:rFonts w:eastAsia="David" w:hint="cs"/>
          <w:sz w:val="26"/>
          <w:szCs w:val="26"/>
          <w:rtl/>
        </w:rPr>
        <w:t>הוגשה ליו"ר הכנסת והסגנים</w:t>
      </w:r>
    </w:p>
    <w:p w14:paraId="6F8CD386" w14:textId="77777777" w:rsidR="00CD567C" w:rsidRDefault="009C153A">
      <w:pPr>
        <w:jc w:val="left"/>
      </w:pPr>
      <w:r>
        <w:rPr>
          <w:rFonts w:eastAsia="David" w:hint="cs"/>
          <w:sz w:val="26"/>
          <w:szCs w:val="26"/>
          <w:rtl/>
        </w:rPr>
        <w:t>והונחה על שולחן הכנסת ביום</w:t>
      </w:r>
    </w:p>
    <w:p w14:paraId="089BB405" w14:textId="77777777" w:rsidR="00CD567C" w:rsidRDefault="009C153A">
      <w:pPr>
        <w:jc w:val="left"/>
      </w:pPr>
      <w:r>
        <w:rPr>
          <w:rFonts w:eastAsia="David" w:hint="cs"/>
          <w:sz w:val="26"/>
          <w:szCs w:val="26"/>
          <w:rtl/>
        </w:rPr>
        <w:t xml:space="preserve">כ' באדר א' התשפ"ב (21.02.2022) </w:t>
      </w:r>
    </w:p>
    <w:p w14:paraId="153FC631" w14:textId="77777777" w:rsidR="00CD567C" w:rsidRDefault="00CD567C">
      <w:pPr>
        <w:spacing w:line="276" w:lineRule="auto"/>
        <w:jc w:val="left"/>
      </w:pPr>
    </w:p>
    <w:sectPr w:rsidR="00CD567C" w:rsidSect="00C63C23">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adasa Roso SL">
    <w:altName w:val="Times New Roman"/>
    <w:charset w:val="00"/>
    <w:family w:val="roman"/>
    <w:pitch w:val="variable"/>
    <w:sig w:usb0="80001827" w:usb1="5000004A" w:usb2="0000002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782B196A"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9C153A">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sidP="00C63C23">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6AB3237B" w14:textId="593F858E" w:rsidR="0009094F" w:rsidRDefault="0009094F">
      <w:pPr>
        <w:pStyle w:val="a4"/>
      </w:pPr>
      <w:r>
        <w:rPr>
          <w:rStyle w:val="a5"/>
        </w:rPr>
        <w:footnoteRef/>
      </w:r>
      <w:r>
        <w:rPr>
          <w:rtl/>
        </w:rPr>
        <w:t xml:space="preserve"> </w:t>
      </w:r>
      <w:r w:rsidR="009D4AE0">
        <w:rPr>
          <w:rFonts w:hint="cs"/>
          <w:rtl/>
        </w:rPr>
        <w:t xml:space="preserve">ס"ח התשכ"ח, עמ' 234. </w:t>
      </w:r>
    </w:p>
  </w:footnote>
  <w:footnote w:id="3">
    <w:p w14:paraId="7AC9DFC2" w14:textId="77777777" w:rsidR="00852992" w:rsidRDefault="00852992" w:rsidP="00852992">
      <w:pPr>
        <w:pStyle w:val="a4"/>
        <w:rPr>
          <w:rtl/>
        </w:rPr>
      </w:pPr>
      <w:r>
        <w:rPr>
          <w:rStyle w:val="a5"/>
        </w:rPr>
        <w:footnoteRef/>
      </w:r>
      <w:r>
        <w:rPr>
          <w:rtl/>
        </w:rPr>
        <w:t xml:space="preserve"> </w:t>
      </w:r>
      <w:r>
        <w:rPr>
          <w:rFonts w:hint="cs"/>
          <w:rtl/>
        </w:rPr>
        <w:t>ס"ח התשנ"ב, עמ' 184.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010A93"/>
    <w:multiLevelType w:val="hybridMultilevel"/>
    <w:tmpl w:val="A608288E"/>
    <w:lvl w:ilvl="0" w:tplc="F72CE79A">
      <w:start w:val="1"/>
      <w:numFmt w:val="hebrew1"/>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1"/>
  </w:num>
  <w:num w:numId="14">
    <w:abstractNumId w:val="17"/>
  </w:num>
  <w:num w:numId="15">
    <w:abstractNumId w:val="13"/>
  </w:num>
  <w:num w:numId="16">
    <w:abstractNumId w:val="14"/>
  </w:num>
  <w:num w:numId="17">
    <w:abstractNumId w:val="14"/>
    <w:lvlOverride w:ilvl="0">
      <w:startOverride w:val="1"/>
    </w:lvlOverride>
  </w:num>
  <w:num w:numId="18">
    <w:abstractNumId w:val="10"/>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1DDE"/>
    <w:rsid w:val="00063A3E"/>
    <w:rsid w:val="00072CAC"/>
    <w:rsid w:val="0007681A"/>
    <w:rsid w:val="0009094F"/>
    <w:rsid w:val="000A542E"/>
    <w:rsid w:val="00102B6B"/>
    <w:rsid w:val="001052D4"/>
    <w:rsid w:val="0010644B"/>
    <w:rsid w:val="00114417"/>
    <w:rsid w:val="001207F8"/>
    <w:rsid w:val="00121924"/>
    <w:rsid w:val="001279A8"/>
    <w:rsid w:val="0014195F"/>
    <w:rsid w:val="00152609"/>
    <w:rsid w:val="00153E1B"/>
    <w:rsid w:val="00174DF1"/>
    <w:rsid w:val="001A0623"/>
    <w:rsid w:val="001C23B0"/>
    <w:rsid w:val="001C4912"/>
    <w:rsid w:val="001D7AAF"/>
    <w:rsid w:val="00203A7F"/>
    <w:rsid w:val="00206AEA"/>
    <w:rsid w:val="0021633A"/>
    <w:rsid w:val="002200A1"/>
    <w:rsid w:val="002362BF"/>
    <w:rsid w:val="00241B97"/>
    <w:rsid w:val="002425D1"/>
    <w:rsid w:val="00246756"/>
    <w:rsid w:val="00251E58"/>
    <w:rsid w:val="00254605"/>
    <w:rsid w:val="00266D86"/>
    <w:rsid w:val="002728B4"/>
    <w:rsid w:val="0027600C"/>
    <w:rsid w:val="00276165"/>
    <w:rsid w:val="00292712"/>
    <w:rsid w:val="002A487D"/>
    <w:rsid w:val="002C2E29"/>
    <w:rsid w:val="002C3041"/>
    <w:rsid w:val="002D1EE3"/>
    <w:rsid w:val="002D2692"/>
    <w:rsid w:val="002D3320"/>
    <w:rsid w:val="002F095F"/>
    <w:rsid w:val="002F1D80"/>
    <w:rsid w:val="00300880"/>
    <w:rsid w:val="003232A2"/>
    <w:rsid w:val="00325C14"/>
    <w:rsid w:val="0036422C"/>
    <w:rsid w:val="003710F6"/>
    <w:rsid w:val="00386E88"/>
    <w:rsid w:val="00396585"/>
    <w:rsid w:val="003D6E38"/>
    <w:rsid w:val="003D74A0"/>
    <w:rsid w:val="004033D8"/>
    <w:rsid w:val="004073F0"/>
    <w:rsid w:val="00412A7D"/>
    <w:rsid w:val="00416B4D"/>
    <w:rsid w:val="00417CFC"/>
    <w:rsid w:val="00425498"/>
    <w:rsid w:val="0044442F"/>
    <w:rsid w:val="00480412"/>
    <w:rsid w:val="004A06DC"/>
    <w:rsid w:val="004B24ED"/>
    <w:rsid w:val="004B6625"/>
    <w:rsid w:val="004C7E64"/>
    <w:rsid w:val="004D2D82"/>
    <w:rsid w:val="004D3876"/>
    <w:rsid w:val="004D5D93"/>
    <w:rsid w:val="004E4552"/>
    <w:rsid w:val="004E6CDF"/>
    <w:rsid w:val="00533842"/>
    <w:rsid w:val="00553C9D"/>
    <w:rsid w:val="00562A66"/>
    <w:rsid w:val="00572A8D"/>
    <w:rsid w:val="005B064E"/>
    <w:rsid w:val="005C062A"/>
    <w:rsid w:val="005D51AE"/>
    <w:rsid w:val="0062674B"/>
    <w:rsid w:val="006363B2"/>
    <w:rsid w:val="00644940"/>
    <w:rsid w:val="00660E0C"/>
    <w:rsid w:val="006818A9"/>
    <w:rsid w:val="00690A1A"/>
    <w:rsid w:val="00693BA1"/>
    <w:rsid w:val="006A2D81"/>
    <w:rsid w:val="006B6427"/>
    <w:rsid w:val="006C1D0D"/>
    <w:rsid w:val="00700791"/>
    <w:rsid w:val="00705515"/>
    <w:rsid w:val="0070601E"/>
    <w:rsid w:val="00712C72"/>
    <w:rsid w:val="00735FE9"/>
    <w:rsid w:val="00752BC0"/>
    <w:rsid w:val="00763CAA"/>
    <w:rsid w:val="00765F66"/>
    <w:rsid w:val="00766DB4"/>
    <w:rsid w:val="0078664F"/>
    <w:rsid w:val="007A1917"/>
    <w:rsid w:val="007A27CE"/>
    <w:rsid w:val="007A712B"/>
    <w:rsid w:val="007C3FA6"/>
    <w:rsid w:val="007C4D43"/>
    <w:rsid w:val="007D585A"/>
    <w:rsid w:val="007D5A12"/>
    <w:rsid w:val="007E59F9"/>
    <w:rsid w:val="00810BCD"/>
    <w:rsid w:val="00812C98"/>
    <w:rsid w:val="00814D92"/>
    <w:rsid w:val="0083181D"/>
    <w:rsid w:val="00832BF3"/>
    <w:rsid w:val="00843EB2"/>
    <w:rsid w:val="0084419B"/>
    <w:rsid w:val="0085299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163B"/>
    <w:rsid w:val="00957589"/>
    <w:rsid w:val="00966D06"/>
    <w:rsid w:val="00982412"/>
    <w:rsid w:val="00983A8D"/>
    <w:rsid w:val="009A0DB8"/>
    <w:rsid w:val="009A7257"/>
    <w:rsid w:val="009C153A"/>
    <w:rsid w:val="009D4AE0"/>
    <w:rsid w:val="009D6E0A"/>
    <w:rsid w:val="009E1E33"/>
    <w:rsid w:val="00A14672"/>
    <w:rsid w:val="00A26BD6"/>
    <w:rsid w:val="00A443CF"/>
    <w:rsid w:val="00A51D51"/>
    <w:rsid w:val="00A6611D"/>
    <w:rsid w:val="00A82CB7"/>
    <w:rsid w:val="00A942C1"/>
    <w:rsid w:val="00AA2F03"/>
    <w:rsid w:val="00AC36F7"/>
    <w:rsid w:val="00AC63A4"/>
    <w:rsid w:val="00AD239E"/>
    <w:rsid w:val="00B10265"/>
    <w:rsid w:val="00B16A99"/>
    <w:rsid w:val="00B21211"/>
    <w:rsid w:val="00B27641"/>
    <w:rsid w:val="00B35784"/>
    <w:rsid w:val="00B6621F"/>
    <w:rsid w:val="00B733A7"/>
    <w:rsid w:val="00B739C3"/>
    <w:rsid w:val="00B75C91"/>
    <w:rsid w:val="00B975AD"/>
    <w:rsid w:val="00BC45FB"/>
    <w:rsid w:val="00BC7887"/>
    <w:rsid w:val="00BF148D"/>
    <w:rsid w:val="00C23B1A"/>
    <w:rsid w:val="00C310EB"/>
    <w:rsid w:val="00C63C23"/>
    <w:rsid w:val="00C9176A"/>
    <w:rsid w:val="00CD567C"/>
    <w:rsid w:val="00CF1AA2"/>
    <w:rsid w:val="00D142D3"/>
    <w:rsid w:val="00D17774"/>
    <w:rsid w:val="00D63620"/>
    <w:rsid w:val="00D70A17"/>
    <w:rsid w:val="00D8410D"/>
    <w:rsid w:val="00D867D7"/>
    <w:rsid w:val="00DB7060"/>
    <w:rsid w:val="00DE3153"/>
    <w:rsid w:val="00DF27B8"/>
    <w:rsid w:val="00E06736"/>
    <w:rsid w:val="00E13C27"/>
    <w:rsid w:val="00E31C77"/>
    <w:rsid w:val="00E33BBD"/>
    <w:rsid w:val="00E374F2"/>
    <w:rsid w:val="00E45103"/>
    <w:rsid w:val="00E46DD1"/>
    <w:rsid w:val="00E471FD"/>
    <w:rsid w:val="00E55A60"/>
    <w:rsid w:val="00E62778"/>
    <w:rsid w:val="00E635A2"/>
    <w:rsid w:val="00E63D38"/>
    <w:rsid w:val="00E665B9"/>
    <w:rsid w:val="00E8565E"/>
    <w:rsid w:val="00EA01E6"/>
    <w:rsid w:val="00EA200B"/>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08759C55-15B2-4762-8626-479686A02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C23"/>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C63C23"/>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C63C23"/>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C63C23"/>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C63C23"/>
    <w:pPr>
      <w:numPr>
        <w:numId w:val="19"/>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C63C23"/>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C63C23"/>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C63C23"/>
    <w:rPr>
      <w:sz w:val="36"/>
      <w:szCs w:val="52"/>
    </w:rPr>
  </w:style>
  <w:style w:type="paragraph" w:customStyle="1" w:styleId="Cover3-Haknesset">
    <w:name w:val="Cover 3-Haknesset"/>
    <w:basedOn w:val="Cover1-Reshumot"/>
    <w:rsid w:val="00C63C23"/>
    <w:rPr>
      <w:b/>
      <w:bCs/>
      <w:spacing w:val="60"/>
    </w:rPr>
  </w:style>
  <w:style w:type="paragraph" w:customStyle="1" w:styleId="Cover4-Date">
    <w:name w:val="Cover 4-Date"/>
    <w:basedOn w:val="a"/>
    <w:rsid w:val="00C63C23"/>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C63C23"/>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C63C23"/>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C63C23"/>
    <w:pPr>
      <w:spacing w:before="120" w:after="120"/>
    </w:pPr>
    <w:rPr>
      <w:color w:val="FF0000"/>
      <w:w w:val="80"/>
    </w:rPr>
  </w:style>
  <w:style w:type="paragraph" w:styleId="a3">
    <w:name w:val="endnote text"/>
    <w:basedOn w:val="a"/>
    <w:semiHidden/>
    <w:rsid w:val="00C63C23"/>
    <w:pPr>
      <w:ind w:left="227" w:hanging="227"/>
    </w:pPr>
    <w:rPr>
      <w:sz w:val="14"/>
      <w:szCs w:val="22"/>
    </w:rPr>
  </w:style>
  <w:style w:type="paragraph" w:customStyle="1" w:styleId="TableText">
    <w:name w:val="Table Text"/>
    <w:basedOn w:val="a"/>
    <w:rsid w:val="00C63C23"/>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C63C23"/>
    <w:pPr>
      <w:outlineLvl w:val="2"/>
    </w:pPr>
  </w:style>
  <w:style w:type="paragraph" w:customStyle="1" w:styleId="TableBlock">
    <w:name w:val="Table Block"/>
    <w:basedOn w:val="TableText"/>
    <w:rsid w:val="00C63C23"/>
    <w:pPr>
      <w:jc w:val="both"/>
    </w:pPr>
  </w:style>
  <w:style w:type="paragraph" w:customStyle="1" w:styleId="TableHead">
    <w:name w:val="Table Head"/>
    <w:basedOn w:val="TableText"/>
    <w:rsid w:val="00C63C23"/>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C63C23"/>
    <w:pPr>
      <w:outlineLvl w:val="9"/>
    </w:pPr>
  </w:style>
  <w:style w:type="paragraph" w:customStyle="1" w:styleId="Hesber">
    <w:name w:val="Hesber"/>
    <w:basedOn w:val="a"/>
    <w:rsid w:val="00C63C23"/>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C63C23"/>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C63C23"/>
    <w:rPr>
      <w:vertAlign w:val="superscript"/>
    </w:rPr>
  </w:style>
  <w:style w:type="paragraph" w:customStyle="1" w:styleId="HesberHeading">
    <w:name w:val="Hesber Heading"/>
    <w:basedOn w:val="Hesber"/>
    <w:rsid w:val="00C63C23"/>
    <w:pPr>
      <w:tabs>
        <w:tab w:val="left" w:pos="624"/>
        <w:tab w:val="left" w:pos="1247"/>
      </w:tabs>
    </w:pPr>
    <w:rPr>
      <w:b/>
      <w:bCs/>
    </w:rPr>
  </w:style>
  <w:style w:type="paragraph" w:customStyle="1" w:styleId="HesberWriters">
    <w:name w:val="Hesber Writers"/>
    <w:basedOn w:val="Hesber"/>
    <w:rsid w:val="00C63C23"/>
    <w:pPr>
      <w:spacing w:before="120" w:after="120"/>
      <w:ind w:left="1418"/>
      <w:jc w:val="right"/>
    </w:pPr>
    <w:rPr>
      <w:b/>
      <w:bCs/>
    </w:rPr>
  </w:style>
  <w:style w:type="paragraph" w:customStyle="1" w:styleId="Hesber1st">
    <w:name w:val="Hesber 1st"/>
    <w:basedOn w:val="Hesber"/>
    <w:rsid w:val="00C63C23"/>
    <w:pPr>
      <w:tabs>
        <w:tab w:val="left" w:pos="680"/>
        <w:tab w:val="left" w:pos="1020"/>
      </w:tabs>
      <w:ind w:firstLine="0"/>
    </w:pPr>
  </w:style>
  <w:style w:type="character" w:styleId="a6">
    <w:name w:val="endnote reference"/>
    <w:basedOn w:val="a0"/>
    <w:semiHidden/>
    <w:rsid w:val="00C63C23"/>
    <w:rPr>
      <w:vertAlign w:val="superscript"/>
    </w:rPr>
  </w:style>
  <w:style w:type="paragraph" w:customStyle="1" w:styleId="TableBlockOutdent">
    <w:name w:val="Table BlockOutdent"/>
    <w:basedOn w:val="TableBlock"/>
    <w:rsid w:val="00C63C23"/>
    <w:pPr>
      <w:ind w:left="624" w:hanging="624"/>
    </w:pPr>
  </w:style>
  <w:style w:type="paragraph" w:styleId="a7">
    <w:name w:val="header"/>
    <w:basedOn w:val="a"/>
    <w:rsid w:val="00C63C23"/>
    <w:pPr>
      <w:tabs>
        <w:tab w:val="center" w:pos="4153"/>
        <w:tab w:val="right" w:pos="8306"/>
      </w:tabs>
    </w:pPr>
  </w:style>
  <w:style w:type="paragraph" w:styleId="a8">
    <w:name w:val="footer"/>
    <w:basedOn w:val="a"/>
    <w:rsid w:val="00C63C23"/>
    <w:pPr>
      <w:tabs>
        <w:tab w:val="center" w:pos="4153"/>
        <w:tab w:val="right" w:pos="8306"/>
      </w:tabs>
    </w:pPr>
  </w:style>
  <w:style w:type="paragraph" w:customStyle="1" w:styleId="HeadDivreiHesber">
    <w:name w:val="Head DivreiHesber"/>
    <w:basedOn w:val="a"/>
    <w:rsid w:val="00C63C23"/>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C63C23"/>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C63C23"/>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styleId="ad">
    <w:name w:val="annotation reference"/>
    <w:basedOn w:val="a0"/>
    <w:semiHidden/>
    <w:unhideWhenUsed/>
    <w:rsid w:val="004C7E64"/>
    <w:rPr>
      <w:sz w:val="16"/>
      <w:szCs w:val="16"/>
    </w:rPr>
  </w:style>
  <w:style w:type="paragraph" w:styleId="ae">
    <w:name w:val="annotation text"/>
    <w:basedOn w:val="a"/>
    <w:link w:val="af"/>
    <w:semiHidden/>
    <w:unhideWhenUsed/>
    <w:rsid w:val="004C7E64"/>
    <w:pPr>
      <w:spacing w:line="240" w:lineRule="auto"/>
    </w:pPr>
    <w:rPr>
      <w:sz w:val="20"/>
      <w:szCs w:val="20"/>
    </w:rPr>
  </w:style>
  <w:style w:type="character" w:customStyle="1" w:styleId="af">
    <w:name w:val="טקסט הערה תו"/>
    <w:basedOn w:val="a0"/>
    <w:link w:val="ae"/>
    <w:semiHidden/>
    <w:rsid w:val="004C7E64"/>
    <w:rPr>
      <w:rFonts w:ascii="Hadasa Roso SL" w:hAnsi="Hadasa Roso SL" w:cs="Hadasa Roso SL"/>
      <w:color w:val="000000"/>
      <w:spacing w:val="1"/>
      <w:lang w:eastAsia="ja-JP"/>
    </w:rPr>
  </w:style>
  <w:style w:type="paragraph" w:styleId="af0">
    <w:name w:val="annotation subject"/>
    <w:basedOn w:val="ae"/>
    <w:next w:val="ae"/>
    <w:link w:val="af1"/>
    <w:semiHidden/>
    <w:unhideWhenUsed/>
    <w:rsid w:val="004C7E64"/>
    <w:rPr>
      <w:b/>
      <w:bCs/>
    </w:rPr>
  </w:style>
  <w:style w:type="character" w:customStyle="1" w:styleId="af1">
    <w:name w:val="נושא הערה תו"/>
    <w:basedOn w:val="af"/>
    <w:link w:val="af0"/>
    <w:semiHidden/>
    <w:rsid w:val="004C7E64"/>
    <w:rPr>
      <w:rFonts w:ascii="Hadasa Roso SL" w:hAnsi="Hadasa Roso SL" w:cs="Hadasa Roso SL"/>
      <w:b/>
      <w:bCs/>
      <w:color w:val="000000"/>
      <w:spacing w:val="1"/>
      <w:lang w:eastAsia="ja-JP"/>
    </w:rPr>
  </w:style>
  <w:style w:type="character" w:customStyle="1" w:styleId="10">
    <w:name w:val="כותרת 1 תו"/>
    <w:basedOn w:val="a0"/>
    <w:link w:val="1"/>
    <w:uiPriority w:val="9"/>
    <w:rsid w:val="00C63C23"/>
    <w:rPr>
      <w:rFonts w:asciiTheme="majorHAnsi" w:eastAsiaTheme="majorEastAsia" w:hAnsiTheme="majorHAnsi" w:cs="David"/>
      <w:bCs/>
      <w:sz w:val="32"/>
      <w:szCs w:val="36"/>
    </w:rPr>
  </w:style>
  <w:style w:type="character" w:customStyle="1" w:styleId="20">
    <w:name w:val="כותרת 2 תו"/>
    <w:basedOn w:val="a0"/>
    <w:link w:val="2"/>
    <w:rsid w:val="00C63C23"/>
    <w:rPr>
      <w:rFonts w:asciiTheme="majorHAnsi" w:eastAsiaTheme="majorEastAsia" w:hAnsiTheme="majorHAnsi" w:cs="David"/>
      <w:bCs/>
      <w:sz w:val="26"/>
      <w:szCs w:val="36"/>
      <w:u w:val="single"/>
    </w:rPr>
  </w:style>
  <w:style w:type="character" w:customStyle="1" w:styleId="30">
    <w:name w:val="כותרת 3 תו"/>
    <w:basedOn w:val="a0"/>
    <w:link w:val="3"/>
    <w:rsid w:val="00C63C23"/>
    <w:rPr>
      <w:rFonts w:asciiTheme="majorHAnsi" w:eastAsiaTheme="majorEastAsia" w:hAnsiTheme="majorHAnsi" w:cs="David"/>
      <w:sz w:val="24"/>
      <w:szCs w:val="28"/>
      <w:u w:val="double"/>
    </w:rPr>
  </w:style>
  <w:style w:type="character" w:customStyle="1" w:styleId="40">
    <w:name w:val="כותרת 4 תו"/>
    <w:basedOn w:val="a0"/>
    <w:link w:val="4"/>
    <w:uiPriority w:val="9"/>
    <w:rsid w:val="00C63C23"/>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C63C23"/>
    <w:rPr>
      <w:rFonts w:ascii="David" w:eastAsiaTheme="minorHAnsi" w:hAnsi="David" w:cs="David"/>
      <w:color w:val="000000" w:themeColor="text1"/>
      <w:sz w:val="24"/>
      <w:szCs w:val="24"/>
    </w:rPr>
  </w:style>
  <w:style w:type="paragraph" w:styleId="af2">
    <w:name w:val="TOC Heading"/>
    <w:basedOn w:val="1"/>
    <w:next w:val="a"/>
    <w:uiPriority w:val="39"/>
    <w:unhideWhenUsed/>
    <w:qFormat/>
    <w:rsid w:val="00C63C23"/>
    <w:pPr>
      <w:widowControl/>
      <w:spacing w:before="120" w:after="120"/>
      <w:outlineLvl w:val="9"/>
    </w:pPr>
    <w:rPr>
      <w:rtl/>
      <w:cs/>
    </w:rPr>
  </w:style>
  <w:style w:type="paragraph" w:styleId="TOC1">
    <w:name w:val="toc 1"/>
    <w:basedOn w:val="a"/>
    <w:next w:val="a"/>
    <w:autoRedefine/>
    <w:uiPriority w:val="39"/>
    <w:unhideWhenUsed/>
    <w:rsid w:val="00C63C23"/>
    <w:pPr>
      <w:tabs>
        <w:tab w:val="right" w:leader="dot" w:pos="9629"/>
      </w:tabs>
      <w:spacing w:after="100"/>
    </w:pPr>
    <w:rPr>
      <w:bCs/>
      <w:szCs w:val="22"/>
    </w:rPr>
  </w:style>
  <w:style w:type="paragraph" w:styleId="TOC2">
    <w:name w:val="toc 2"/>
    <w:basedOn w:val="a"/>
    <w:next w:val="a"/>
    <w:uiPriority w:val="39"/>
    <w:unhideWhenUsed/>
    <w:rsid w:val="00C63C23"/>
    <w:pPr>
      <w:tabs>
        <w:tab w:val="right" w:leader="dot" w:pos="9628"/>
      </w:tabs>
      <w:spacing w:after="100"/>
    </w:pPr>
    <w:rPr>
      <w:szCs w:val="22"/>
    </w:rPr>
  </w:style>
  <w:style w:type="character" w:styleId="Hyperlink">
    <w:name w:val="Hyperlink"/>
    <w:basedOn w:val="a0"/>
    <w:uiPriority w:val="99"/>
    <w:unhideWhenUsed/>
    <w:rsid w:val="00C63C23"/>
    <w:rPr>
      <w:color w:val="0000FF" w:themeColor="hyperlink"/>
      <w:u w:val="single"/>
    </w:rPr>
  </w:style>
  <w:style w:type="paragraph" w:styleId="TOC3">
    <w:name w:val="toc 3"/>
    <w:basedOn w:val="a"/>
    <w:next w:val="a"/>
    <w:uiPriority w:val="39"/>
    <w:unhideWhenUsed/>
    <w:rsid w:val="00C63C23"/>
    <w:pPr>
      <w:numPr>
        <w:numId w:val="22"/>
      </w:numPr>
      <w:tabs>
        <w:tab w:val="right" w:leader="dot" w:pos="9629"/>
      </w:tabs>
      <w:spacing w:after="100"/>
      <w:ind w:left="811" w:hanging="357"/>
    </w:pPr>
    <w:rPr>
      <w:szCs w:val="22"/>
    </w:rPr>
  </w:style>
  <w:style w:type="paragraph" w:styleId="TOC4">
    <w:name w:val="toc 4"/>
    <w:basedOn w:val="a"/>
    <w:next w:val="a"/>
    <w:autoRedefine/>
    <w:unhideWhenUsed/>
    <w:qFormat/>
    <w:rsid w:val="00C63C23"/>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C63C23"/>
    <w:pPr>
      <w:tabs>
        <w:tab w:val="right" w:leader="dot" w:pos="9628"/>
      </w:tabs>
      <w:spacing w:after="100"/>
      <w:ind w:left="567"/>
    </w:pPr>
    <w:rPr>
      <w:szCs w:val="22"/>
    </w:rPr>
  </w:style>
  <w:style w:type="paragraph" w:styleId="TOC6">
    <w:name w:val="toc 6"/>
    <w:basedOn w:val="a"/>
    <w:next w:val="a"/>
    <w:autoRedefine/>
    <w:semiHidden/>
    <w:unhideWhenUsed/>
    <w:rsid w:val="00C63C23"/>
    <w:pPr>
      <w:spacing w:after="100"/>
      <w:ind w:left="850"/>
    </w:pPr>
  </w:style>
  <w:style w:type="paragraph" w:styleId="TOC7">
    <w:name w:val="toc 7"/>
    <w:basedOn w:val="a"/>
    <w:next w:val="a"/>
    <w:autoRedefine/>
    <w:semiHidden/>
    <w:unhideWhenUsed/>
    <w:rsid w:val="00C63C23"/>
    <w:pPr>
      <w:spacing w:after="100"/>
      <w:ind w:left="1020"/>
    </w:pPr>
  </w:style>
  <w:style w:type="paragraph" w:styleId="TOC8">
    <w:name w:val="toc 8"/>
    <w:basedOn w:val="a"/>
    <w:next w:val="a"/>
    <w:autoRedefine/>
    <w:semiHidden/>
    <w:unhideWhenUsed/>
    <w:rsid w:val="00C63C23"/>
    <w:pPr>
      <w:spacing w:after="100"/>
      <w:ind w:left="1190"/>
    </w:pPr>
  </w:style>
  <w:style w:type="paragraph" w:styleId="TOC9">
    <w:name w:val="toc 9"/>
    <w:basedOn w:val="a"/>
    <w:next w:val="a"/>
    <w:autoRedefine/>
    <w:semiHidden/>
    <w:unhideWhenUsed/>
    <w:rsid w:val="00C63C23"/>
    <w:pPr>
      <w:spacing w:after="100"/>
      <w:ind w:left="1360"/>
    </w:pPr>
  </w:style>
  <w:style w:type="paragraph" w:customStyle="1" w:styleId="TableHead2">
    <w:name w:val="Table Head2"/>
    <w:basedOn w:val="TableHead"/>
    <w:qFormat/>
    <w:rsid w:val="00C63C23"/>
    <w:pPr>
      <w:outlineLvl w:val="9"/>
    </w:pPr>
  </w:style>
  <w:style w:type="paragraph" w:customStyle="1" w:styleId="TableSideHeading2">
    <w:name w:val="Table SideHeading2"/>
    <w:basedOn w:val="TableSideHeading"/>
    <w:autoRedefine/>
    <w:qFormat/>
    <w:rsid w:val="00C63C23"/>
    <w:pPr>
      <w:keepLines w:val="0"/>
      <w:outlineLvl w:val="9"/>
    </w:pPr>
  </w:style>
  <w:style w:type="paragraph" w:customStyle="1" w:styleId="0">
    <w:name w:val="סגנון שורה ראשונה:  0  ס''מ"/>
    <w:basedOn w:val="2"/>
    <w:rsid w:val="00C63C23"/>
    <w:rPr>
      <w:rFonts w:eastAsia="Times New Roman"/>
    </w:rPr>
  </w:style>
  <w:style w:type="paragraph" w:styleId="af3">
    <w:name w:val="List Paragraph"/>
    <w:basedOn w:val="a"/>
    <w:uiPriority w:val="34"/>
    <w:qFormat/>
    <w:rsid w:val="00C63C23"/>
    <w:pPr>
      <w:widowControl/>
      <w:spacing w:line="259" w:lineRule="auto"/>
    </w:pPr>
    <w:rPr>
      <w:rFonts w:asciiTheme="minorHAnsi" w:hAnsiTheme="minorHAnsi"/>
      <w:sz w:val="22"/>
    </w:rPr>
  </w:style>
  <w:style w:type="table" w:styleId="af4">
    <w:name w:val="Table Grid"/>
    <w:basedOn w:val="a1"/>
    <w:rsid w:val="00C63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C63C2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C63C2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5">
    <w:name w:val="טבלת חקיקה"/>
    <w:basedOn w:val="a1"/>
    <w:uiPriority w:val="99"/>
    <w:rsid w:val="00C63C23"/>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C63C23"/>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835339">
      <w:bodyDiv w:val="1"/>
      <w:marLeft w:val="0"/>
      <w:marRight w:val="0"/>
      <w:marTop w:val="0"/>
      <w:marBottom w:val="0"/>
      <w:divBdr>
        <w:top w:val="none" w:sz="0" w:space="0" w:color="auto"/>
        <w:left w:val="none" w:sz="0" w:space="0" w:color="auto"/>
        <w:bottom w:val="none" w:sz="0" w:space="0" w:color="auto"/>
        <w:right w:val="none" w:sz="0" w:space="0" w:color="auto"/>
      </w:divBdr>
    </w:div>
    <w:div w:id="1244297047">
      <w:bodyDiv w:val="1"/>
      <w:marLeft w:val="0"/>
      <w:marRight w:val="0"/>
      <w:marTop w:val="0"/>
      <w:marBottom w:val="0"/>
      <w:divBdr>
        <w:top w:val="none" w:sz="0" w:space="0" w:color="auto"/>
        <w:left w:val="none" w:sz="0" w:space="0" w:color="auto"/>
        <w:bottom w:val="none" w:sz="0" w:space="0" w:color="auto"/>
        <w:right w:val="none" w:sz="0" w:space="0" w:color="auto"/>
      </w:divBdr>
    </w:div>
    <w:div w:id="1753963318">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290d5b49-c690-4c6f-bbb9-1e50dab33ee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526709A9-0F79-4DEA-9E0A-2CF57DBEA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448D4C-AE59-4EEB-A54A-E57E7B34A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1103</TotalTime>
  <Pages>2</Pages>
  <Words>440</Words>
  <Characters>2202</Characters>
  <Application>Microsoft Office Word</Application>
  <DocSecurity>0</DocSecurity>
  <Lines>18</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46</cp:revision>
  <cp:lastPrinted>2013-07-04T08:25:00Z</cp:lastPrinted>
  <dcterms:created xsi:type="dcterms:W3CDTF">2015-04-20T09:58:00Z</dcterms:created>
  <dcterms:modified xsi:type="dcterms:W3CDTF">2022-02-17T06:55:00Z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2168221</vt:r8>
  </property>
</Properties>
</file>