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635A2" w:rsidR="002C2E29" w:rsidP="00E635A2" w:rsidRDefault="004033D8" w14:paraId="7F6961A1" w14:textId="77777777">
      <w:pPr>
        <w:jc w:val="right"/>
        <w:rPr>
          <w:b/>
          <w:bCs/>
          <w:sz w:val="20"/>
          <w:szCs w:val="20"/>
        </w:rPr>
      </w:pPr>
      <w:r w:rsidRPr="00E635A2">
        <w:rPr>
          <w:rFonts w:hint="cs"/>
          <w:sz w:val="20"/>
          <w:szCs w:val="20"/>
          <w:rtl/>
        </w:rPr>
        <w:t xml:space="preserve">מספר פנימי: </w:t>
      </w:r>
      <w:bookmarkStart w:name="LGS_Internal_ID" w:id="0"/>
      <w:r>
        <w:rPr>
          <w:rFonts w:hint="cs"/>
          <w:sz w:val="20"/>
          <w:szCs w:val="20"/>
          <w:rtl/>
        </w:rPr>
        <w:t>2168023</w:t>
      </w:r>
      <w:bookmarkEnd w:id="0"/>
    </w:p>
    <w:p w:rsidRPr="00DB7060" w:rsidR="00E13C27" w:rsidP="00A443CF" w:rsidRDefault="00E13C27" w14:paraId="7F6961A2" w14:textId="53D639AE">
      <w:pPr>
        <w:pStyle w:val="HeadHatzaotHok"/>
        <w:rPr>
          <w:sz w:val="28"/>
          <w:szCs w:val="28"/>
          <w:rtl/>
        </w:rPr>
      </w:pPr>
      <w:r w:rsidRPr="00DB7060">
        <w:rPr>
          <w:rFonts w:hint="cs"/>
          <w:sz w:val="28"/>
          <w:szCs w:val="28"/>
          <w:rtl/>
        </w:rPr>
        <w:t xml:space="preserve">הכנסת </w:t>
      </w:r>
      <w:bookmarkStart w:name="LGS_Knesset_Num" w:id="1"/>
      <w:r>
        <w:rPr>
          <w:rFonts w:hint="cs"/>
          <w:sz w:val="28"/>
          <w:szCs w:val="28"/>
          <w:rtl/>
        </w:rPr>
        <w:t>העשרים וארבע</w:t>
      </w:r>
      <w:bookmarkEnd w:id="1"/>
    </w:p>
    <w:p w:rsidRPr="00F67051" w:rsidR="00E13C27" w:rsidP="00E13C27" w:rsidRDefault="00E13C27" w14:paraId="7F6961A3" w14:textId="77777777">
      <w:pPr>
        <w:rPr>
          <w:b/>
          <w:bCs/>
          <w:sz w:val="26"/>
          <w:szCs w:val="26"/>
          <w:rtl/>
        </w:rPr>
      </w:pPr>
    </w:p>
    <w:p w:rsidRPr="00CF1AA2" w:rsidR="00E13C27" w:rsidP="00967F64" w:rsidRDefault="008F6665" w14:paraId="7F6961AA" w14:textId="436071CC">
      <w:pPr>
        <w:pStyle w:val="David"/>
        <w:ind w:left="3544"/>
        <w:rPr>
          <w:b/>
          <w:bCs/>
          <w:sz w:val="16"/>
          <w:szCs w:val="16"/>
          <w:rtl/>
        </w:rPr>
      </w:pPr>
      <w:bookmarkStart w:name="LGS_Initiators_List" w:id="2"/>
      <w:r>
        <w:rPr>
          <w:b/>
          <w:bCs/>
          <w:rtl/>
        </w:rPr>
        <w:t>יוזמים:      חברי הכנסת</w:t>
      </w:r>
      <w:bookmarkEnd w:id="2"/>
      <w:r w:rsidRPr="00F67051" w:rsidR="00B35784">
        <w:rPr>
          <w:b/>
          <w:bCs/>
        </w:rPr>
        <w:tab/>
      </w:r>
      <w:bookmarkStart w:name="LGS_PM_Names" w:id="3"/>
      <w:proofErr w:type="spellStart"/>
      <w:r>
        <w:rPr>
          <w:rFonts w:hint="cs"/>
          <w:b/>
          <w:bCs/>
          <w:rtl/>
        </w:rPr>
        <w:t>מוסי</w:t>
      </w:r>
      <w:proofErr w:type="spellEnd"/>
      <w:r>
        <w:rPr>
          <w:rFonts w:hint="cs"/>
          <w:b/>
          <w:bCs/>
          <w:rtl/>
        </w:rPr>
        <w:t xml:space="preserve"> רז</w:t>
      </w:r>
      <w:r>
        <w:br/>
      </w:r>
      <w:r>
        <w:rPr>
          <w:rFonts w:hint="cs"/>
          <w:b/>
          <w:bCs/>
          <w:rtl/>
        </w:rPr>
        <w:t xml:space="preserve"> </w:t>
      </w:r>
      <w:r>
        <w:tab/>
      </w:r>
      <w:r>
        <w:tab/>
      </w:r>
      <w:r>
        <w:tab/>
      </w:r>
      <w:r>
        <w:tab/>
      </w:r>
      <w:proofErr w:type="spellStart"/>
      <w:r>
        <w:rPr>
          <w:rFonts w:hint="cs"/>
          <w:b/>
          <w:bCs/>
          <w:rtl/>
        </w:rPr>
        <w:t>יוראי</w:t>
      </w:r>
      <w:proofErr w:type="spellEnd"/>
      <w:r>
        <w:rPr>
          <w:rFonts w:hint="cs"/>
          <w:b/>
          <w:bCs/>
          <w:rtl/>
        </w:rPr>
        <w:t xml:space="preserve"> להב הרצנו</w:t>
      </w:r>
      <w:r>
        <w:br/>
      </w:r>
      <w:r>
        <w:rPr>
          <w:rFonts w:hint="cs"/>
          <w:b/>
          <w:bCs/>
          <w:rtl/>
        </w:rPr>
        <w:t xml:space="preserve"> </w:t>
      </w:r>
      <w:r>
        <w:tab/>
      </w:r>
      <w:r>
        <w:tab/>
      </w:r>
      <w:r>
        <w:tab/>
      </w:r>
      <w:r>
        <w:tab/>
      </w:r>
      <w:r>
        <w:rPr>
          <w:rFonts w:hint="cs"/>
          <w:b/>
          <w:bCs/>
          <w:rtl/>
        </w:rPr>
        <w:t>ענבר בזק</w:t>
      </w:r>
      <w:r>
        <w:br/>
      </w:r>
      <w:r>
        <w:rPr>
          <w:rFonts w:hint="cs"/>
          <w:b/>
          <w:bCs/>
          <w:rtl/>
        </w:rPr>
        <w:t xml:space="preserve"> </w:t>
      </w:r>
      <w:r>
        <w:tab/>
      </w:r>
      <w:r>
        <w:tab/>
      </w:r>
      <w:r>
        <w:tab/>
      </w:r>
      <w:r>
        <w:tab/>
      </w:r>
      <w:r>
        <w:rPr>
          <w:rFonts w:hint="cs"/>
          <w:b/>
          <w:bCs/>
          <w:rtl/>
        </w:rPr>
        <w:t>עופר כסיף</w:t>
      </w:r>
      <w:r>
        <w:br/>
      </w:r>
      <w:r>
        <w:rPr>
          <w:rFonts w:hint="cs"/>
          <w:b/>
          <w:bCs/>
          <w:rtl/>
        </w:rPr>
        <w:t xml:space="preserve"> </w:t>
      </w:r>
      <w:r>
        <w:tab/>
      </w:r>
      <w:r>
        <w:tab/>
      </w:r>
      <w:r>
        <w:tab/>
      </w:r>
      <w:r>
        <w:tab/>
      </w:r>
      <w:r>
        <w:rPr>
          <w:rFonts w:hint="cs"/>
          <w:b/>
          <w:bCs/>
          <w:rtl/>
        </w:rPr>
        <w:t>גבי לסקי</w:t>
      </w:r>
      <w:r>
        <w:br/>
      </w:r>
      <w:r>
        <w:rPr>
          <w:rFonts w:hint="cs"/>
          <w:b/>
          <w:bCs/>
          <w:rtl/>
        </w:rPr>
        <w:t xml:space="preserve"> </w:t>
      </w:r>
      <w:r>
        <w:tab/>
      </w:r>
      <w:r>
        <w:tab/>
      </w:r>
      <w:r>
        <w:tab/>
      </w:r>
      <w:r>
        <w:tab/>
      </w:r>
      <w:r>
        <w:rPr>
          <w:rFonts w:hint="cs"/>
          <w:b/>
          <w:bCs/>
          <w:rtl/>
        </w:rPr>
        <w:t xml:space="preserve">סמי אבו </w:t>
      </w:r>
      <w:proofErr w:type="spellStart"/>
      <w:r>
        <w:rPr>
          <w:rFonts w:hint="cs"/>
          <w:b/>
          <w:bCs/>
          <w:rtl/>
        </w:rPr>
        <w:t>שחאדה</w:t>
      </w:r>
      <w:proofErr w:type="spellEnd"/>
      <w:r>
        <w:br/>
      </w:r>
      <w:r>
        <w:rPr>
          <w:rFonts w:hint="cs"/>
          <w:b/>
          <w:bCs/>
          <w:rtl/>
        </w:rPr>
        <w:t xml:space="preserve"> </w:t>
      </w:r>
      <w:r>
        <w:tab/>
      </w:r>
      <w:r>
        <w:tab/>
      </w:r>
      <w:r>
        <w:tab/>
      </w:r>
      <w:r>
        <w:tab/>
      </w:r>
      <w:r>
        <w:rPr>
          <w:rFonts w:hint="cs"/>
          <w:b/>
          <w:bCs/>
          <w:rtl/>
        </w:rPr>
        <w:t>מיכל רוזין</w:t>
      </w:r>
      <w:r>
        <w:br/>
      </w:r>
      <w:r>
        <w:rPr>
          <w:rFonts w:hint="cs"/>
          <w:b/>
          <w:bCs/>
          <w:rtl/>
        </w:rPr>
        <w:t xml:space="preserve"> </w:t>
      </w:r>
      <w:r>
        <w:tab/>
      </w:r>
      <w:r>
        <w:tab/>
      </w:r>
      <w:r>
        <w:tab/>
      </w:r>
      <w:r>
        <w:tab/>
      </w:r>
      <w:r>
        <w:rPr>
          <w:rFonts w:hint="cs"/>
          <w:b/>
          <w:bCs/>
          <w:rtl/>
        </w:rPr>
        <w:t>אלון טל</w:t>
      </w:r>
      <w:r>
        <w:br/>
      </w:r>
      <w:r>
        <w:rPr>
          <w:rFonts w:hint="cs"/>
          <w:b/>
          <w:bCs/>
          <w:rtl/>
        </w:rPr>
        <w:t xml:space="preserve"> </w:t>
      </w:r>
      <w:r>
        <w:tab/>
      </w:r>
      <w:r>
        <w:tab/>
      </w:r>
      <w:r>
        <w:tab/>
      </w:r>
      <w:r>
        <w:tab/>
      </w:r>
      <w:r>
        <w:rPr>
          <w:rFonts w:hint="cs"/>
          <w:b/>
          <w:bCs/>
          <w:rtl/>
        </w:rPr>
        <w:t xml:space="preserve">אמילי חיה </w:t>
      </w:r>
      <w:proofErr w:type="spellStart"/>
      <w:r>
        <w:rPr>
          <w:rFonts w:hint="cs"/>
          <w:b/>
          <w:bCs/>
          <w:rtl/>
        </w:rPr>
        <w:t>מואטי</w:t>
      </w:r>
      <w:bookmarkStart w:name="LGS_Join_List" w:id="4"/>
      <w:bookmarkEnd w:id="3"/>
      <w:proofErr w:type="spellEnd"/>
      <w:r w:rsidR="007D585A">
        <w:rPr>
          <w:rtl/>
        </w:rPr>
        <w:t xml:space="preserve"> </w:t>
      </w:r>
      <w:bookmarkEnd w:id="4"/>
      <w:r w:rsidRPr="00CF1AA2" w:rsidR="002200A1">
        <w:rPr>
          <w:rFonts w:hint="cs"/>
          <w:rtl/>
        </w:rPr>
        <w:tab/>
      </w:r>
      <w:bookmarkStart w:name="LGS_PM_NamesJoin" w:id="5"/>
      <w:r w:rsidR="007D585A">
        <w:rPr>
          <w:rFonts w:hint="cs"/>
          <w:rtl/>
        </w:rPr>
        <w:t xml:space="preserve"> </w:t>
      </w:r>
      <w:bookmarkEnd w:id="5"/>
    </w:p>
    <w:p w:rsidRPr="00904591" w:rsidR="00904591" w:rsidP="0036422C" w:rsidRDefault="00266D86" w14:paraId="34DB4103" w14:textId="77777777">
      <w:pPr>
        <w:pStyle w:val="David"/>
        <w:ind w:left="3544"/>
        <w:rPr>
          <w:sz w:val="4"/>
          <w:szCs w:val="4"/>
          <w:rtl/>
        </w:rPr>
      </w:pPr>
      <w:r>
        <w:t>____</w:t>
      </w:r>
      <w:r w:rsidR="00E374F2">
        <w:t>__</w:t>
      </w:r>
      <w:r>
        <w:t>________________________________________</w:t>
      </w:r>
      <w:r w:rsidRPr="00E06736" w:rsidR="00E06736">
        <w:tab/>
      </w:r>
      <w:r w:rsidRPr="00E06736" w:rsidR="00E13C27">
        <w:rPr>
          <w:rFonts w:hint="cs"/>
          <w:rtl/>
        </w:rPr>
        <w:tab/>
      </w:r>
      <w:r w:rsidRPr="00E06736" w:rsidR="00E13C27">
        <w:rPr>
          <w:rFonts w:hint="cs"/>
          <w:rtl/>
        </w:rPr>
        <w:tab/>
      </w:r>
      <w:r w:rsidRPr="00E06736" w:rsidR="00E13C27">
        <w:rPr>
          <w:rFonts w:hint="cs"/>
          <w:rtl/>
        </w:rPr>
        <w:tab/>
      </w:r>
      <w:r w:rsidR="00904591">
        <w:t xml:space="preserve">           </w:t>
      </w:r>
    </w:p>
    <w:p w:rsidRPr="00E06736" w:rsidR="00E13C27" w:rsidP="00967F64" w:rsidRDefault="00904591" w14:paraId="7F6961AB" w14:textId="33F30FE5">
      <w:pPr>
        <w:pStyle w:val="David"/>
        <w:spacing w:line="240" w:lineRule="auto"/>
        <w:ind w:left="6424" w:firstLine="56"/>
        <w:rPr>
          <w:rtl/>
        </w:rPr>
      </w:pPr>
      <w:bookmarkStart w:name="Private_Number" w:id="6"/>
      <w:r>
        <w:rPr>
          <w:rFonts w:hint="cs"/>
          <w:rtl/>
        </w:rPr>
        <w:t>פ/3296/24</w:t>
      </w:r>
      <w:bookmarkEnd w:id="6"/>
    </w:p>
    <w:p w:rsidRPr="00F67051" w:rsidR="00E13C27" w:rsidP="0071770D" w:rsidRDefault="00A443CF" w14:paraId="7F6961AD" w14:textId="06A84E8D">
      <w:pPr>
        <w:pStyle w:val="HeadHatzaotHok"/>
        <w:rPr>
          <w:rtl/>
        </w:rPr>
      </w:pPr>
      <w:bookmarkStart w:name="LGS_Subject" w:id="7"/>
      <w:r xmlns:w="http://schemas.openxmlformats.org/wordprocessingml/2006/main">
        <w:rPr xmlns:w="http://schemas.openxmlformats.org/wordprocessingml/2006/main">
          <w:rFonts w:hint="cs"/>
          <w:rtl/>
        </w:rPr>
        <w:t xml:space="preserve">הצעת חוק הפיקוח על שירותים פיננסיים (קופות גמל) (תיקון – חשיפת מדיניות סיכונים סביבתיים), התשפ"ב–2022</w:t>
      </w:r>
      <w:proofErr w:type="spellStart"/>
      <w:proofErr w:type="spellEnd"/>
      <w:bookmarkEnd w:id="7"/>
    </w:p>
    <w:p w:rsidR="00E13C27" w:rsidP="0021633A" w:rsidRDefault="00E13C27" w14:paraId="7F6961AE" w14:textId="77777777">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2F1D80" w:rsidTr="00967F64" w14:paraId="035EEF3D" w14:textId="77777777">
        <w:trPr>
          <w:cantSplit/>
        </w:trPr>
        <w:tc>
          <w:tcPr>
            <w:tcW w:w="1871" w:type="dxa"/>
          </w:tcPr>
          <w:p w:rsidR="002F1D80" w:rsidP="002C3041" w:rsidRDefault="0033368B" w14:paraId="3863FF98" w14:textId="6221191A">
            <w:pPr>
              <w:pStyle w:val="TableSideHeading"/>
              <w:keepLines w:val="0"/>
            </w:pPr>
            <w:r>
              <w:rPr>
                <w:rFonts w:hint="cs"/>
                <w:rtl/>
              </w:rPr>
              <w:t>תיקון סעיף 16</w:t>
            </w:r>
          </w:p>
        </w:tc>
        <w:tc>
          <w:tcPr>
            <w:tcW w:w="624" w:type="dxa"/>
          </w:tcPr>
          <w:p w:rsidR="002F1D80" w:rsidP="002C3041" w:rsidRDefault="0033368B" w14:paraId="6F513EF6" w14:textId="0D61AF93">
            <w:pPr>
              <w:pStyle w:val="TableText"/>
              <w:keepLines w:val="0"/>
            </w:pPr>
            <w:r>
              <w:rPr>
                <w:rFonts w:hint="cs"/>
                <w:rtl/>
              </w:rPr>
              <w:t>1.</w:t>
            </w:r>
          </w:p>
        </w:tc>
        <w:tc>
          <w:tcPr>
            <w:tcW w:w="7143" w:type="dxa"/>
          </w:tcPr>
          <w:p w:rsidRPr="0033368B" w:rsidR="002F1D80" w:rsidP="00967F64" w:rsidRDefault="0033368B" w14:paraId="1AE94DEB" w14:textId="236072D0">
            <w:pPr>
              <w:pStyle w:val="TableBlock"/>
            </w:pPr>
            <w:r w:rsidRPr="0033368B">
              <w:rPr>
                <w:rFonts w:hint="cs"/>
                <w:rtl/>
              </w:rPr>
              <w:t>בחוק הפיקוח על שירותים פיננסי</w:t>
            </w:r>
            <w:r w:rsidR="00C45A24">
              <w:rPr>
                <w:rFonts w:hint="cs"/>
                <w:rtl/>
              </w:rPr>
              <w:t>י</w:t>
            </w:r>
            <w:r w:rsidRPr="0033368B">
              <w:rPr>
                <w:rFonts w:hint="cs"/>
                <w:rtl/>
              </w:rPr>
              <w:t xml:space="preserve">ם (קופות גמל), </w:t>
            </w:r>
            <w:proofErr w:type="spellStart"/>
            <w:r w:rsidRPr="0033368B">
              <w:rPr>
                <w:rFonts w:hint="cs"/>
                <w:rtl/>
              </w:rPr>
              <w:t>התשס"ה</w:t>
            </w:r>
            <w:proofErr w:type="spellEnd"/>
            <w:r w:rsidR="00C45A24">
              <w:rPr>
                <w:rFonts w:hint="cs"/>
                <w:rtl/>
              </w:rPr>
              <w:t>–</w:t>
            </w:r>
            <w:r w:rsidRPr="0033368B">
              <w:rPr>
                <w:rFonts w:hint="cs"/>
                <w:rtl/>
              </w:rPr>
              <w:t>2005</w:t>
            </w:r>
            <w:r w:rsidRPr="00967F64">
              <w:rPr>
                <w:rFonts w:ascii="David" w:hAnsi="David"/>
                <w:sz w:val="26"/>
                <w:vertAlign w:val="superscript"/>
                <w:rtl/>
              </w:rPr>
              <w:footnoteReference w:id="2"/>
            </w:r>
            <w:r w:rsidRPr="0033368B">
              <w:rPr>
                <w:rFonts w:hint="cs"/>
                <w:rtl/>
              </w:rPr>
              <w:t xml:space="preserve"> (להלן</w:t>
            </w:r>
            <w:r w:rsidR="00C45A24">
              <w:rPr>
                <w:rFonts w:hint="cs"/>
                <w:rtl/>
              </w:rPr>
              <w:t xml:space="preserve"> </w:t>
            </w:r>
            <w:r w:rsidRPr="0033368B">
              <w:rPr>
                <w:rFonts w:hint="cs"/>
                <w:rtl/>
              </w:rPr>
              <w:t>– החוק העיקרי), בסעיף 16(ד), בפסקת משנה (4), בסופה יבוא "שתכלול בין היתר גם תיאור של השיקולים החברתיים, הסיכונים הסביבתיים ו</w:t>
            </w:r>
            <w:r w:rsidR="00C45A24">
              <w:rPr>
                <w:rFonts w:hint="cs"/>
                <w:rtl/>
              </w:rPr>
              <w:t xml:space="preserve">השיקולים </w:t>
            </w:r>
            <w:r w:rsidRPr="0033368B">
              <w:rPr>
                <w:rFonts w:hint="cs"/>
                <w:rtl/>
              </w:rPr>
              <w:t xml:space="preserve">האתיים </w:t>
            </w:r>
            <w:r w:rsidR="0079195B">
              <w:rPr>
                <w:rFonts w:hint="cs"/>
                <w:rtl/>
              </w:rPr>
              <w:t xml:space="preserve">המובאים בחשבון על ידי </w:t>
            </w:r>
            <w:r w:rsidR="00C45A24">
              <w:rPr>
                <w:rFonts w:hint="cs"/>
                <w:rtl/>
              </w:rPr>
              <w:t>קופת הגמל</w:t>
            </w:r>
            <w:r w:rsidRPr="0033368B" w:rsidR="0079195B">
              <w:rPr>
                <w:rFonts w:hint="cs"/>
                <w:rtl/>
              </w:rPr>
              <w:t xml:space="preserve"> </w:t>
            </w:r>
            <w:r w:rsidRPr="0033368B">
              <w:rPr>
                <w:rFonts w:hint="cs"/>
                <w:rtl/>
              </w:rPr>
              <w:t>בבחירת ההשקעות, החזקתן ומימושן וכן תיאור של המדיניות ביחס למימוש הזכויות הנלוות לניירות הערך, כמשמעותן בחוק ניירות</w:t>
            </w:r>
            <w:r w:rsidRPr="0033368B">
              <w:rPr>
                <w:rFonts w:hint="cs"/>
              </w:rPr>
              <w:t xml:space="preserve"> </w:t>
            </w:r>
            <w:r w:rsidRPr="0033368B">
              <w:rPr>
                <w:rFonts w:hint="cs"/>
                <w:rtl/>
              </w:rPr>
              <w:t>ערך,</w:t>
            </w:r>
            <w:r w:rsidRPr="0033368B">
              <w:rPr>
                <w:rFonts w:hint="cs"/>
              </w:rPr>
              <w:t xml:space="preserve"> </w:t>
            </w:r>
            <w:proofErr w:type="spellStart"/>
            <w:r w:rsidRPr="0033368B">
              <w:rPr>
                <w:rFonts w:hint="cs"/>
                <w:rtl/>
              </w:rPr>
              <w:t>התשכ"ח</w:t>
            </w:r>
            <w:proofErr w:type="spellEnd"/>
            <w:r w:rsidR="00C45A24">
              <w:rPr>
                <w:rFonts w:hint="cs"/>
                <w:rtl/>
              </w:rPr>
              <w:t>–</w:t>
            </w:r>
            <w:r w:rsidRPr="0033368B">
              <w:rPr>
                <w:rFonts w:hint="cs"/>
                <w:rtl/>
              </w:rPr>
              <w:t>1968</w:t>
            </w:r>
            <w:r w:rsidRPr="00967F64">
              <w:rPr>
                <w:rFonts w:ascii="David" w:hAnsi="David"/>
                <w:sz w:val="26"/>
                <w:vertAlign w:val="superscript"/>
                <w:rtl/>
              </w:rPr>
              <w:footnoteReference w:id="3"/>
            </w:r>
            <w:r w:rsidRPr="0033368B">
              <w:rPr>
                <w:rFonts w:hint="cs"/>
                <w:rtl/>
              </w:rPr>
              <w:t>, לרבות זכות ההצבעה</w:t>
            </w:r>
            <w:r w:rsidR="00D46A60">
              <w:rPr>
                <w:rFonts w:hint="cs"/>
                <w:rtl/>
              </w:rPr>
              <w:t>;</w:t>
            </w:r>
            <w:r w:rsidRPr="0033368B">
              <w:rPr>
                <w:rFonts w:hint="cs"/>
                <w:rtl/>
              </w:rPr>
              <w:t>"</w:t>
            </w:r>
            <w:r w:rsidR="00967F64">
              <w:rPr>
                <w:rFonts w:hint="cs"/>
                <w:rtl/>
              </w:rPr>
              <w:t>.</w:t>
            </w:r>
          </w:p>
        </w:tc>
      </w:tr>
      <w:tr w:rsidR="002F1D80" w:rsidTr="00967F64" w14:paraId="3D9B61D1" w14:textId="77777777">
        <w:trPr>
          <w:cantSplit/>
        </w:trPr>
        <w:tc>
          <w:tcPr>
            <w:tcW w:w="1871" w:type="dxa"/>
          </w:tcPr>
          <w:p w:rsidR="002F1D80" w:rsidP="002C3041" w:rsidRDefault="0033368B" w14:paraId="6C0CB9D8" w14:textId="13E60ACF">
            <w:pPr>
              <w:pStyle w:val="TableSideHeading"/>
              <w:keepLines w:val="0"/>
            </w:pPr>
            <w:r>
              <w:rPr>
                <w:rFonts w:hint="cs"/>
                <w:rtl/>
              </w:rPr>
              <w:t>תיקון סעיף 18</w:t>
            </w:r>
          </w:p>
        </w:tc>
        <w:tc>
          <w:tcPr>
            <w:tcW w:w="624" w:type="dxa"/>
          </w:tcPr>
          <w:p w:rsidR="002F1D80" w:rsidP="002C3041" w:rsidRDefault="0033368B" w14:paraId="3F4286A2" w14:textId="63AC9F6D">
            <w:pPr>
              <w:pStyle w:val="TableText"/>
              <w:keepLines w:val="0"/>
            </w:pPr>
            <w:r>
              <w:rPr>
                <w:rFonts w:hint="cs"/>
                <w:rtl/>
              </w:rPr>
              <w:t>2.</w:t>
            </w:r>
          </w:p>
        </w:tc>
        <w:tc>
          <w:tcPr>
            <w:tcW w:w="7143" w:type="dxa"/>
          </w:tcPr>
          <w:p w:rsidRPr="00C34DE2" w:rsidR="002F1D80" w:rsidP="00967F64" w:rsidRDefault="0033368B" w14:paraId="7633D5BB" w14:textId="6FB1FE1A">
            <w:pPr>
              <w:pStyle w:val="TableBlock"/>
            </w:pPr>
            <w:r w:rsidRPr="00226EB8">
              <w:rPr>
                <w:rFonts w:hint="cs"/>
                <w:rtl/>
              </w:rPr>
              <w:t xml:space="preserve">בסעיף 18 לחוק העיקרי, </w:t>
            </w:r>
            <w:r w:rsidR="00D46A60">
              <w:rPr>
                <w:rFonts w:hint="cs"/>
                <w:rtl/>
              </w:rPr>
              <w:t>בסופו</w:t>
            </w:r>
            <w:r w:rsidRPr="00226EB8">
              <w:rPr>
                <w:rFonts w:hint="cs"/>
                <w:rtl/>
              </w:rPr>
              <w:t xml:space="preserve"> יבוא:</w:t>
            </w:r>
          </w:p>
        </w:tc>
      </w:tr>
      <w:tr w:rsidR="0033368B" w:rsidTr="00967F64" w14:paraId="162CAAF9" w14:textId="77777777">
        <w:trPr>
          <w:cantSplit/>
        </w:trPr>
        <w:tc>
          <w:tcPr>
            <w:tcW w:w="1871" w:type="dxa"/>
          </w:tcPr>
          <w:p w:rsidR="0033368B" w:rsidP="002C3041" w:rsidRDefault="0033368B" w14:paraId="252B54CE" w14:textId="77777777">
            <w:pPr>
              <w:pStyle w:val="TableSideHeading"/>
              <w:keepLines w:val="0"/>
              <w:rPr>
                <w:rtl/>
              </w:rPr>
            </w:pPr>
          </w:p>
        </w:tc>
        <w:tc>
          <w:tcPr>
            <w:tcW w:w="624" w:type="dxa"/>
          </w:tcPr>
          <w:p w:rsidR="0033368B" w:rsidP="0033368B" w:rsidRDefault="0033368B" w14:paraId="0A611DA9" w14:textId="77777777">
            <w:pPr>
              <w:pStyle w:val="TableText"/>
              <w:rPr>
                <w:rtl/>
              </w:rPr>
            </w:pPr>
          </w:p>
        </w:tc>
        <w:tc>
          <w:tcPr>
            <w:tcW w:w="7143" w:type="dxa"/>
          </w:tcPr>
          <w:p w:rsidR="0033368B" w:rsidP="00967F64" w:rsidRDefault="00756C66" w14:paraId="4ABB800F" w14:textId="537EE032">
            <w:pPr>
              <w:pStyle w:val="TableBlock"/>
              <w:tabs>
                <w:tab w:val="left" w:pos="624"/>
                <w:tab w:val="left" w:pos="1247"/>
              </w:tabs>
              <w:rPr>
                <w:rtl/>
              </w:rPr>
            </w:pPr>
            <w:r>
              <w:rPr>
                <w:rFonts w:hint="cs"/>
                <w:rtl/>
              </w:rPr>
              <w:t>"</w:t>
            </w:r>
            <w:r w:rsidRPr="00226EB8" w:rsidR="0033368B">
              <w:rPr>
                <w:rFonts w:hint="cs"/>
                <w:rtl/>
              </w:rPr>
              <w:t>(ד)</w:t>
            </w:r>
            <w:r w:rsidRPr="00226EB8" w:rsidR="0033368B">
              <w:rPr>
                <w:rtl/>
              </w:rPr>
              <w:tab/>
            </w:r>
            <w:r w:rsidRPr="00226EB8" w:rsidR="0033368B">
              <w:rPr>
                <w:rFonts w:hint="cs"/>
                <w:rtl/>
              </w:rPr>
              <w:t>קופת גמל לקצבה תמציא</w:t>
            </w:r>
            <w:r w:rsidR="00D46A60">
              <w:rPr>
                <w:rFonts w:hint="cs"/>
                <w:rtl/>
              </w:rPr>
              <w:t>,</w:t>
            </w:r>
            <w:r w:rsidRPr="00226EB8" w:rsidR="0033368B">
              <w:rPr>
                <w:rFonts w:hint="cs"/>
                <w:rtl/>
              </w:rPr>
              <w:t xml:space="preserve"> אחת לשנה</w:t>
            </w:r>
            <w:r w:rsidR="00D46A60">
              <w:rPr>
                <w:rFonts w:hint="cs"/>
                <w:rtl/>
              </w:rPr>
              <w:t>,</w:t>
            </w:r>
            <w:r w:rsidRPr="00226EB8" w:rsidR="0033368B">
              <w:rPr>
                <w:rFonts w:hint="cs"/>
                <w:rtl/>
              </w:rPr>
              <w:t xml:space="preserve"> לכל עמיתיה את מדיניות ההשקע</w:t>
            </w:r>
            <w:r w:rsidR="0033368B">
              <w:rPr>
                <w:rFonts w:hint="cs"/>
                <w:rtl/>
              </w:rPr>
              <w:t>ה שלה כמשמעותה בסעיף 16(ד)(4).</w:t>
            </w:r>
            <w:r>
              <w:rPr>
                <w:rFonts w:hint="cs"/>
                <w:rtl/>
              </w:rPr>
              <w:t>"</w:t>
            </w:r>
          </w:p>
        </w:tc>
      </w:tr>
      <w:tr w:rsidR="00550CC2" w:rsidTr="00967F64" w14:paraId="27F45263" w14:textId="77777777">
        <w:trPr>
          <w:cantSplit/>
        </w:trPr>
        <w:tc>
          <w:tcPr>
            <w:tcW w:w="1871" w:type="dxa"/>
          </w:tcPr>
          <w:p w:rsidR="00550CC2" w:rsidP="002C3041" w:rsidRDefault="00550CC2" w14:paraId="730BE12F" w14:textId="7B707E14">
            <w:pPr>
              <w:pStyle w:val="TableSideHeading"/>
              <w:keepLines w:val="0"/>
              <w:rPr>
                <w:rtl/>
              </w:rPr>
            </w:pPr>
            <w:r>
              <w:rPr>
                <w:rFonts w:hint="cs"/>
                <w:rtl/>
              </w:rPr>
              <w:t>תיקון סעיף 26</w:t>
            </w:r>
          </w:p>
        </w:tc>
        <w:tc>
          <w:tcPr>
            <w:tcW w:w="624" w:type="dxa"/>
          </w:tcPr>
          <w:p w:rsidR="00550CC2" w:rsidP="00550CC2" w:rsidRDefault="00550CC2" w14:paraId="29CAC7C1" w14:textId="25A1AE64">
            <w:pPr>
              <w:pStyle w:val="TableText"/>
              <w:rPr>
                <w:rtl/>
              </w:rPr>
            </w:pPr>
            <w:r>
              <w:rPr>
                <w:rFonts w:hint="cs"/>
                <w:rtl/>
              </w:rPr>
              <w:t>3.</w:t>
            </w:r>
          </w:p>
        </w:tc>
        <w:tc>
          <w:tcPr>
            <w:tcW w:w="7143" w:type="dxa"/>
          </w:tcPr>
          <w:p w:rsidR="00550CC2" w:rsidP="00967F64" w:rsidRDefault="00550CC2" w14:paraId="635DFE5E" w14:textId="76103E6D">
            <w:pPr>
              <w:pStyle w:val="TableBlock"/>
              <w:rPr>
                <w:rtl/>
              </w:rPr>
            </w:pPr>
            <w:r>
              <w:rPr>
                <w:rFonts w:hint="cs"/>
                <w:rtl/>
              </w:rPr>
              <w:t>בסעיף 26 לחוק העיקרי, אחרי סעיף קטן (ב) יבוא</w:t>
            </w:r>
            <w:r w:rsidR="00143BF2">
              <w:rPr>
                <w:rFonts w:hint="cs"/>
                <w:rtl/>
              </w:rPr>
              <w:t>:</w:t>
            </w:r>
          </w:p>
        </w:tc>
      </w:tr>
      <w:tr w:rsidR="00550CC2" w:rsidTr="00967F64" w14:paraId="630D9496" w14:textId="77777777">
        <w:trPr>
          <w:cantSplit/>
        </w:trPr>
        <w:tc>
          <w:tcPr>
            <w:tcW w:w="1871" w:type="dxa"/>
          </w:tcPr>
          <w:p w:rsidR="00550CC2" w:rsidP="002C3041" w:rsidRDefault="00550CC2" w14:paraId="38CFDF47" w14:textId="77777777">
            <w:pPr>
              <w:pStyle w:val="TableSideHeading"/>
              <w:keepLines w:val="0"/>
              <w:rPr>
                <w:rtl/>
              </w:rPr>
            </w:pPr>
          </w:p>
        </w:tc>
        <w:tc>
          <w:tcPr>
            <w:tcW w:w="624" w:type="dxa"/>
          </w:tcPr>
          <w:p w:rsidR="00550CC2" w:rsidP="00550CC2" w:rsidRDefault="00550CC2" w14:paraId="19B58881" w14:textId="77777777">
            <w:pPr>
              <w:pStyle w:val="TableText"/>
              <w:rPr>
                <w:rtl/>
              </w:rPr>
            </w:pPr>
          </w:p>
        </w:tc>
        <w:tc>
          <w:tcPr>
            <w:tcW w:w="7143" w:type="dxa"/>
          </w:tcPr>
          <w:p w:rsidR="00550CC2" w:rsidP="00967F64" w:rsidRDefault="00550CC2" w14:paraId="64426AF1" w14:textId="1C77C211">
            <w:pPr>
              <w:pStyle w:val="TableBlock"/>
              <w:rPr>
                <w:rtl/>
              </w:rPr>
            </w:pPr>
            <w:r>
              <w:rPr>
                <w:rFonts w:hint="cs"/>
                <w:rtl/>
              </w:rPr>
              <w:t>"(ג)</w:t>
            </w:r>
            <w:r w:rsidR="0046275C">
              <w:rPr>
                <w:rtl/>
              </w:rPr>
              <w:tab/>
            </w:r>
            <w:r>
              <w:rPr>
                <w:rFonts w:hint="cs"/>
                <w:rtl/>
              </w:rPr>
              <w:t xml:space="preserve">בלי לגרוע מהוראות סעיף קטן (א), חברה מנהלת תקבע מדיניות השקעה שתכלול שיקולים חברתיים </w:t>
            </w:r>
            <w:r w:rsidR="00AA4713">
              <w:rPr>
                <w:rFonts w:hint="cs"/>
                <w:rtl/>
              </w:rPr>
              <w:t>ו</w:t>
            </w:r>
            <w:r>
              <w:rPr>
                <w:rFonts w:hint="cs"/>
                <w:rtl/>
              </w:rPr>
              <w:t>סיכונים סביבתיים ואתיים בהשקעותיה."</w:t>
            </w:r>
          </w:p>
        </w:tc>
      </w:tr>
      <w:tr w:rsidR="00E804D1" w:rsidTr="00967F64" w14:paraId="380B2D6A" w14:textId="77777777">
        <w:trPr>
          <w:cantSplit/>
        </w:trPr>
        <w:tc>
          <w:tcPr>
            <w:tcW w:w="1871" w:type="dxa"/>
          </w:tcPr>
          <w:p w:rsidR="00E804D1" w:rsidP="002C3041" w:rsidRDefault="00E804D1" w14:paraId="04351381" w14:textId="166F0F4B">
            <w:pPr>
              <w:pStyle w:val="TableSideHeading"/>
              <w:keepLines w:val="0"/>
              <w:rPr>
                <w:rtl/>
              </w:rPr>
            </w:pPr>
            <w:r w:rsidRPr="00226EB8">
              <w:rPr>
                <w:rFonts w:hint="cs"/>
                <w:rtl/>
              </w:rPr>
              <w:t>תיקון חוק הפיקוח על שירותים פיננסים (עיסוק בייעוץ פנסיוני ושיווק פנסיוני)</w:t>
            </w:r>
          </w:p>
        </w:tc>
        <w:tc>
          <w:tcPr>
            <w:tcW w:w="624" w:type="dxa"/>
          </w:tcPr>
          <w:p w:rsidR="00E804D1" w:rsidP="00E804D1" w:rsidRDefault="003932EC" w14:paraId="0339E17B" w14:textId="23E09882">
            <w:pPr>
              <w:pStyle w:val="TableText"/>
              <w:rPr>
                <w:rtl/>
              </w:rPr>
            </w:pPr>
            <w:r>
              <w:rPr>
                <w:rFonts w:hint="cs"/>
                <w:rtl/>
              </w:rPr>
              <w:t>4</w:t>
            </w:r>
            <w:r w:rsidR="00E804D1">
              <w:rPr>
                <w:rFonts w:hint="cs"/>
                <w:rtl/>
              </w:rPr>
              <w:t>.</w:t>
            </w:r>
          </w:p>
        </w:tc>
        <w:tc>
          <w:tcPr>
            <w:tcW w:w="7143" w:type="dxa"/>
          </w:tcPr>
          <w:p w:rsidRPr="00226EB8" w:rsidR="00E804D1" w:rsidP="00967F64" w:rsidRDefault="00E804D1" w14:paraId="5E8BE633" w14:textId="1A7CF812">
            <w:pPr>
              <w:pStyle w:val="TableBlock"/>
              <w:rPr>
                <w:rtl/>
              </w:rPr>
            </w:pPr>
            <w:r w:rsidRPr="00226EB8">
              <w:rPr>
                <w:rFonts w:hint="cs"/>
                <w:rtl/>
              </w:rPr>
              <w:t xml:space="preserve">בחוק הפיקוח על שירותים פיננסים </w:t>
            </w:r>
            <w:r w:rsidRPr="00490C93">
              <w:rPr>
                <w:rFonts w:ascii="David" w:hAnsi="David"/>
                <w:sz w:val="26"/>
                <w:rtl/>
              </w:rPr>
              <w:t>(</w:t>
            </w:r>
            <w:r w:rsidRPr="00490C93" w:rsidR="00B564F1">
              <w:rPr>
                <w:rFonts w:ascii="David" w:hAnsi="David"/>
                <w:sz w:val="26"/>
                <w:rtl/>
              </w:rPr>
              <w:t>ייעוץ, שיווק ומערכת סליקה פנסיוניים</w:t>
            </w:r>
            <w:r w:rsidRPr="00490C93">
              <w:rPr>
                <w:rFonts w:ascii="David" w:hAnsi="David"/>
                <w:sz w:val="26"/>
                <w:rtl/>
              </w:rPr>
              <w:t>),</w:t>
            </w:r>
            <w:r w:rsidRPr="00226EB8">
              <w:rPr>
                <w:rFonts w:hint="cs"/>
                <w:rtl/>
              </w:rPr>
              <w:t xml:space="preserve"> </w:t>
            </w:r>
            <w:proofErr w:type="spellStart"/>
            <w:r w:rsidRPr="00226EB8">
              <w:rPr>
                <w:rFonts w:hint="cs"/>
                <w:rtl/>
              </w:rPr>
              <w:t>התשס"ה</w:t>
            </w:r>
            <w:proofErr w:type="spellEnd"/>
            <w:r w:rsidR="00D46A60">
              <w:rPr>
                <w:rFonts w:hint="cs"/>
                <w:rtl/>
              </w:rPr>
              <w:t>–</w:t>
            </w:r>
            <w:r w:rsidRPr="00226EB8">
              <w:rPr>
                <w:rFonts w:hint="cs"/>
                <w:rtl/>
              </w:rPr>
              <w:t>2005</w:t>
            </w:r>
            <w:r w:rsidRPr="00967F64">
              <w:rPr>
                <w:rStyle w:val="a6"/>
                <w:rFonts w:ascii="David" w:hAnsi="David"/>
                <w:sz w:val="26"/>
                <w:rtl/>
              </w:rPr>
              <w:footnoteReference w:id="4"/>
            </w:r>
            <w:r w:rsidRPr="00226EB8">
              <w:rPr>
                <w:rFonts w:hint="cs"/>
                <w:rtl/>
              </w:rPr>
              <w:t>, בס</w:t>
            </w:r>
            <w:r>
              <w:rPr>
                <w:rFonts w:hint="cs"/>
                <w:rtl/>
              </w:rPr>
              <w:t>עיף 21</w:t>
            </w:r>
            <w:r w:rsidR="00D46A60">
              <w:rPr>
                <w:rFonts w:hint="cs"/>
                <w:rtl/>
              </w:rPr>
              <w:t>(א) , בסופו</w:t>
            </w:r>
            <w:r>
              <w:rPr>
                <w:rFonts w:hint="cs"/>
                <w:rtl/>
              </w:rPr>
              <w:t xml:space="preserve"> יבוא</w:t>
            </w:r>
            <w:r w:rsidRPr="00226EB8">
              <w:rPr>
                <w:rFonts w:hint="cs"/>
                <w:rtl/>
              </w:rPr>
              <w:t>:</w:t>
            </w:r>
          </w:p>
        </w:tc>
      </w:tr>
      <w:tr w:rsidR="00E804D1" w:rsidTr="00967F64" w14:paraId="027C317F" w14:textId="77777777">
        <w:trPr>
          <w:cantSplit/>
        </w:trPr>
        <w:tc>
          <w:tcPr>
            <w:tcW w:w="1871" w:type="dxa"/>
          </w:tcPr>
          <w:p w:rsidR="00E804D1" w:rsidP="002C3041" w:rsidRDefault="00E804D1" w14:paraId="2260F692" w14:textId="77777777">
            <w:pPr>
              <w:pStyle w:val="TableSideHeading"/>
              <w:keepLines w:val="0"/>
              <w:rPr>
                <w:rtl/>
              </w:rPr>
            </w:pPr>
          </w:p>
        </w:tc>
        <w:tc>
          <w:tcPr>
            <w:tcW w:w="624" w:type="dxa"/>
          </w:tcPr>
          <w:p w:rsidR="00E804D1" w:rsidP="00E804D1" w:rsidRDefault="00E804D1" w14:paraId="7CE00A90" w14:textId="77777777">
            <w:pPr>
              <w:pStyle w:val="TableText"/>
              <w:rPr>
                <w:rtl/>
              </w:rPr>
            </w:pPr>
          </w:p>
        </w:tc>
        <w:tc>
          <w:tcPr>
            <w:tcW w:w="7143" w:type="dxa"/>
          </w:tcPr>
          <w:p w:rsidRPr="00226EB8" w:rsidR="00E804D1" w:rsidP="00967F64" w:rsidRDefault="00756C66" w14:paraId="3A023A1D" w14:textId="01DA192B">
            <w:pPr>
              <w:pStyle w:val="TableBlock"/>
              <w:rPr>
                <w:rtl/>
              </w:rPr>
            </w:pPr>
            <w:r>
              <w:rPr>
                <w:rFonts w:hint="cs"/>
                <w:rtl/>
              </w:rPr>
              <w:t>"</w:t>
            </w:r>
            <w:r w:rsidR="00B553FD">
              <w:rPr>
                <w:rFonts w:hint="cs"/>
                <w:rtl/>
              </w:rPr>
              <w:t>(3)</w:t>
            </w:r>
            <w:r w:rsidR="00B553FD">
              <w:rPr>
                <w:rtl/>
              </w:rPr>
              <w:tab/>
            </w:r>
            <w:r w:rsidRPr="00226EB8" w:rsidR="00E804D1">
              <w:rPr>
                <w:rFonts w:hint="cs"/>
                <w:rtl/>
              </w:rPr>
              <w:t>יגלה בפני לקוח בטרם חתימתו את מדיניות ההשקעה של קופת הגמל</w:t>
            </w:r>
            <w:r w:rsidR="00A30CA5">
              <w:rPr>
                <w:rFonts w:hint="cs"/>
                <w:rtl/>
              </w:rPr>
              <w:t xml:space="preserve"> </w:t>
            </w:r>
            <w:r w:rsidRPr="00226EB8" w:rsidR="00E804D1">
              <w:rPr>
                <w:rFonts w:hint="cs"/>
                <w:rtl/>
              </w:rPr>
              <w:t>נושא השיווק הפנסיוני, כמשמעותה בסעיף 16(ד)(4) לחוק הפיקוח על שירותים פיננסיים</w:t>
            </w:r>
            <w:r w:rsidR="000657F6">
              <w:rPr>
                <w:rFonts w:hint="cs"/>
                <w:rtl/>
              </w:rPr>
              <w:t xml:space="preserve"> </w:t>
            </w:r>
            <w:r w:rsidRPr="00226EB8" w:rsidR="00E804D1">
              <w:rPr>
                <w:rFonts w:hint="cs"/>
                <w:rtl/>
              </w:rPr>
              <w:t>(קופות גמל)</w:t>
            </w:r>
            <w:r w:rsidR="00967F64">
              <w:rPr>
                <w:rFonts w:hint="cs"/>
                <w:rtl/>
              </w:rPr>
              <w:t>,</w:t>
            </w:r>
            <w:r w:rsidRPr="00226EB8" w:rsidR="00E804D1">
              <w:rPr>
                <w:rFonts w:hint="cs"/>
                <w:rtl/>
              </w:rPr>
              <w:t xml:space="preserve"> </w:t>
            </w:r>
            <w:proofErr w:type="spellStart"/>
            <w:r w:rsidRPr="00226EB8" w:rsidR="00E804D1">
              <w:rPr>
                <w:rFonts w:hint="cs"/>
                <w:rtl/>
              </w:rPr>
              <w:t>התשס"ה</w:t>
            </w:r>
            <w:proofErr w:type="spellEnd"/>
            <w:r w:rsidR="000657F6">
              <w:rPr>
                <w:rFonts w:hint="cs"/>
                <w:rtl/>
              </w:rPr>
              <w:t>–</w:t>
            </w:r>
            <w:r w:rsidRPr="00226EB8" w:rsidR="00E804D1">
              <w:rPr>
                <w:rFonts w:hint="cs"/>
                <w:rtl/>
              </w:rPr>
              <w:t>2005</w:t>
            </w:r>
            <w:r w:rsidRPr="00967F64" w:rsidR="00E804D1">
              <w:rPr>
                <w:rStyle w:val="a6"/>
                <w:rFonts w:ascii="David" w:hAnsi="David"/>
                <w:sz w:val="26"/>
                <w:rtl/>
              </w:rPr>
              <w:footnoteReference w:id="5"/>
            </w:r>
            <w:r w:rsidRPr="00226EB8" w:rsidR="00E804D1">
              <w:rPr>
                <w:rFonts w:hint="cs"/>
                <w:rtl/>
              </w:rPr>
              <w:t>.</w:t>
            </w:r>
            <w:r>
              <w:rPr>
                <w:rFonts w:hint="cs"/>
                <w:rtl/>
              </w:rPr>
              <w:t>"</w:t>
            </w:r>
          </w:p>
        </w:tc>
      </w:tr>
    </w:tbl>
    <w:p w:rsidR="002D1EE3" w:rsidP="002D1EE3" w:rsidRDefault="002D1EE3" w14:paraId="7F6961CA" w14:textId="77777777">
      <w:pPr>
        <w:pStyle w:val="HeadDivreiHesber"/>
        <w:rPr>
          <w:rtl/>
        </w:rPr>
      </w:pPr>
      <w:r w:rsidRPr="0027450A">
        <w:rPr>
          <w:rFonts w:hint="cs"/>
          <w:rtl/>
        </w:rPr>
        <w:t>דברי הסבר</w:t>
      </w:r>
    </w:p>
    <w:p w:rsidRPr="00A30CA5" w:rsidR="00460432" w:rsidP="00967F64" w:rsidRDefault="00F93601" w14:paraId="2E5C73C6" w14:textId="5B4975E4">
      <w:pPr>
        <w:pStyle w:val="Hesber"/>
        <w:spacing w:line="240" w:lineRule="auto"/>
        <w:rPr>
          <w:rtl/>
        </w:rPr>
      </w:pPr>
      <w:r w:rsidRPr="00A30CA5">
        <w:rPr>
          <w:rFonts w:hint="cs"/>
          <w:rtl/>
        </w:rPr>
        <w:t xml:space="preserve">כיום, במדינות זרות הנושא של השקעה אחראית, שמביא בחשבון שיקולים נוספים לשיקולים כלכליים, הפך להיות חלק אינטגראלי ממערכת ההשקעות. נושא זה קיבל ביטוי בכללים שאומצו בשנת 2006 על ידי הסוכנות הסביבתית של האו"ם - </w:t>
      </w:r>
      <w:r w:rsidRPr="00A30CA5">
        <w:t>The Principles for Responsible Investment</w:t>
      </w:r>
      <w:r w:rsidRPr="00A30CA5">
        <w:rPr>
          <w:rFonts w:hint="cs"/>
          <w:rtl/>
        </w:rPr>
        <w:t xml:space="preserve">. ביסוד מהלך זה עומדת התפיסה כי שוק ההון צריך לתת ביטוי למערכת ההעדפות של משקיעים שונים בעזרת מתן האפשרות למשקיעים לבחור בין מסלולי השקעה שונים בהתאם לתפיסת העולם המוסרית-סביבתית שלהם, ובהתאם לסיכונים הסביבתיים אותם הם מוכנים לנטול. </w:t>
      </w:r>
      <w:r w:rsidRPr="00A30CA5" w:rsidR="007E4567">
        <w:rPr>
          <w:rFonts w:hint="cs"/>
          <w:rtl/>
        </w:rPr>
        <w:t>כיום,</w:t>
      </w:r>
      <w:r w:rsidRPr="00A30CA5" w:rsidR="003A0D93">
        <w:rPr>
          <w:rFonts w:hint="cs"/>
          <w:rtl/>
        </w:rPr>
        <w:t xml:space="preserve"> החוק </w:t>
      </w:r>
      <w:r w:rsidRPr="00A30CA5" w:rsidR="00A30CA5">
        <w:rPr>
          <w:rFonts w:hint="cs"/>
          <w:rtl/>
        </w:rPr>
        <w:t>לא</w:t>
      </w:r>
      <w:r w:rsidRPr="00A30CA5" w:rsidR="003A0D93">
        <w:rPr>
          <w:rFonts w:hint="cs"/>
          <w:rtl/>
        </w:rPr>
        <w:t xml:space="preserve"> מטיל חובת גילוי ספציפית בנושאים אלו על קופות הגמל, שהינן בעלות משקל משמעותי בשוק ההון</w:t>
      </w:r>
      <w:r w:rsidRPr="00A30CA5" w:rsidR="00A30CA5">
        <w:rPr>
          <w:rFonts w:hint="cs"/>
          <w:rtl/>
        </w:rPr>
        <w:t>.</w:t>
      </w:r>
    </w:p>
    <w:p w:rsidRPr="00A30CA5" w:rsidR="00307511" w:rsidP="00967F64" w:rsidRDefault="00307511" w14:paraId="48C087EE" w14:textId="28790006">
      <w:pPr>
        <w:pStyle w:val="Hesber"/>
        <w:spacing w:line="240" w:lineRule="auto"/>
        <w:rPr>
          <w:rtl/>
        </w:rPr>
      </w:pPr>
      <w:r w:rsidRPr="00A30CA5">
        <w:rPr>
          <w:rFonts w:hint="cs"/>
          <w:rtl/>
        </w:rPr>
        <w:t xml:space="preserve">הצעת </w:t>
      </w:r>
      <w:r w:rsidRPr="00A30CA5" w:rsidR="005D73B3">
        <w:rPr>
          <w:rFonts w:hint="cs"/>
          <w:rtl/>
        </w:rPr>
        <w:t>ה</w:t>
      </w:r>
      <w:r w:rsidRPr="00A30CA5">
        <w:rPr>
          <w:rFonts w:hint="cs"/>
          <w:rtl/>
        </w:rPr>
        <w:t xml:space="preserve">חוק </w:t>
      </w:r>
      <w:r w:rsidRPr="00A30CA5" w:rsidR="005D73B3">
        <w:rPr>
          <w:rFonts w:hint="cs"/>
          <w:rtl/>
        </w:rPr>
        <w:t>מציעה מ</w:t>
      </w:r>
      <w:r w:rsidRPr="00A30CA5" w:rsidR="002A6101">
        <w:rPr>
          <w:rFonts w:hint="cs"/>
          <w:rtl/>
        </w:rPr>
        <w:t>ודל גילוי</w:t>
      </w:r>
      <w:r w:rsidRPr="00A30CA5" w:rsidR="005D73B3">
        <w:rPr>
          <w:rFonts w:hint="cs"/>
          <w:rtl/>
        </w:rPr>
        <w:t xml:space="preserve"> </w:t>
      </w:r>
      <w:r w:rsidR="00C31D40">
        <w:rPr>
          <w:rFonts w:hint="cs"/>
          <w:rtl/>
        </w:rPr>
        <w:t>ש</w:t>
      </w:r>
      <w:r w:rsidRPr="00A30CA5" w:rsidR="005D73B3">
        <w:rPr>
          <w:rFonts w:hint="cs"/>
          <w:rtl/>
        </w:rPr>
        <w:t xml:space="preserve">לפיו </w:t>
      </w:r>
      <w:r w:rsidRPr="00A30CA5">
        <w:rPr>
          <w:rFonts w:hint="cs"/>
          <w:rtl/>
        </w:rPr>
        <w:t xml:space="preserve">קופות הגמל הפועלות בישראל, כולל קרנות הפנסיה, </w:t>
      </w:r>
      <w:r w:rsidRPr="00A30CA5" w:rsidR="00460432">
        <w:rPr>
          <w:rFonts w:hint="cs"/>
          <w:rtl/>
        </w:rPr>
        <w:t>יגלו ויפרסמו</w:t>
      </w:r>
      <w:r w:rsidRPr="00A30CA5">
        <w:rPr>
          <w:rFonts w:hint="cs"/>
          <w:rtl/>
        </w:rPr>
        <w:t xml:space="preserve"> את מדיניות השקעתן בנושאים חברתיים – סביבתיים, בדגש על סיכונים אקלימיים</w:t>
      </w:r>
      <w:r w:rsidRPr="00A30CA5" w:rsidR="003A0D93">
        <w:rPr>
          <w:rFonts w:hint="cs"/>
          <w:rtl/>
        </w:rPr>
        <w:t>.</w:t>
      </w:r>
      <w:r w:rsidR="00C31D40">
        <w:rPr>
          <w:rFonts w:hint="cs"/>
          <w:rtl/>
        </w:rPr>
        <w:t xml:space="preserve"> </w:t>
      </w:r>
      <w:r w:rsidRPr="00A30CA5" w:rsidR="003A0D93">
        <w:rPr>
          <w:rFonts w:hint="cs"/>
          <w:rtl/>
        </w:rPr>
        <w:t>לפי ה</w:t>
      </w:r>
      <w:r w:rsidRPr="00A30CA5" w:rsidR="002A6101">
        <w:rPr>
          <w:rFonts w:hint="cs"/>
          <w:rtl/>
        </w:rPr>
        <w:t>מתווה ה</w:t>
      </w:r>
      <w:r w:rsidRPr="00A30CA5" w:rsidR="003A0D93">
        <w:rPr>
          <w:rFonts w:hint="cs"/>
          <w:rtl/>
        </w:rPr>
        <w:t xml:space="preserve">מוצע, </w:t>
      </w:r>
      <w:r w:rsidRPr="00A30CA5">
        <w:rPr>
          <w:rFonts w:hint="cs"/>
          <w:rtl/>
        </w:rPr>
        <w:t xml:space="preserve">יועצים פנסיוניים </w:t>
      </w:r>
      <w:r w:rsidRPr="00A30CA5" w:rsidR="003A0D93">
        <w:rPr>
          <w:rFonts w:hint="cs"/>
          <w:rtl/>
        </w:rPr>
        <w:t xml:space="preserve">יידרשו </w:t>
      </w:r>
      <w:r w:rsidRPr="00A30CA5">
        <w:rPr>
          <w:rFonts w:hint="cs"/>
          <w:rtl/>
        </w:rPr>
        <w:t>לגלות את מדיניות ההשקעה בתהליך השיווק של קרנות הפנסיה לציבור</w:t>
      </w:r>
      <w:r w:rsidRPr="00A30CA5" w:rsidR="002A6101">
        <w:rPr>
          <w:rFonts w:hint="cs"/>
          <w:rtl/>
        </w:rPr>
        <w:t>, וחברות מנהלות י</w:t>
      </w:r>
      <w:r w:rsidRPr="00A30CA5" w:rsidR="006563D3">
        <w:rPr>
          <w:rFonts w:hint="cs"/>
          <w:rtl/>
        </w:rPr>
        <w:t>כללו</w:t>
      </w:r>
      <w:r w:rsidRPr="00A30CA5" w:rsidR="002A6101">
        <w:rPr>
          <w:rFonts w:hint="cs"/>
          <w:rtl/>
        </w:rPr>
        <w:t xml:space="preserve"> במדיניות ההשקעה שלהן שיקולים חברתיים וסיכונים סביבתיים ואתיים. </w:t>
      </w:r>
    </w:p>
    <w:p w:rsidRPr="00A30CA5" w:rsidR="00307511" w:rsidP="00967F64" w:rsidRDefault="00C31D40" w14:paraId="1D2B88EF" w14:textId="7B691E06">
      <w:pPr>
        <w:pStyle w:val="Hesber"/>
        <w:spacing w:line="240" w:lineRule="auto"/>
        <w:rPr>
          <w:rtl/>
        </w:rPr>
      </w:pPr>
      <w:r>
        <w:rPr>
          <w:rFonts w:hint="cs"/>
          <w:rtl/>
        </w:rPr>
        <w:t xml:space="preserve">מטרת </w:t>
      </w:r>
      <w:r w:rsidRPr="00A30CA5" w:rsidR="00307511">
        <w:rPr>
          <w:rFonts w:hint="cs"/>
          <w:rtl/>
        </w:rPr>
        <w:t>הצהרת מדיניות</w:t>
      </w:r>
      <w:r w:rsidRPr="00A30CA5" w:rsidR="006563D3">
        <w:rPr>
          <w:rFonts w:hint="cs"/>
          <w:rtl/>
        </w:rPr>
        <w:t xml:space="preserve"> ההשקעה בנושאים חברתיים-סביבתיים ואקלימיים</w:t>
      </w:r>
      <w:r w:rsidRPr="00A30CA5" w:rsidR="00307511">
        <w:rPr>
          <w:rFonts w:hint="cs"/>
          <w:rtl/>
        </w:rPr>
        <w:t xml:space="preserve"> מטעם קופות הגמל</w:t>
      </w:r>
      <w:r w:rsidRPr="00A30CA5" w:rsidR="002A6101">
        <w:rPr>
          <w:rFonts w:hint="cs"/>
          <w:rtl/>
        </w:rPr>
        <w:t>,</w:t>
      </w:r>
      <w:r w:rsidRPr="00A30CA5" w:rsidR="00307511">
        <w:rPr>
          <w:rFonts w:hint="cs"/>
          <w:rtl/>
        </w:rPr>
        <w:t xml:space="preserve"> </w:t>
      </w:r>
      <w:r>
        <w:rPr>
          <w:rFonts w:hint="cs"/>
          <w:rtl/>
        </w:rPr>
        <w:t xml:space="preserve">היא </w:t>
      </w:r>
      <w:r w:rsidRPr="00A30CA5" w:rsidR="006563D3">
        <w:rPr>
          <w:rFonts w:hint="cs"/>
          <w:rtl/>
        </w:rPr>
        <w:t xml:space="preserve"> ל</w:t>
      </w:r>
      <w:r w:rsidRPr="00A30CA5" w:rsidR="00307511">
        <w:rPr>
          <w:rFonts w:hint="cs"/>
          <w:rtl/>
        </w:rPr>
        <w:t xml:space="preserve">עודד השקעה שמביאה לידי ביטוי שיקולים של אחריות חברתית וסביבתית, שתורמת לפיתוחו של דיאלוג עקבי בין קופות הגמל לחברות בנושאים חברתיים וסביבתיים. המודל </w:t>
      </w:r>
      <w:r>
        <w:rPr>
          <w:rFonts w:hint="cs"/>
          <w:rtl/>
        </w:rPr>
        <w:t>המוצע בהצעת חוק זו</w:t>
      </w:r>
      <w:r w:rsidRPr="00A30CA5" w:rsidR="00307511">
        <w:rPr>
          <w:rFonts w:hint="cs"/>
          <w:rtl/>
        </w:rPr>
        <w:t xml:space="preserve"> מבוסס על שקיפות, ואינו מבקש להתערב באוטונומיה של קופות הגמל לקבוע את מדיניות ההשקעות שלהם</w:t>
      </w:r>
      <w:r>
        <w:rPr>
          <w:rFonts w:hint="cs"/>
          <w:rtl/>
        </w:rPr>
        <w:t>,</w:t>
      </w:r>
      <w:r w:rsidRPr="00A30CA5" w:rsidR="00307511">
        <w:rPr>
          <w:rFonts w:hint="cs"/>
          <w:rtl/>
        </w:rPr>
        <w:t xml:space="preserve"> אלא </w:t>
      </w:r>
      <w:r>
        <w:rPr>
          <w:rFonts w:hint="cs"/>
          <w:rtl/>
        </w:rPr>
        <w:t>מחייב את גילוי של</w:t>
      </w:r>
      <w:r w:rsidRPr="00A30CA5" w:rsidR="00307511">
        <w:rPr>
          <w:rFonts w:hint="cs"/>
          <w:rtl/>
        </w:rPr>
        <w:t xml:space="preserve"> מדיניות ההשקעה ביחס </w:t>
      </w:r>
      <w:r w:rsidRPr="00A30CA5" w:rsidR="002A6101">
        <w:rPr>
          <w:rFonts w:hint="cs"/>
          <w:rtl/>
        </w:rPr>
        <w:t>ל</w:t>
      </w:r>
      <w:r w:rsidRPr="00A30CA5" w:rsidR="00307511">
        <w:rPr>
          <w:rFonts w:hint="cs"/>
          <w:rtl/>
        </w:rPr>
        <w:t>נושאים חברתיים ונטילת סיכונים סביבתיים ואתיים.</w:t>
      </w:r>
    </w:p>
    <w:p w:rsidRPr="00A30CA5" w:rsidR="00307511" w:rsidP="00967F64" w:rsidRDefault="00A30CA5" w14:paraId="33E5C0A0" w14:textId="6D24E848">
      <w:pPr>
        <w:pStyle w:val="Hesber"/>
        <w:spacing w:line="240" w:lineRule="auto"/>
        <w:rPr>
          <w:rtl/>
        </w:rPr>
      </w:pPr>
      <w:bookmarkStart w:name="_GoBack" w:id="8"/>
      <w:bookmarkEnd w:id="8"/>
      <w:r>
        <w:rPr>
          <w:rFonts w:hint="cs"/>
          <w:rtl/>
        </w:rPr>
        <w:t>הצעת חוק זו הוכנה בסיוע צוות מנגנונים כלכליים של קליניקת הכנסת בפקולטה למשפטים של אוניברסיטת תל אביב.</w:t>
      </w:r>
    </w:p>
    <w:p w:rsidR="004878B6" w:rsidP="00967F64" w:rsidRDefault="008B633C" w14:paraId="5F04ED43" w14:textId="77777777">
      <w:pPr>
        <w:spacing w:line="240" w:lineRule="auto"/>
        <w:jc w:val="left"/>
      </w:pPr>
      <w:bookmarkStart w:name="selectedDocDateB" w:id="9"/>
      <w:bookmarkEnd w:id="9"/>
      <w:r>
        <w:rPr>
          <w:rFonts w:hint="cs" w:eastAsia="David"/>
          <w:sz w:val="26"/>
          <w:szCs w:val="26"/>
          <w:rtl/>
        </w:rPr>
        <w:t>--------------------------------</w:t>
      </w:r>
    </w:p>
    <w:p w:rsidR="004878B6" w:rsidP="00967F64" w:rsidRDefault="008B633C" w14:paraId="5B0F1BF9" w14:textId="77777777">
      <w:pPr>
        <w:spacing w:line="240" w:lineRule="auto"/>
        <w:jc w:val="left"/>
      </w:pPr>
      <w:r>
        <w:rPr>
          <w:rFonts w:hint="cs" w:eastAsia="David"/>
          <w:sz w:val="26"/>
          <w:szCs w:val="26"/>
          <w:rtl/>
        </w:rPr>
        <w:t>הוגשה ליו"ר הכנסת והסגנים</w:t>
      </w:r>
    </w:p>
    <w:p w:rsidR="004878B6" w:rsidP="00967F64" w:rsidRDefault="008B633C" w14:paraId="6DB10A3A" w14:textId="77777777">
      <w:pPr>
        <w:spacing w:line="240" w:lineRule="auto"/>
        <w:jc w:val="left"/>
      </w:pPr>
      <w:r>
        <w:rPr>
          <w:rFonts w:hint="cs" w:eastAsia="David"/>
          <w:sz w:val="26"/>
          <w:szCs w:val="26"/>
          <w:rtl/>
        </w:rPr>
        <w:t>והונחה על שולחן הכנסת ביום</w:t>
      </w:r>
    </w:p>
    <w:p w:rsidR="004878B6" w:rsidP="00967F64" w:rsidRDefault="008B633C" w14:paraId="3BE24D0E" w14:textId="77777777">
      <w:pPr>
        <w:spacing w:line="240" w:lineRule="auto"/>
        <w:jc w:val="left"/>
      </w:pPr>
      <w:r>
        <w:rPr>
          <w:rFonts w:hint="cs" w:eastAsia="David"/>
          <w:sz w:val="26"/>
          <w:szCs w:val="26"/>
          <w:rtl/>
        </w:rPr>
        <w:t xml:space="preserve">י"ג באדר א' </w:t>
      </w:r>
      <w:proofErr w:type="spellStart"/>
      <w:r>
        <w:rPr>
          <w:rFonts w:hint="cs" w:eastAsia="David"/>
          <w:sz w:val="26"/>
          <w:szCs w:val="26"/>
          <w:rtl/>
        </w:rPr>
        <w:t>התשפ"ב</w:t>
      </w:r>
      <w:proofErr w:type="spellEnd"/>
      <w:r>
        <w:rPr>
          <w:rFonts w:hint="cs" w:eastAsia="David"/>
          <w:sz w:val="26"/>
          <w:szCs w:val="26"/>
          <w:rtl/>
        </w:rPr>
        <w:t xml:space="preserve"> (14.02.2022) </w:t>
      </w:r>
    </w:p>
    <w:p w:rsidR="004878B6" w:rsidRDefault="004878B6" w14:paraId="384C37C9" w14:textId="77777777">
      <w:pPr>
        <w:spacing w:line="276" w:lineRule="auto"/>
        <w:jc w:val="left"/>
      </w:pPr>
    </w:p>
    <w:sectPr w:rsidR="004878B6" w:rsidSect="00967F64">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adasa Roso SL">
    <w:altName w:val="Times New Roman"/>
    <w:charset w:val="00"/>
    <w:family w:val="roman"/>
    <w:pitch w:val="variable"/>
    <w:sig w:usb0="80001827" w:usb1="5000004A" w:usb2="0000002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8B633C">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967F64">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4ED57F85" w14:textId="77777777" w:rsidR="0033368B" w:rsidRDefault="0033368B" w:rsidP="0033368B">
      <w:pPr>
        <w:pStyle w:val="a4"/>
        <w:rPr>
          <w:rtl/>
        </w:rPr>
      </w:pPr>
      <w:r>
        <w:rPr>
          <w:rStyle w:val="a6"/>
        </w:rPr>
        <w:footnoteRef/>
      </w:r>
      <w:r>
        <w:rPr>
          <w:rtl/>
        </w:rPr>
        <w:t xml:space="preserve"> </w:t>
      </w:r>
      <w:r>
        <w:rPr>
          <w:rFonts w:hint="cs"/>
          <w:rtl/>
        </w:rPr>
        <w:t xml:space="preserve">ס"ח </w:t>
      </w:r>
      <w:proofErr w:type="spellStart"/>
      <w:r>
        <w:rPr>
          <w:rFonts w:hint="cs"/>
          <w:rtl/>
        </w:rPr>
        <w:t>התשס"ה</w:t>
      </w:r>
      <w:proofErr w:type="spellEnd"/>
      <w:r>
        <w:rPr>
          <w:rFonts w:hint="cs"/>
          <w:rtl/>
        </w:rPr>
        <w:t xml:space="preserve">, עמ' 889. </w:t>
      </w:r>
    </w:p>
  </w:footnote>
  <w:footnote w:id="3">
    <w:p w14:paraId="6F89E742" w14:textId="77777777" w:rsidR="0033368B" w:rsidRDefault="0033368B" w:rsidP="0033368B">
      <w:pPr>
        <w:pStyle w:val="a4"/>
        <w:rPr>
          <w:rtl/>
        </w:rPr>
      </w:pPr>
      <w:r>
        <w:rPr>
          <w:rStyle w:val="a6"/>
        </w:rPr>
        <w:footnoteRef/>
      </w:r>
      <w:r>
        <w:rPr>
          <w:rtl/>
        </w:rPr>
        <w:t xml:space="preserve"> </w:t>
      </w:r>
      <w:r>
        <w:rPr>
          <w:rFonts w:hint="cs"/>
          <w:rtl/>
        </w:rPr>
        <w:t xml:space="preserve">ס"ח </w:t>
      </w:r>
      <w:proofErr w:type="spellStart"/>
      <w:r>
        <w:rPr>
          <w:rFonts w:hint="cs"/>
          <w:rtl/>
        </w:rPr>
        <w:t>התשכ"ח</w:t>
      </w:r>
      <w:proofErr w:type="spellEnd"/>
      <w:r>
        <w:rPr>
          <w:rFonts w:hint="cs"/>
          <w:rtl/>
        </w:rPr>
        <w:t xml:space="preserve">, עמ' 234. </w:t>
      </w:r>
    </w:p>
  </w:footnote>
  <w:footnote w:id="4">
    <w:p w14:paraId="1D0713B5" w14:textId="77777777" w:rsidR="00E804D1" w:rsidRDefault="00E804D1" w:rsidP="00E804D1">
      <w:pPr>
        <w:pStyle w:val="a4"/>
        <w:rPr>
          <w:rtl/>
        </w:rPr>
      </w:pPr>
      <w:r>
        <w:rPr>
          <w:rStyle w:val="a6"/>
        </w:rPr>
        <w:footnoteRef/>
      </w:r>
      <w:r>
        <w:rPr>
          <w:rtl/>
        </w:rPr>
        <w:t xml:space="preserve"> </w:t>
      </w:r>
      <w:r>
        <w:rPr>
          <w:rFonts w:hint="cs"/>
          <w:rtl/>
        </w:rPr>
        <w:t xml:space="preserve">ס"ח </w:t>
      </w:r>
      <w:proofErr w:type="spellStart"/>
      <w:r>
        <w:rPr>
          <w:rFonts w:hint="cs"/>
          <w:rtl/>
        </w:rPr>
        <w:t>התשס"ה</w:t>
      </w:r>
      <w:proofErr w:type="spellEnd"/>
      <w:r>
        <w:rPr>
          <w:rFonts w:hint="cs"/>
          <w:rtl/>
        </w:rPr>
        <w:t xml:space="preserve">, עמ' 918. </w:t>
      </w:r>
    </w:p>
  </w:footnote>
  <w:footnote w:id="5">
    <w:p w14:paraId="4EE50D20" w14:textId="77777777" w:rsidR="00E804D1" w:rsidRDefault="00E804D1" w:rsidP="00E804D1">
      <w:pPr>
        <w:pStyle w:val="a4"/>
        <w:rPr>
          <w:rtl/>
        </w:rPr>
      </w:pPr>
      <w:r>
        <w:rPr>
          <w:rStyle w:val="a6"/>
        </w:rPr>
        <w:footnoteRef/>
      </w:r>
      <w:r>
        <w:rPr>
          <w:rtl/>
        </w:rPr>
        <w:t xml:space="preserve"> </w:t>
      </w:r>
      <w:r>
        <w:rPr>
          <w:rFonts w:hint="cs"/>
          <w:rtl/>
        </w:rPr>
        <w:t xml:space="preserve">ס"ח </w:t>
      </w:r>
      <w:proofErr w:type="spellStart"/>
      <w:r>
        <w:rPr>
          <w:rFonts w:hint="cs"/>
          <w:rtl/>
        </w:rPr>
        <w:t>התשס"ה</w:t>
      </w:r>
      <w:proofErr w:type="spellEnd"/>
      <w:r>
        <w:rPr>
          <w:rFonts w:hint="cs"/>
          <w:rtl/>
        </w:rPr>
        <w:t xml:space="preserve">, עמ' 889.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DB2BA3"/>
    <w:multiLevelType w:val="hybridMultilevel"/>
    <w:tmpl w:val="87321DE2"/>
    <w:lvl w:ilvl="0" w:tplc="7D22FA0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1"/>
  </w:num>
  <w:num w:numId="14">
    <w:abstractNumId w:val="17"/>
  </w:num>
  <w:num w:numId="15">
    <w:abstractNumId w:val="14"/>
  </w:num>
  <w:num w:numId="16">
    <w:abstractNumId w:val="13"/>
  </w:num>
  <w:num w:numId="17">
    <w:abstractNumId w:val="13"/>
    <w:lvlOverride w:ilvl="0">
      <w:startOverride w:val="1"/>
    </w:lvlOverride>
  </w:num>
  <w:num w:numId="18">
    <w:abstractNumId w:val="1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657F6"/>
    <w:rsid w:val="00072CAC"/>
    <w:rsid w:val="0007681A"/>
    <w:rsid w:val="000A542E"/>
    <w:rsid w:val="000B2C56"/>
    <w:rsid w:val="000F71F1"/>
    <w:rsid w:val="00102B6B"/>
    <w:rsid w:val="001052D4"/>
    <w:rsid w:val="0010644B"/>
    <w:rsid w:val="001207F8"/>
    <w:rsid w:val="00121924"/>
    <w:rsid w:val="001279A8"/>
    <w:rsid w:val="0014195F"/>
    <w:rsid w:val="00143BF2"/>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6789D"/>
    <w:rsid w:val="002728B4"/>
    <w:rsid w:val="0027600C"/>
    <w:rsid w:val="00280CA3"/>
    <w:rsid w:val="00292712"/>
    <w:rsid w:val="002A487D"/>
    <w:rsid w:val="002A6101"/>
    <w:rsid w:val="002C2E29"/>
    <w:rsid w:val="002C3041"/>
    <w:rsid w:val="002D073D"/>
    <w:rsid w:val="002D1EE3"/>
    <w:rsid w:val="002F1D80"/>
    <w:rsid w:val="00307511"/>
    <w:rsid w:val="003232A2"/>
    <w:rsid w:val="00325C14"/>
    <w:rsid w:val="0033368B"/>
    <w:rsid w:val="0036422C"/>
    <w:rsid w:val="003710F6"/>
    <w:rsid w:val="00386E88"/>
    <w:rsid w:val="003932EC"/>
    <w:rsid w:val="00396585"/>
    <w:rsid w:val="003A0D93"/>
    <w:rsid w:val="003C0476"/>
    <w:rsid w:val="003D6E38"/>
    <w:rsid w:val="003D74A0"/>
    <w:rsid w:val="004033D8"/>
    <w:rsid w:val="004073F0"/>
    <w:rsid w:val="00412A7D"/>
    <w:rsid w:val="00416B4D"/>
    <w:rsid w:val="00417CFC"/>
    <w:rsid w:val="00460432"/>
    <w:rsid w:val="0046275C"/>
    <w:rsid w:val="004878B6"/>
    <w:rsid w:val="00490C93"/>
    <w:rsid w:val="004A06DC"/>
    <w:rsid w:val="004B24ED"/>
    <w:rsid w:val="004B6625"/>
    <w:rsid w:val="004D2D82"/>
    <w:rsid w:val="004D3876"/>
    <w:rsid w:val="004E4552"/>
    <w:rsid w:val="004E6CDF"/>
    <w:rsid w:val="00550CC2"/>
    <w:rsid w:val="00553C9D"/>
    <w:rsid w:val="00562A66"/>
    <w:rsid w:val="005B064E"/>
    <w:rsid w:val="005D51AE"/>
    <w:rsid w:val="005D73B3"/>
    <w:rsid w:val="0062674B"/>
    <w:rsid w:val="006363B2"/>
    <w:rsid w:val="00644940"/>
    <w:rsid w:val="006563D3"/>
    <w:rsid w:val="006818A9"/>
    <w:rsid w:val="006A2D81"/>
    <w:rsid w:val="006B1B5D"/>
    <w:rsid w:val="006C1D0D"/>
    <w:rsid w:val="006F4FAF"/>
    <w:rsid w:val="0070601E"/>
    <w:rsid w:val="00712C72"/>
    <w:rsid w:val="0071770D"/>
    <w:rsid w:val="00735FE9"/>
    <w:rsid w:val="00756C66"/>
    <w:rsid w:val="00763CAA"/>
    <w:rsid w:val="00765F66"/>
    <w:rsid w:val="0078664F"/>
    <w:rsid w:val="0079195B"/>
    <w:rsid w:val="007A27CE"/>
    <w:rsid w:val="007C3FA6"/>
    <w:rsid w:val="007D585A"/>
    <w:rsid w:val="007D5A12"/>
    <w:rsid w:val="007E4567"/>
    <w:rsid w:val="007E59F9"/>
    <w:rsid w:val="00810BCD"/>
    <w:rsid w:val="00812C98"/>
    <w:rsid w:val="00814D92"/>
    <w:rsid w:val="0083181D"/>
    <w:rsid w:val="00843EB2"/>
    <w:rsid w:val="00865572"/>
    <w:rsid w:val="00874BBC"/>
    <w:rsid w:val="008764EB"/>
    <w:rsid w:val="00892135"/>
    <w:rsid w:val="00895449"/>
    <w:rsid w:val="00897879"/>
    <w:rsid w:val="008A4E96"/>
    <w:rsid w:val="008A6870"/>
    <w:rsid w:val="008B633C"/>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67F64"/>
    <w:rsid w:val="00982412"/>
    <w:rsid w:val="00983A8D"/>
    <w:rsid w:val="009A0DB8"/>
    <w:rsid w:val="009A7257"/>
    <w:rsid w:val="009D6E0A"/>
    <w:rsid w:val="009E1E33"/>
    <w:rsid w:val="00A14672"/>
    <w:rsid w:val="00A26BD6"/>
    <w:rsid w:val="00A30CA5"/>
    <w:rsid w:val="00A443CF"/>
    <w:rsid w:val="00A6611D"/>
    <w:rsid w:val="00A82CB7"/>
    <w:rsid w:val="00A942C1"/>
    <w:rsid w:val="00AA2F03"/>
    <w:rsid w:val="00AA4713"/>
    <w:rsid w:val="00AC36F7"/>
    <w:rsid w:val="00AC63A4"/>
    <w:rsid w:val="00AC6C1D"/>
    <w:rsid w:val="00AD239E"/>
    <w:rsid w:val="00B10265"/>
    <w:rsid w:val="00B16A99"/>
    <w:rsid w:val="00B21211"/>
    <w:rsid w:val="00B35784"/>
    <w:rsid w:val="00B553FD"/>
    <w:rsid w:val="00B564F1"/>
    <w:rsid w:val="00B733A7"/>
    <w:rsid w:val="00B75C91"/>
    <w:rsid w:val="00B975AD"/>
    <w:rsid w:val="00BC45FB"/>
    <w:rsid w:val="00BF148D"/>
    <w:rsid w:val="00C23B1A"/>
    <w:rsid w:val="00C310EB"/>
    <w:rsid w:val="00C31D40"/>
    <w:rsid w:val="00C45A24"/>
    <w:rsid w:val="00C9176A"/>
    <w:rsid w:val="00CD7B20"/>
    <w:rsid w:val="00CF1AA2"/>
    <w:rsid w:val="00D142D3"/>
    <w:rsid w:val="00D17774"/>
    <w:rsid w:val="00D46A60"/>
    <w:rsid w:val="00D63620"/>
    <w:rsid w:val="00D8410D"/>
    <w:rsid w:val="00D867D7"/>
    <w:rsid w:val="00DA2013"/>
    <w:rsid w:val="00DB7060"/>
    <w:rsid w:val="00DE3153"/>
    <w:rsid w:val="00E06736"/>
    <w:rsid w:val="00E13C27"/>
    <w:rsid w:val="00E33BBD"/>
    <w:rsid w:val="00E374F2"/>
    <w:rsid w:val="00E45103"/>
    <w:rsid w:val="00E55A60"/>
    <w:rsid w:val="00E62778"/>
    <w:rsid w:val="00E635A2"/>
    <w:rsid w:val="00E63D38"/>
    <w:rsid w:val="00E665B9"/>
    <w:rsid w:val="00E804D1"/>
    <w:rsid w:val="00EA01E6"/>
    <w:rsid w:val="00EA3DE8"/>
    <w:rsid w:val="00EA758F"/>
    <w:rsid w:val="00ED4A6F"/>
    <w:rsid w:val="00EF3A3A"/>
    <w:rsid w:val="00F628D6"/>
    <w:rsid w:val="00F67051"/>
    <w:rsid w:val="00F84F94"/>
    <w:rsid w:val="00F86A1E"/>
    <w:rsid w:val="00F93601"/>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6521DC64-BEDB-4CCB-9F18-088D72F4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F64"/>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967F64"/>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967F64"/>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967F64"/>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967F64"/>
    <w:pPr>
      <w:numPr>
        <w:numId w:val="19"/>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967F64"/>
    <w:pPr>
      <w:spacing w:line="259" w:lineRule="auto"/>
      <w:outlineLvl w:val="4"/>
    </w:pPr>
    <w:rPr>
      <w:color w:val="000000" w:themeColor="text1"/>
    </w:rPr>
  </w:style>
  <w:style w:type="character" w:default="1" w:styleId="a0">
    <w:name w:val="Default Paragraph Font"/>
    <w:uiPriority w:val="1"/>
    <w:semiHidden/>
    <w:unhideWhenUsed/>
    <w:rsid w:val="00967F64"/>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967F64"/>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967F64"/>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967F64"/>
    <w:rPr>
      <w:sz w:val="36"/>
      <w:szCs w:val="52"/>
    </w:rPr>
  </w:style>
  <w:style w:type="paragraph" w:customStyle="1" w:styleId="Cover3-Haknesset">
    <w:name w:val="Cover 3-Haknesset"/>
    <w:basedOn w:val="Cover1-Reshumot"/>
    <w:rsid w:val="00967F64"/>
    <w:rPr>
      <w:b/>
      <w:bCs/>
      <w:spacing w:val="60"/>
    </w:rPr>
  </w:style>
  <w:style w:type="paragraph" w:customStyle="1" w:styleId="Cover4-Date">
    <w:name w:val="Cover 4-Date"/>
    <w:basedOn w:val="a"/>
    <w:rsid w:val="00967F64"/>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967F64"/>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967F64"/>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967F64"/>
    <w:pPr>
      <w:spacing w:before="120" w:after="120"/>
    </w:pPr>
    <w:rPr>
      <w:color w:val="FF0000"/>
      <w:w w:val="80"/>
    </w:rPr>
  </w:style>
  <w:style w:type="paragraph" w:styleId="a3">
    <w:name w:val="endnote text"/>
    <w:basedOn w:val="a"/>
    <w:semiHidden/>
    <w:rsid w:val="00967F64"/>
    <w:pPr>
      <w:ind w:left="227" w:hanging="227"/>
    </w:pPr>
    <w:rPr>
      <w:sz w:val="14"/>
      <w:szCs w:val="22"/>
    </w:rPr>
  </w:style>
  <w:style w:type="paragraph" w:customStyle="1" w:styleId="TableText">
    <w:name w:val="Table Text"/>
    <w:basedOn w:val="a"/>
    <w:rsid w:val="00967F64"/>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967F64"/>
    <w:pPr>
      <w:outlineLvl w:val="2"/>
    </w:pPr>
  </w:style>
  <w:style w:type="paragraph" w:customStyle="1" w:styleId="TableBlock">
    <w:name w:val="Table Block"/>
    <w:basedOn w:val="TableText"/>
    <w:rsid w:val="00967F64"/>
    <w:pPr>
      <w:jc w:val="both"/>
    </w:pPr>
  </w:style>
  <w:style w:type="paragraph" w:customStyle="1" w:styleId="TableHead">
    <w:name w:val="Table Head"/>
    <w:basedOn w:val="TableText"/>
    <w:rsid w:val="00967F64"/>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67F64"/>
    <w:pPr>
      <w:outlineLvl w:val="9"/>
    </w:pPr>
  </w:style>
  <w:style w:type="paragraph" w:customStyle="1" w:styleId="Hesber">
    <w:name w:val="Hesber"/>
    <w:basedOn w:val="a"/>
    <w:rsid w:val="00967F64"/>
    <w:pPr>
      <w:snapToGrid w:val="0"/>
      <w:ind w:left="0" w:firstLine="340"/>
    </w:pPr>
    <w:rPr>
      <w:rFonts w:ascii="Arial" w:eastAsia="Arial Unicode MS" w:hAnsi="Arial"/>
      <w:snapToGrid w:val="0"/>
      <w:sz w:val="20"/>
      <w:szCs w:val="26"/>
    </w:rPr>
  </w:style>
  <w:style w:type="paragraph" w:styleId="a4">
    <w:name w:val="footnote text"/>
    <w:basedOn w:val="a"/>
    <w:link w:val="a5"/>
    <w:autoRedefine/>
    <w:rsid w:val="00967F64"/>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967F64"/>
    <w:rPr>
      <w:vertAlign w:val="superscript"/>
    </w:rPr>
  </w:style>
  <w:style w:type="paragraph" w:customStyle="1" w:styleId="HesberHeading">
    <w:name w:val="Hesber Heading"/>
    <w:basedOn w:val="Hesber"/>
    <w:rsid w:val="00967F64"/>
    <w:pPr>
      <w:tabs>
        <w:tab w:val="left" w:pos="624"/>
        <w:tab w:val="left" w:pos="1247"/>
      </w:tabs>
    </w:pPr>
    <w:rPr>
      <w:b/>
      <w:bCs/>
    </w:rPr>
  </w:style>
  <w:style w:type="paragraph" w:customStyle="1" w:styleId="HesberWriters">
    <w:name w:val="Hesber Writers"/>
    <w:basedOn w:val="Hesber"/>
    <w:rsid w:val="00967F64"/>
    <w:pPr>
      <w:spacing w:before="120" w:after="120"/>
      <w:ind w:left="1418"/>
      <w:jc w:val="right"/>
    </w:pPr>
    <w:rPr>
      <w:b/>
      <w:bCs/>
    </w:rPr>
  </w:style>
  <w:style w:type="paragraph" w:customStyle="1" w:styleId="Hesber1st">
    <w:name w:val="Hesber 1st"/>
    <w:basedOn w:val="Hesber"/>
    <w:rsid w:val="00967F64"/>
    <w:pPr>
      <w:tabs>
        <w:tab w:val="left" w:pos="680"/>
        <w:tab w:val="left" w:pos="1020"/>
      </w:tabs>
      <w:ind w:firstLine="0"/>
    </w:pPr>
  </w:style>
  <w:style w:type="character" w:styleId="a7">
    <w:name w:val="endnote reference"/>
    <w:basedOn w:val="a0"/>
    <w:semiHidden/>
    <w:rsid w:val="00967F64"/>
    <w:rPr>
      <w:vertAlign w:val="superscript"/>
    </w:rPr>
  </w:style>
  <w:style w:type="paragraph" w:customStyle="1" w:styleId="TableBlockOutdent">
    <w:name w:val="Table BlockOutdent"/>
    <w:basedOn w:val="TableBlock"/>
    <w:rsid w:val="00967F64"/>
    <w:pPr>
      <w:ind w:left="624" w:hanging="624"/>
    </w:pPr>
  </w:style>
  <w:style w:type="paragraph" w:styleId="a8">
    <w:name w:val="header"/>
    <w:basedOn w:val="a"/>
    <w:rsid w:val="00967F64"/>
    <w:pPr>
      <w:tabs>
        <w:tab w:val="center" w:pos="4153"/>
        <w:tab w:val="right" w:pos="8306"/>
      </w:tabs>
    </w:pPr>
  </w:style>
  <w:style w:type="paragraph" w:styleId="a9">
    <w:name w:val="footer"/>
    <w:basedOn w:val="a"/>
    <w:rsid w:val="00967F64"/>
    <w:pPr>
      <w:tabs>
        <w:tab w:val="center" w:pos="4153"/>
        <w:tab w:val="right" w:pos="8306"/>
      </w:tabs>
    </w:pPr>
  </w:style>
  <w:style w:type="paragraph" w:customStyle="1" w:styleId="HeadDivreiHesber">
    <w:name w:val="Head DivreiHesber"/>
    <w:basedOn w:val="a"/>
    <w:rsid w:val="00967F64"/>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967F64"/>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967F64"/>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rsid w:val="0033368B"/>
    <w:rPr>
      <w:rFonts w:ascii="Arial" w:eastAsia="Arial Unicode MS" w:hAnsi="Arial" w:cs="David"/>
      <w:snapToGrid w:val="0"/>
      <w:sz w:val="14"/>
    </w:rPr>
  </w:style>
  <w:style w:type="character" w:styleId="ae">
    <w:name w:val="annotation reference"/>
    <w:basedOn w:val="a0"/>
    <w:semiHidden/>
    <w:unhideWhenUsed/>
    <w:rsid w:val="0079195B"/>
    <w:rPr>
      <w:sz w:val="16"/>
      <w:szCs w:val="16"/>
    </w:rPr>
  </w:style>
  <w:style w:type="paragraph" w:styleId="af">
    <w:name w:val="annotation text"/>
    <w:basedOn w:val="a"/>
    <w:link w:val="af0"/>
    <w:semiHidden/>
    <w:unhideWhenUsed/>
    <w:rsid w:val="0079195B"/>
    <w:pPr>
      <w:spacing w:line="240" w:lineRule="auto"/>
    </w:pPr>
    <w:rPr>
      <w:sz w:val="20"/>
      <w:szCs w:val="20"/>
    </w:rPr>
  </w:style>
  <w:style w:type="character" w:customStyle="1" w:styleId="af0">
    <w:name w:val="טקסט הערה תו"/>
    <w:basedOn w:val="a0"/>
    <w:link w:val="af"/>
    <w:semiHidden/>
    <w:rsid w:val="0079195B"/>
    <w:rPr>
      <w:rFonts w:ascii="Hadasa Roso SL" w:hAnsi="Hadasa Roso SL" w:cs="Hadasa Roso SL"/>
      <w:color w:val="000000"/>
      <w:spacing w:val="1"/>
      <w:lang w:eastAsia="ja-JP"/>
    </w:rPr>
  </w:style>
  <w:style w:type="paragraph" w:styleId="af1">
    <w:name w:val="annotation subject"/>
    <w:basedOn w:val="af"/>
    <w:next w:val="af"/>
    <w:link w:val="af2"/>
    <w:semiHidden/>
    <w:unhideWhenUsed/>
    <w:rsid w:val="0079195B"/>
    <w:rPr>
      <w:b/>
      <w:bCs/>
    </w:rPr>
  </w:style>
  <w:style w:type="character" w:customStyle="1" w:styleId="af2">
    <w:name w:val="נושא הערה תו"/>
    <w:basedOn w:val="af0"/>
    <w:link w:val="af1"/>
    <w:semiHidden/>
    <w:rsid w:val="0079195B"/>
    <w:rPr>
      <w:rFonts w:ascii="Hadasa Roso SL" w:hAnsi="Hadasa Roso SL" w:cs="Hadasa Roso SL"/>
      <w:b/>
      <w:bCs/>
      <w:color w:val="000000"/>
      <w:spacing w:val="1"/>
      <w:lang w:eastAsia="ja-JP"/>
    </w:rPr>
  </w:style>
  <w:style w:type="character" w:customStyle="1" w:styleId="10">
    <w:name w:val="כותרת 1 תו"/>
    <w:basedOn w:val="a0"/>
    <w:link w:val="1"/>
    <w:uiPriority w:val="9"/>
    <w:rsid w:val="00967F64"/>
    <w:rPr>
      <w:rFonts w:asciiTheme="majorHAnsi" w:eastAsiaTheme="majorEastAsia" w:hAnsiTheme="majorHAnsi" w:cs="David"/>
      <w:bCs/>
      <w:sz w:val="32"/>
      <w:szCs w:val="36"/>
    </w:rPr>
  </w:style>
  <w:style w:type="character" w:customStyle="1" w:styleId="20">
    <w:name w:val="כותרת 2 תו"/>
    <w:basedOn w:val="a0"/>
    <w:link w:val="2"/>
    <w:rsid w:val="00967F64"/>
    <w:rPr>
      <w:rFonts w:asciiTheme="majorHAnsi" w:eastAsiaTheme="majorEastAsia" w:hAnsiTheme="majorHAnsi" w:cs="David"/>
      <w:bCs/>
      <w:sz w:val="26"/>
      <w:szCs w:val="36"/>
      <w:u w:val="single"/>
    </w:rPr>
  </w:style>
  <w:style w:type="character" w:customStyle="1" w:styleId="30">
    <w:name w:val="כותרת 3 תו"/>
    <w:basedOn w:val="a0"/>
    <w:link w:val="3"/>
    <w:rsid w:val="00967F64"/>
    <w:rPr>
      <w:rFonts w:asciiTheme="majorHAnsi" w:eastAsiaTheme="majorEastAsia" w:hAnsiTheme="majorHAnsi" w:cs="David"/>
      <w:sz w:val="24"/>
      <w:szCs w:val="28"/>
      <w:u w:val="double"/>
    </w:rPr>
  </w:style>
  <w:style w:type="character" w:customStyle="1" w:styleId="40">
    <w:name w:val="כותרת 4 תו"/>
    <w:basedOn w:val="a0"/>
    <w:link w:val="4"/>
    <w:uiPriority w:val="9"/>
    <w:rsid w:val="00967F64"/>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967F64"/>
    <w:rPr>
      <w:rFonts w:ascii="David" w:eastAsiaTheme="minorHAnsi" w:hAnsi="David" w:cs="David"/>
      <w:color w:val="000000" w:themeColor="text1"/>
      <w:sz w:val="24"/>
      <w:szCs w:val="24"/>
    </w:rPr>
  </w:style>
  <w:style w:type="paragraph" w:styleId="af3">
    <w:name w:val="TOC Heading"/>
    <w:basedOn w:val="1"/>
    <w:next w:val="a"/>
    <w:uiPriority w:val="39"/>
    <w:unhideWhenUsed/>
    <w:qFormat/>
    <w:rsid w:val="00967F64"/>
    <w:pPr>
      <w:widowControl/>
      <w:spacing w:before="120" w:after="120"/>
      <w:outlineLvl w:val="9"/>
    </w:pPr>
    <w:rPr>
      <w:rtl/>
      <w:cs/>
    </w:rPr>
  </w:style>
  <w:style w:type="paragraph" w:styleId="TOC1">
    <w:name w:val="toc 1"/>
    <w:basedOn w:val="a"/>
    <w:next w:val="a"/>
    <w:autoRedefine/>
    <w:uiPriority w:val="39"/>
    <w:unhideWhenUsed/>
    <w:rsid w:val="00967F64"/>
    <w:pPr>
      <w:tabs>
        <w:tab w:val="right" w:leader="dot" w:pos="9629"/>
      </w:tabs>
      <w:spacing w:after="100"/>
    </w:pPr>
    <w:rPr>
      <w:bCs/>
      <w:szCs w:val="22"/>
    </w:rPr>
  </w:style>
  <w:style w:type="paragraph" w:styleId="TOC2">
    <w:name w:val="toc 2"/>
    <w:basedOn w:val="a"/>
    <w:next w:val="a"/>
    <w:uiPriority w:val="39"/>
    <w:unhideWhenUsed/>
    <w:rsid w:val="00967F64"/>
    <w:pPr>
      <w:tabs>
        <w:tab w:val="right" w:leader="dot" w:pos="9628"/>
      </w:tabs>
      <w:spacing w:after="100"/>
    </w:pPr>
    <w:rPr>
      <w:szCs w:val="22"/>
    </w:rPr>
  </w:style>
  <w:style w:type="character" w:styleId="Hyperlink">
    <w:name w:val="Hyperlink"/>
    <w:basedOn w:val="a0"/>
    <w:uiPriority w:val="99"/>
    <w:unhideWhenUsed/>
    <w:rsid w:val="00967F64"/>
    <w:rPr>
      <w:color w:val="0000FF" w:themeColor="hyperlink"/>
      <w:u w:val="single"/>
    </w:rPr>
  </w:style>
  <w:style w:type="paragraph" w:styleId="TOC3">
    <w:name w:val="toc 3"/>
    <w:basedOn w:val="a"/>
    <w:next w:val="a"/>
    <w:uiPriority w:val="39"/>
    <w:unhideWhenUsed/>
    <w:rsid w:val="00967F64"/>
    <w:pPr>
      <w:numPr>
        <w:numId w:val="22"/>
      </w:numPr>
      <w:tabs>
        <w:tab w:val="right" w:leader="dot" w:pos="9629"/>
      </w:tabs>
      <w:spacing w:after="100"/>
      <w:ind w:left="811" w:hanging="357"/>
    </w:pPr>
    <w:rPr>
      <w:szCs w:val="22"/>
    </w:rPr>
  </w:style>
  <w:style w:type="paragraph" w:styleId="TOC4">
    <w:name w:val="toc 4"/>
    <w:basedOn w:val="a"/>
    <w:next w:val="a"/>
    <w:autoRedefine/>
    <w:unhideWhenUsed/>
    <w:qFormat/>
    <w:rsid w:val="00967F64"/>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967F64"/>
    <w:pPr>
      <w:tabs>
        <w:tab w:val="right" w:leader="dot" w:pos="9628"/>
      </w:tabs>
      <w:spacing w:after="100"/>
      <w:ind w:left="567"/>
    </w:pPr>
    <w:rPr>
      <w:szCs w:val="22"/>
    </w:rPr>
  </w:style>
  <w:style w:type="paragraph" w:styleId="TOC6">
    <w:name w:val="toc 6"/>
    <w:basedOn w:val="a"/>
    <w:next w:val="a"/>
    <w:autoRedefine/>
    <w:semiHidden/>
    <w:unhideWhenUsed/>
    <w:rsid w:val="00967F64"/>
    <w:pPr>
      <w:spacing w:after="100"/>
      <w:ind w:left="850"/>
    </w:pPr>
  </w:style>
  <w:style w:type="paragraph" w:styleId="TOC7">
    <w:name w:val="toc 7"/>
    <w:basedOn w:val="a"/>
    <w:next w:val="a"/>
    <w:autoRedefine/>
    <w:semiHidden/>
    <w:unhideWhenUsed/>
    <w:rsid w:val="00967F64"/>
    <w:pPr>
      <w:spacing w:after="100"/>
      <w:ind w:left="1020"/>
    </w:pPr>
  </w:style>
  <w:style w:type="paragraph" w:styleId="TOC8">
    <w:name w:val="toc 8"/>
    <w:basedOn w:val="a"/>
    <w:next w:val="a"/>
    <w:autoRedefine/>
    <w:semiHidden/>
    <w:unhideWhenUsed/>
    <w:rsid w:val="00967F64"/>
    <w:pPr>
      <w:spacing w:after="100"/>
      <w:ind w:left="1190"/>
    </w:pPr>
  </w:style>
  <w:style w:type="paragraph" w:styleId="TOC9">
    <w:name w:val="toc 9"/>
    <w:basedOn w:val="a"/>
    <w:next w:val="a"/>
    <w:autoRedefine/>
    <w:semiHidden/>
    <w:unhideWhenUsed/>
    <w:rsid w:val="00967F64"/>
    <w:pPr>
      <w:spacing w:after="100"/>
      <w:ind w:left="1360"/>
    </w:pPr>
  </w:style>
  <w:style w:type="paragraph" w:customStyle="1" w:styleId="TableHead2">
    <w:name w:val="Table Head2"/>
    <w:basedOn w:val="TableHead"/>
    <w:qFormat/>
    <w:rsid w:val="00967F64"/>
    <w:pPr>
      <w:outlineLvl w:val="9"/>
    </w:pPr>
  </w:style>
  <w:style w:type="paragraph" w:customStyle="1" w:styleId="TableSideHeading2">
    <w:name w:val="Table SideHeading2"/>
    <w:basedOn w:val="TableSideHeading"/>
    <w:autoRedefine/>
    <w:qFormat/>
    <w:rsid w:val="00967F64"/>
    <w:pPr>
      <w:keepLines w:val="0"/>
      <w:outlineLvl w:val="9"/>
    </w:pPr>
  </w:style>
  <w:style w:type="paragraph" w:customStyle="1" w:styleId="0">
    <w:name w:val="סגנון שורה ראשונה:  0  ס''מ"/>
    <w:basedOn w:val="2"/>
    <w:rsid w:val="00967F64"/>
    <w:rPr>
      <w:rFonts w:eastAsia="Times New Roman"/>
    </w:rPr>
  </w:style>
  <w:style w:type="paragraph" w:styleId="af4">
    <w:name w:val="List Paragraph"/>
    <w:basedOn w:val="a"/>
    <w:uiPriority w:val="34"/>
    <w:qFormat/>
    <w:rsid w:val="00967F64"/>
    <w:pPr>
      <w:widowControl/>
      <w:spacing w:line="259" w:lineRule="auto"/>
    </w:pPr>
    <w:rPr>
      <w:rFonts w:asciiTheme="minorHAnsi" w:hAnsiTheme="minorHAnsi"/>
      <w:sz w:val="22"/>
    </w:rPr>
  </w:style>
  <w:style w:type="table" w:styleId="af5">
    <w:name w:val="Table Grid"/>
    <w:basedOn w:val="a1"/>
    <w:rsid w:val="00967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967F6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967F6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6">
    <w:name w:val="טבלת חקיקה"/>
    <w:basedOn w:val="a1"/>
    <w:uiPriority w:val="99"/>
    <w:rsid w:val="00967F64"/>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967F64"/>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www.w3.org/XML/1998/namespace"/>
    <ds:schemaRef ds:uri="http://purl.org/dc/dcmitype/"/>
  </ds:schemaRefs>
</ds:datastoreItem>
</file>

<file path=customXml/itemProps3.xml><?xml version="1.0" encoding="utf-8"?>
<ds:datastoreItem xmlns:ds="http://schemas.openxmlformats.org/officeDocument/2006/customXml" ds:itemID="{98C18E15-31FE-4143-966D-9071601C4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F3E5A7-5853-462A-9864-2F51F22E2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Pages>
  <Words>461</Words>
  <Characters>2634</Characters>
  <Application>Microsoft Office Word</Application>
  <DocSecurity>0</DocSecurity>
  <Lines>21</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ווייס עמר</cp:lastModifiedBy>
  <cp:revision>34</cp:revision>
  <cp:lastPrinted>2013-07-04T08:25:00Z</cp:lastPrinted>
  <dcterms:created xsi:type="dcterms:W3CDTF">2015-04-20T09:58:00Z</dcterms:created>
  <dcterms:modified xsi:type="dcterms:W3CDTF">2022-02-13T09:22:00Z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2168023</vt:r8>
  </property>
</Properties>
</file>