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2168772</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מיכל שיר סגמן</w:t>
      </w:r>
      <w:r>
        <w:br/>
      </w:r>
      <w:r>
        <w:rPr>
          <w:rFonts w:hint="cs"/>
          <w:b/>
          <w:bCs/>
          <w:rtl/>
        </w:rPr>
        <w:t xml:space="preserve"> </w:t>
      </w:r>
      <w:r>
        <w:tab/>
      </w:r>
      <w:r>
        <w:tab/>
      </w:r>
      <w:r>
        <w:tab/>
      </w:r>
      <w:r>
        <w:tab/>
      </w:r>
      <w:r>
        <w:rPr>
          <w:rFonts w:hint="cs"/>
          <w:b/>
          <w:bCs/>
          <w:rtl/>
        </w:rPr>
        <w:t>זאב בנימין בגין</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פ/3293/24</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7" w:name="LGS_Subject"/>
      <w:r>
        <w:rPr>
          <w:rFonts w:hint="cs"/>
          <w:rtl/>
        </w:rPr>
        <w:t>הצעת חוק לתיקון פקודת מס הכנסה (ניכוי בגין הוצאות טיפול בילדים), התשפ"ב–2022</w:t>
      </w:r>
      <w:bookmarkEnd w:id="7"/>
    </w:p>
    <w:p w14:paraId="7F6961AE" w14:textId="77777777" w:rsidR="00E13C27" w:rsidRDefault="00E13C27" w:rsidP="0021633A">
      <w:pPr>
        <w:pStyle w:val="HeadDivreiHesber"/>
        <w:spacing w:before="0" w:after="0"/>
        <w:rPr>
          <w:rtl/>
        </w:rPr>
      </w:pPr>
    </w:p>
    <w:tbl>
      <w:tblPr>
        <w:bidiVisual/>
        <w:tblW w:w="9641"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624"/>
        <w:gridCol w:w="624"/>
        <w:gridCol w:w="624"/>
        <w:gridCol w:w="624"/>
        <w:gridCol w:w="543"/>
        <w:gridCol w:w="76"/>
        <w:gridCol w:w="4031"/>
      </w:tblGrid>
      <w:tr w:rsidR="00B74EF2" w14:paraId="03DD0C2F" w14:textId="77777777" w:rsidTr="008C6202">
        <w:trPr>
          <w:cantSplit/>
        </w:trPr>
        <w:tc>
          <w:tcPr>
            <w:tcW w:w="1871" w:type="dxa"/>
          </w:tcPr>
          <w:p w14:paraId="0313A2AD" w14:textId="77777777" w:rsidR="00B74EF2" w:rsidRDefault="00B74EF2" w:rsidP="006E077D">
            <w:pPr>
              <w:pStyle w:val="TableSideHeading"/>
              <w:ind w:right="0"/>
            </w:pPr>
            <w:r>
              <w:rPr>
                <w:sz w:val="26"/>
                <w:rtl/>
              </w:rPr>
              <w:t>תיקון  סעיף 17</w:t>
            </w:r>
          </w:p>
        </w:tc>
        <w:tc>
          <w:tcPr>
            <w:tcW w:w="624" w:type="dxa"/>
          </w:tcPr>
          <w:p w14:paraId="23547202" w14:textId="77777777" w:rsidR="00B74EF2" w:rsidRDefault="00B74EF2" w:rsidP="006E077D">
            <w:pPr>
              <w:pStyle w:val="TableText"/>
              <w:keepLines w:val="0"/>
            </w:pPr>
            <w:r>
              <w:rPr>
                <w:rFonts w:hint="cs"/>
                <w:sz w:val="26"/>
                <w:rtl/>
              </w:rPr>
              <w:t>1.</w:t>
            </w:r>
          </w:p>
        </w:tc>
        <w:tc>
          <w:tcPr>
            <w:tcW w:w="7146" w:type="dxa"/>
            <w:gridSpan w:val="7"/>
          </w:tcPr>
          <w:p w14:paraId="79A6822E" w14:textId="5E090547" w:rsidR="00B74EF2" w:rsidRDefault="00B74EF2" w:rsidP="0015444D">
            <w:pPr>
              <w:pStyle w:val="TableBlock"/>
            </w:pPr>
            <w:r>
              <w:rPr>
                <w:sz w:val="26"/>
                <w:rtl/>
              </w:rPr>
              <w:t>בפקודת מס הכנסה</w:t>
            </w:r>
            <w:r>
              <w:rPr>
                <w:rStyle w:val="a6"/>
                <w:sz w:val="26"/>
                <w:rtl/>
              </w:rPr>
              <w:footnoteReference w:id="2"/>
            </w:r>
            <w:r>
              <w:rPr>
                <w:sz w:val="26"/>
                <w:rtl/>
              </w:rPr>
              <w:t xml:space="preserve"> (להלן – הפקודה), בסעיף 17, </w:t>
            </w:r>
            <w:r w:rsidR="0015444D">
              <w:rPr>
                <w:rFonts w:hint="cs"/>
                <w:sz w:val="26"/>
                <w:rtl/>
              </w:rPr>
              <w:t>בסופו</w:t>
            </w:r>
            <w:r>
              <w:rPr>
                <w:sz w:val="26"/>
                <w:rtl/>
              </w:rPr>
              <w:t xml:space="preserve"> יבוא:</w:t>
            </w:r>
          </w:p>
        </w:tc>
      </w:tr>
      <w:tr w:rsidR="00B74EF2" w14:paraId="533DC963" w14:textId="77777777" w:rsidTr="008C6202">
        <w:tblPrEx>
          <w:tblLook w:val="01E0" w:firstRow="1" w:lastRow="1" w:firstColumn="1" w:lastColumn="1" w:noHBand="0" w:noVBand="0"/>
        </w:tblPrEx>
        <w:trPr>
          <w:cantSplit/>
          <w:trHeight w:val="60"/>
        </w:trPr>
        <w:tc>
          <w:tcPr>
            <w:tcW w:w="1871" w:type="dxa"/>
          </w:tcPr>
          <w:p w14:paraId="52292916" w14:textId="77777777" w:rsidR="00B74EF2" w:rsidRDefault="00B74EF2" w:rsidP="006E077D">
            <w:pPr>
              <w:pStyle w:val="TableSideHeading"/>
              <w:keepLines w:val="0"/>
            </w:pPr>
          </w:p>
        </w:tc>
        <w:tc>
          <w:tcPr>
            <w:tcW w:w="624" w:type="dxa"/>
          </w:tcPr>
          <w:p w14:paraId="101A0BCF" w14:textId="77777777" w:rsidR="00B74EF2" w:rsidRDefault="00B74EF2" w:rsidP="006E077D">
            <w:pPr>
              <w:pStyle w:val="TableText"/>
              <w:keepLines w:val="0"/>
            </w:pPr>
          </w:p>
        </w:tc>
        <w:tc>
          <w:tcPr>
            <w:tcW w:w="1872" w:type="dxa"/>
            <w:gridSpan w:val="3"/>
          </w:tcPr>
          <w:p w14:paraId="5243BD5E" w14:textId="77777777" w:rsidR="00B74EF2" w:rsidRDefault="00B74EF2" w:rsidP="006E077D">
            <w:pPr>
              <w:pStyle w:val="TableInnerSideHeading"/>
            </w:pPr>
            <w:r w:rsidRPr="008D683B">
              <w:rPr>
                <w:rtl/>
              </w:rPr>
              <w:t>"ניכוי מס להורה עובד בגין הוצאות טיפול בילדים</w:t>
            </w:r>
          </w:p>
        </w:tc>
        <w:tc>
          <w:tcPr>
            <w:tcW w:w="624" w:type="dxa"/>
          </w:tcPr>
          <w:p w14:paraId="0BC4AFB2" w14:textId="77777777" w:rsidR="00B74EF2" w:rsidRDefault="00B74EF2" w:rsidP="006E077D">
            <w:pPr>
              <w:pStyle w:val="TableText"/>
            </w:pPr>
            <w:r>
              <w:rPr>
                <w:sz w:val="26"/>
                <w:rtl/>
              </w:rPr>
              <w:t>(16)</w:t>
            </w:r>
          </w:p>
        </w:tc>
        <w:tc>
          <w:tcPr>
            <w:tcW w:w="4650" w:type="dxa"/>
            <w:gridSpan w:val="3"/>
          </w:tcPr>
          <w:p w14:paraId="1394EC66" w14:textId="2BFB00BE" w:rsidR="00B74EF2" w:rsidRDefault="00B74EF2" w:rsidP="0002226D">
            <w:pPr>
              <w:pStyle w:val="TableBlock"/>
            </w:pPr>
            <w:r w:rsidRPr="008D683B">
              <w:rPr>
                <w:rtl/>
              </w:rPr>
              <w:t>(א)</w:t>
            </w:r>
            <w:r>
              <w:rPr>
                <w:sz w:val="26"/>
                <w:rtl/>
              </w:rPr>
              <w:tab/>
              <w:t>סכומים ששיל</w:t>
            </w:r>
            <w:r>
              <w:rPr>
                <w:rFonts w:hint="cs"/>
                <w:sz w:val="26"/>
                <w:rtl/>
              </w:rPr>
              <w:t>ם</w:t>
            </w:r>
            <w:r>
              <w:rPr>
                <w:sz w:val="26"/>
                <w:rtl/>
              </w:rPr>
              <w:t xml:space="preserve"> </w:t>
            </w:r>
            <w:r>
              <w:rPr>
                <w:rFonts w:hint="cs"/>
                <w:sz w:val="26"/>
                <w:rtl/>
              </w:rPr>
              <w:t>הורה</w:t>
            </w:r>
            <w:r>
              <w:rPr>
                <w:sz w:val="26"/>
                <w:rtl/>
              </w:rPr>
              <w:t xml:space="preserve"> </w:t>
            </w:r>
            <w:r w:rsidRPr="00367627">
              <w:rPr>
                <w:sz w:val="26"/>
                <w:rtl/>
              </w:rPr>
              <w:t xml:space="preserve">עבור </w:t>
            </w:r>
            <w:r w:rsidR="0002226D" w:rsidRPr="00367627">
              <w:rPr>
                <w:rFonts w:hint="eastAsia"/>
                <w:sz w:val="26"/>
                <w:rtl/>
              </w:rPr>
              <w:t>הוצאות</w:t>
            </w:r>
            <w:r w:rsidR="0002226D" w:rsidRPr="00367627">
              <w:rPr>
                <w:sz w:val="26"/>
                <w:rtl/>
              </w:rPr>
              <w:t xml:space="preserve"> </w:t>
            </w:r>
            <w:r w:rsidR="0002226D" w:rsidRPr="00367627">
              <w:rPr>
                <w:rFonts w:hint="eastAsia"/>
                <w:sz w:val="26"/>
                <w:rtl/>
              </w:rPr>
              <w:t>טיפול</w:t>
            </w:r>
            <w:r w:rsidR="0002226D">
              <w:rPr>
                <w:rFonts w:hint="cs"/>
                <w:sz w:val="26"/>
                <w:rtl/>
              </w:rPr>
              <w:t xml:space="preserve"> בילדיו</w:t>
            </w:r>
            <w:r>
              <w:rPr>
                <w:sz w:val="26"/>
                <w:rtl/>
              </w:rPr>
              <w:t xml:space="preserve">, בסכום שאינו עולה על 20,000 שקלים חדשים בעד </w:t>
            </w:r>
            <w:r w:rsidR="0002226D">
              <w:rPr>
                <w:sz w:val="26"/>
                <w:rtl/>
              </w:rPr>
              <w:t>ילד</w:t>
            </w:r>
            <w:r w:rsidR="0002226D">
              <w:rPr>
                <w:rFonts w:hint="cs"/>
                <w:sz w:val="26"/>
                <w:rtl/>
              </w:rPr>
              <w:t>ו</w:t>
            </w:r>
            <w:r w:rsidR="0002226D">
              <w:rPr>
                <w:sz w:val="26"/>
                <w:rtl/>
              </w:rPr>
              <w:t xml:space="preserve"> </w:t>
            </w:r>
            <w:r>
              <w:rPr>
                <w:sz w:val="26"/>
                <w:rtl/>
              </w:rPr>
              <w:t xml:space="preserve">האחד, 17,300 שקלים חדשים נוספים בעד </w:t>
            </w:r>
            <w:r w:rsidR="0002226D">
              <w:rPr>
                <w:sz w:val="26"/>
                <w:rtl/>
              </w:rPr>
              <w:t>ילד</w:t>
            </w:r>
            <w:r w:rsidR="0002226D">
              <w:rPr>
                <w:rFonts w:hint="cs"/>
                <w:sz w:val="26"/>
                <w:rtl/>
              </w:rPr>
              <w:t>ו</w:t>
            </w:r>
            <w:r w:rsidR="0002226D">
              <w:rPr>
                <w:sz w:val="26"/>
                <w:rtl/>
              </w:rPr>
              <w:t xml:space="preserve"> </w:t>
            </w:r>
            <w:r>
              <w:rPr>
                <w:sz w:val="26"/>
                <w:rtl/>
              </w:rPr>
              <w:t>השני, ו-14,600 שקלים חדשים נוספים בעד כל אחד מילדי</w:t>
            </w:r>
            <w:r>
              <w:rPr>
                <w:rFonts w:hint="cs"/>
                <w:sz w:val="26"/>
                <w:rtl/>
              </w:rPr>
              <w:t>ו</w:t>
            </w:r>
            <w:r>
              <w:rPr>
                <w:sz w:val="26"/>
                <w:rtl/>
              </w:rPr>
              <w:t xml:space="preserve"> הנוספים, ובלבד שהתקיימו כל אלה:</w:t>
            </w:r>
          </w:p>
        </w:tc>
      </w:tr>
      <w:tr w:rsidR="00B74EF2" w:rsidRPr="00CE228D" w14:paraId="18D8E60D" w14:textId="77777777" w:rsidTr="008C6202">
        <w:tblPrEx>
          <w:tblLook w:val="01E0" w:firstRow="1" w:lastRow="1" w:firstColumn="1" w:lastColumn="1" w:noHBand="0" w:noVBand="0"/>
        </w:tblPrEx>
        <w:trPr>
          <w:cantSplit/>
          <w:trHeight w:val="60"/>
        </w:trPr>
        <w:tc>
          <w:tcPr>
            <w:tcW w:w="1871" w:type="dxa"/>
          </w:tcPr>
          <w:p w14:paraId="0463CDFC" w14:textId="77777777" w:rsidR="00B74EF2" w:rsidRDefault="00B74EF2" w:rsidP="006E077D">
            <w:pPr>
              <w:pStyle w:val="TableSideHeading"/>
            </w:pPr>
          </w:p>
        </w:tc>
        <w:tc>
          <w:tcPr>
            <w:tcW w:w="624" w:type="dxa"/>
          </w:tcPr>
          <w:p w14:paraId="03E1E90F" w14:textId="77777777" w:rsidR="00B74EF2" w:rsidRDefault="00B74EF2" w:rsidP="006E077D">
            <w:pPr>
              <w:pStyle w:val="TableText"/>
            </w:pPr>
          </w:p>
        </w:tc>
        <w:tc>
          <w:tcPr>
            <w:tcW w:w="624" w:type="dxa"/>
          </w:tcPr>
          <w:p w14:paraId="0CB693E2" w14:textId="77777777" w:rsidR="00B74EF2" w:rsidRDefault="00B74EF2" w:rsidP="006E077D">
            <w:pPr>
              <w:pStyle w:val="TableText"/>
            </w:pPr>
          </w:p>
        </w:tc>
        <w:tc>
          <w:tcPr>
            <w:tcW w:w="624" w:type="dxa"/>
          </w:tcPr>
          <w:p w14:paraId="5353F7C1" w14:textId="77777777" w:rsidR="00B74EF2" w:rsidRDefault="00B74EF2" w:rsidP="006E077D">
            <w:pPr>
              <w:pStyle w:val="TableText"/>
            </w:pPr>
          </w:p>
        </w:tc>
        <w:tc>
          <w:tcPr>
            <w:tcW w:w="624" w:type="dxa"/>
          </w:tcPr>
          <w:p w14:paraId="575478DC" w14:textId="77777777" w:rsidR="00B74EF2" w:rsidRDefault="00B74EF2" w:rsidP="006E077D">
            <w:pPr>
              <w:pStyle w:val="TableText"/>
            </w:pPr>
          </w:p>
        </w:tc>
        <w:tc>
          <w:tcPr>
            <w:tcW w:w="624" w:type="dxa"/>
          </w:tcPr>
          <w:p w14:paraId="5EAD7047" w14:textId="77777777" w:rsidR="00B74EF2" w:rsidRDefault="00B74EF2" w:rsidP="006E077D">
            <w:pPr>
              <w:pStyle w:val="TableText"/>
            </w:pPr>
          </w:p>
        </w:tc>
        <w:tc>
          <w:tcPr>
            <w:tcW w:w="619" w:type="dxa"/>
            <w:gridSpan w:val="2"/>
          </w:tcPr>
          <w:p w14:paraId="3EB94443" w14:textId="77777777" w:rsidR="00B74EF2" w:rsidRDefault="00B74EF2" w:rsidP="006E077D">
            <w:pPr>
              <w:pStyle w:val="TableText"/>
            </w:pPr>
          </w:p>
        </w:tc>
        <w:tc>
          <w:tcPr>
            <w:tcW w:w="4031" w:type="dxa"/>
          </w:tcPr>
          <w:p w14:paraId="647C8A77" w14:textId="5275A632" w:rsidR="00B74EF2" w:rsidRPr="00CE228D" w:rsidRDefault="00B74EF2" w:rsidP="00602088">
            <w:pPr>
              <w:pStyle w:val="TableText"/>
              <w:ind w:right="0"/>
              <w:jc w:val="both"/>
              <w:rPr>
                <w:rtl/>
              </w:rPr>
            </w:pPr>
            <w:r w:rsidRPr="008D683B">
              <w:rPr>
                <w:rtl/>
              </w:rPr>
              <w:t>(1)</w:t>
            </w:r>
            <w:r w:rsidRPr="008D683B">
              <w:rPr>
                <w:rtl/>
              </w:rPr>
              <w:tab/>
            </w:r>
            <w:r w:rsidRPr="00367627">
              <w:rPr>
                <w:rFonts w:hint="eastAsia"/>
                <w:sz w:val="26"/>
                <w:rtl/>
              </w:rPr>
              <w:t>משק</w:t>
            </w:r>
            <w:r w:rsidRPr="00367627">
              <w:rPr>
                <w:sz w:val="26"/>
                <w:rtl/>
              </w:rPr>
              <w:t xml:space="preserve"> </w:t>
            </w:r>
            <w:r w:rsidRPr="00367627">
              <w:rPr>
                <w:rFonts w:hint="eastAsia"/>
                <w:sz w:val="26"/>
                <w:rtl/>
              </w:rPr>
              <w:t>בית</w:t>
            </w:r>
            <w:r>
              <w:rPr>
                <w:rFonts w:hint="cs"/>
                <w:sz w:val="26"/>
                <w:rtl/>
              </w:rPr>
              <w:t xml:space="preserve"> בו בני הזוג</w:t>
            </w:r>
            <w:r>
              <w:rPr>
                <w:sz w:val="26"/>
                <w:rtl/>
              </w:rPr>
              <w:t xml:space="preserve"> עובדים או עוסקים בעסק או במשלח יד, במהלך כל שנת המס, </w:t>
            </w:r>
            <w:r>
              <w:rPr>
                <w:rFonts w:hint="cs"/>
                <w:sz w:val="26"/>
                <w:rtl/>
              </w:rPr>
              <w:t>70</w:t>
            </w:r>
            <w:r>
              <w:rPr>
                <w:sz w:val="26"/>
                <w:rtl/>
              </w:rPr>
              <w:t xml:space="preserve"> שעות בשבוע לפחות, או </w:t>
            </w:r>
            <w:r>
              <w:rPr>
                <w:rFonts w:hint="cs"/>
                <w:sz w:val="26"/>
                <w:rtl/>
              </w:rPr>
              <w:t>שהורה הוא</w:t>
            </w:r>
            <w:r>
              <w:rPr>
                <w:sz w:val="26"/>
                <w:rtl/>
              </w:rPr>
              <w:t xml:space="preserve"> הורה </w:t>
            </w:r>
            <w:r>
              <w:rPr>
                <w:rFonts w:hint="cs"/>
                <w:sz w:val="26"/>
                <w:rtl/>
              </w:rPr>
              <w:t>עצמאי</w:t>
            </w:r>
            <w:r>
              <w:rPr>
                <w:sz w:val="26"/>
                <w:rtl/>
              </w:rPr>
              <w:t>, העובד או עוסק בעסק או במשלח יד</w:t>
            </w:r>
            <w:r>
              <w:rPr>
                <w:rFonts w:hint="cs"/>
                <w:sz w:val="26"/>
                <w:rtl/>
              </w:rPr>
              <w:t xml:space="preserve"> ועובד במהלך כל שנת מס 35 שעות בשבוע לפחות, או משק בית בו לפחות אחד מבני הזוג </w:t>
            </w:r>
            <w:r w:rsidRPr="00EC7AB8">
              <w:rPr>
                <w:sz w:val="26"/>
                <w:rtl/>
              </w:rPr>
              <w:t>ה</w:t>
            </w:r>
            <w:r>
              <w:rPr>
                <w:rFonts w:hint="cs"/>
                <w:sz w:val="26"/>
                <w:rtl/>
              </w:rPr>
              <w:t>וא הורה ה</w:t>
            </w:r>
            <w:r w:rsidRPr="00EC7AB8">
              <w:rPr>
                <w:sz w:val="26"/>
                <w:rtl/>
              </w:rPr>
              <w:t xml:space="preserve">לומד במוסד חינוכי </w:t>
            </w:r>
            <w:r>
              <w:rPr>
                <w:rFonts w:hint="cs"/>
                <w:sz w:val="26"/>
                <w:rtl/>
              </w:rPr>
              <w:t>ו</w:t>
            </w:r>
            <w:r w:rsidR="0015444D">
              <w:rPr>
                <w:rFonts w:hint="cs"/>
                <w:sz w:val="26"/>
                <w:rtl/>
              </w:rPr>
              <w:t xml:space="preserve">בני הזוג </w:t>
            </w:r>
            <w:r>
              <w:rPr>
                <w:sz w:val="26"/>
                <w:rtl/>
              </w:rPr>
              <w:t xml:space="preserve">עובדים או עוסקים בעסק או במשלח יד, במהלך כל שנת המס, </w:t>
            </w:r>
            <w:r>
              <w:rPr>
                <w:rFonts w:hint="cs"/>
                <w:sz w:val="26"/>
                <w:rtl/>
              </w:rPr>
              <w:t>45</w:t>
            </w:r>
            <w:r>
              <w:rPr>
                <w:sz w:val="26"/>
                <w:rtl/>
              </w:rPr>
              <w:t xml:space="preserve"> שעות בשבוע לפחות;</w:t>
            </w:r>
          </w:p>
        </w:tc>
      </w:tr>
      <w:tr w:rsidR="00B74EF2" w:rsidRPr="00A8517A" w14:paraId="72FA6ABA" w14:textId="77777777" w:rsidTr="008C6202">
        <w:tblPrEx>
          <w:tblLook w:val="01E0" w:firstRow="1" w:lastRow="1" w:firstColumn="1" w:lastColumn="1" w:noHBand="0" w:noVBand="0"/>
        </w:tblPrEx>
        <w:trPr>
          <w:cantSplit/>
          <w:trHeight w:val="60"/>
        </w:trPr>
        <w:tc>
          <w:tcPr>
            <w:tcW w:w="1871" w:type="dxa"/>
          </w:tcPr>
          <w:p w14:paraId="53FE4D00" w14:textId="77777777" w:rsidR="00B74EF2" w:rsidRDefault="00B74EF2" w:rsidP="006E077D">
            <w:pPr>
              <w:pStyle w:val="TableSideHeading"/>
            </w:pPr>
          </w:p>
        </w:tc>
        <w:tc>
          <w:tcPr>
            <w:tcW w:w="624" w:type="dxa"/>
          </w:tcPr>
          <w:p w14:paraId="5DDCCF64" w14:textId="77777777" w:rsidR="00B74EF2" w:rsidRDefault="00B74EF2" w:rsidP="006E077D">
            <w:pPr>
              <w:pStyle w:val="TableText"/>
            </w:pPr>
          </w:p>
        </w:tc>
        <w:tc>
          <w:tcPr>
            <w:tcW w:w="624" w:type="dxa"/>
          </w:tcPr>
          <w:p w14:paraId="7B0D19B9" w14:textId="77777777" w:rsidR="00B74EF2" w:rsidRDefault="00B74EF2" w:rsidP="006E077D">
            <w:pPr>
              <w:pStyle w:val="TableText"/>
            </w:pPr>
          </w:p>
        </w:tc>
        <w:tc>
          <w:tcPr>
            <w:tcW w:w="624" w:type="dxa"/>
          </w:tcPr>
          <w:p w14:paraId="40A0CBB6" w14:textId="77777777" w:rsidR="00B74EF2" w:rsidRDefault="00B74EF2" w:rsidP="006E077D">
            <w:pPr>
              <w:pStyle w:val="TableText"/>
            </w:pPr>
          </w:p>
        </w:tc>
        <w:tc>
          <w:tcPr>
            <w:tcW w:w="624" w:type="dxa"/>
          </w:tcPr>
          <w:p w14:paraId="73B3E88B" w14:textId="77777777" w:rsidR="00B74EF2" w:rsidRDefault="00B74EF2" w:rsidP="006E077D">
            <w:pPr>
              <w:pStyle w:val="TableText"/>
            </w:pPr>
          </w:p>
        </w:tc>
        <w:tc>
          <w:tcPr>
            <w:tcW w:w="624" w:type="dxa"/>
          </w:tcPr>
          <w:p w14:paraId="57ED1E1F" w14:textId="77777777" w:rsidR="00B74EF2" w:rsidRDefault="00B74EF2" w:rsidP="006E077D">
            <w:pPr>
              <w:pStyle w:val="TableText"/>
            </w:pPr>
          </w:p>
        </w:tc>
        <w:tc>
          <w:tcPr>
            <w:tcW w:w="619" w:type="dxa"/>
            <w:gridSpan w:val="2"/>
          </w:tcPr>
          <w:p w14:paraId="3EA96E64" w14:textId="77777777" w:rsidR="00B74EF2" w:rsidRDefault="00B74EF2" w:rsidP="006E077D">
            <w:pPr>
              <w:pStyle w:val="TableText"/>
            </w:pPr>
          </w:p>
        </w:tc>
        <w:tc>
          <w:tcPr>
            <w:tcW w:w="4031" w:type="dxa"/>
          </w:tcPr>
          <w:p w14:paraId="04FCD816" w14:textId="5758515D" w:rsidR="00B74EF2" w:rsidRPr="00A8517A" w:rsidRDefault="00B74EF2" w:rsidP="00F76069">
            <w:pPr>
              <w:pStyle w:val="TableText"/>
              <w:ind w:right="0"/>
              <w:jc w:val="both"/>
            </w:pPr>
            <w:r w:rsidRPr="008D683B">
              <w:rPr>
                <w:rtl/>
              </w:rPr>
              <w:t>(2)</w:t>
            </w:r>
            <w:r>
              <w:rPr>
                <w:rtl/>
              </w:rPr>
              <w:tab/>
            </w:r>
            <w:r>
              <w:rPr>
                <w:rFonts w:hint="cs"/>
                <w:sz w:val="26"/>
                <w:rtl/>
              </w:rPr>
              <w:t>ההורה</w:t>
            </w:r>
            <w:r>
              <w:rPr>
                <w:sz w:val="26"/>
                <w:rtl/>
              </w:rPr>
              <w:t xml:space="preserve"> הודיע למעביד</w:t>
            </w:r>
            <w:r>
              <w:rPr>
                <w:rFonts w:hint="cs"/>
                <w:sz w:val="26"/>
                <w:rtl/>
              </w:rPr>
              <w:t>ו</w:t>
            </w:r>
            <w:r>
              <w:rPr>
                <w:sz w:val="26"/>
                <w:rtl/>
              </w:rPr>
              <w:t xml:space="preserve"> או לפקיד השומה על בחירת</w:t>
            </w:r>
            <w:r>
              <w:rPr>
                <w:rFonts w:hint="cs"/>
                <w:sz w:val="26"/>
                <w:rtl/>
              </w:rPr>
              <w:t>ו</w:t>
            </w:r>
            <w:r>
              <w:rPr>
                <w:sz w:val="26"/>
                <w:rtl/>
              </w:rPr>
              <w:t xml:space="preserve"> בניכוי לפי הוראות </w:t>
            </w:r>
            <w:r w:rsidR="00F76069">
              <w:rPr>
                <w:rFonts w:hint="cs"/>
                <w:sz w:val="26"/>
                <w:rtl/>
              </w:rPr>
              <w:t>פסקה זו</w:t>
            </w:r>
            <w:r>
              <w:rPr>
                <w:sz w:val="26"/>
                <w:rtl/>
              </w:rPr>
              <w:t>, בדרך שקבע שר האוצר בתקנות.</w:t>
            </w:r>
          </w:p>
        </w:tc>
      </w:tr>
      <w:tr w:rsidR="00B74EF2" w:rsidRPr="00A8517A" w14:paraId="75648D42" w14:textId="77777777" w:rsidTr="008C6202">
        <w:tblPrEx>
          <w:tblLook w:val="01E0" w:firstRow="1" w:lastRow="1" w:firstColumn="1" w:lastColumn="1" w:noHBand="0" w:noVBand="0"/>
        </w:tblPrEx>
        <w:trPr>
          <w:cantSplit/>
          <w:trHeight w:val="60"/>
        </w:trPr>
        <w:tc>
          <w:tcPr>
            <w:tcW w:w="1871" w:type="dxa"/>
          </w:tcPr>
          <w:p w14:paraId="0BDD5E41" w14:textId="77777777" w:rsidR="00B74EF2" w:rsidRDefault="00B74EF2" w:rsidP="006E077D">
            <w:pPr>
              <w:pStyle w:val="TableSideHeading"/>
            </w:pPr>
          </w:p>
        </w:tc>
        <w:tc>
          <w:tcPr>
            <w:tcW w:w="624" w:type="dxa"/>
          </w:tcPr>
          <w:p w14:paraId="4675A0AE" w14:textId="77777777" w:rsidR="00B74EF2" w:rsidRDefault="00B74EF2" w:rsidP="006E077D">
            <w:pPr>
              <w:pStyle w:val="TableText"/>
            </w:pPr>
          </w:p>
        </w:tc>
        <w:tc>
          <w:tcPr>
            <w:tcW w:w="624" w:type="dxa"/>
          </w:tcPr>
          <w:p w14:paraId="29A20E7A" w14:textId="77777777" w:rsidR="00B74EF2" w:rsidRDefault="00B74EF2" w:rsidP="006E077D">
            <w:pPr>
              <w:pStyle w:val="TableText"/>
            </w:pPr>
          </w:p>
        </w:tc>
        <w:tc>
          <w:tcPr>
            <w:tcW w:w="624" w:type="dxa"/>
          </w:tcPr>
          <w:p w14:paraId="49121AF0" w14:textId="77777777" w:rsidR="00B74EF2" w:rsidRDefault="00B74EF2" w:rsidP="006E077D">
            <w:pPr>
              <w:pStyle w:val="TableText"/>
            </w:pPr>
          </w:p>
        </w:tc>
        <w:tc>
          <w:tcPr>
            <w:tcW w:w="624" w:type="dxa"/>
          </w:tcPr>
          <w:p w14:paraId="56A04101" w14:textId="77777777" w:rsidR="00B74EF2" w:rsidRDefault="00B74EF2" w:rsidP="006E077D">
            <w:pPr>
              <w:pStyle w:val="TableText"/>
            </w:pPr>
          </w:p>
        </w:tc>
        <w:tc>
          <w:tcPr>
            <w:tcW w:w="624" w:type="dxa"/>
          </w:tcPr>
          <w:p w14:paraId="5CEA98B5" w14:textId="77777777" w:rsidR="00B74EF2" w:rsidRDefault="00B74EF2" w:rsidP="006E077D">
            <w:pPr>
              <w:pStyle w:val="TableText"/>
            </w:pPr>
          </w:p>
        </w:tc>
        <w:tc>
          <w:tcPr>
            <w:tcW w:w="4650" w:type="dxa"/>
            <w:gridSpan w:val="3"/>
          </w:tcPr>
          <w:p w14:paraId="2EF12D53" w14:textId="43C11241" w:rsidR="00B74EF2" w:rsidRPr="00A8517A" w:rsidRDefault="00B74EF2" w:rsidP="00F42037">
            <w:pPr>
              <w:pStyle w:val="TableText"/>
              <w:ind w:right="0"/>
              <w:jc w:val="both"/>
            </w:pPr>
            <w:r w:rsidRPr="008D683B">
              <w:rPr>
                <w:rtl/>
              </w:rPr>
              <w:t>(ב)</w:t>
            </w:r>
            <w:r>
              <w:rPr>
                <w:sz w:val="26"/>
                <w:rtl/>
              </w:rPr>
              <w:tab/>
            </w:r>
            <w:r w:rsidR="0028359A">
              <w:rPr>
                <w:rFonts w:hint="cs"/>
                <w:rtl/>
              </w:rPr>
              <w:t>ניכוי</w:t>
            </w:r>
            <w:r w:rsidR="0028359A" w:rsidRPr="00C277EB">
              <w:rPr>
                <w:rtl/>
              </w:rPr>
              <w:t xml:space="preserve"> </w:t>
            </w:r>
            <w:r w:rsidRPr="00C277EB">
              <w:rPr>
                <w:rtl/>
              </w:rPr>
              <w:t xml:space="preserve">בעד </w:t>
            </w:r>
            <w:r w:rsidR="0028359A">
              <w:rPr>
                <w:rFonts w:hint="cs"/>
                <w:rtl/>
              </w:rPr>
              <w:t>הוצאות טיפול ב</w:t>
            </w:r>
            <w:r w:rsidRPr="00C277EB">
              <w:rPr>
                <w:rtl/>
              </w:rPr>
              <w:t xml:space="preserve">ילד לפי </w:t>
            </w:r>
            <w:r w:rsidR="00F42037">
              <w:rPr>
                <w:rFonts w:hint="cs"/>
                <w:rtl/>
              </w:rPr>
              <w:t>פסקה זו</w:t>
            </w:r>
            <w:r w:rsidRPr="00C277EB">
              <w:rPr>
                <w:rtl/>
              </w:rPr>
              <w:t xml:space="preserve"> לא </w:t>
            </w:r>
            <w:r w:rsidR="0028359A">
              <w:rPr>
                <w:rFonts w:hint="cs"/>
                <w:rtl/>
              </w:rPr>
              <w:t>י</w:t>
            </w:r>
            <w:r w:rsidR="0028359A" w:rsidRPr="00C277EB">
              <w:rPr>
                <w:rtl/>
              </w:rPr>
              <w:t xml:space="preserve">בוא </w:t>
            </w:r>
            <w:r w:rsidRPr="00C277EB">
              <w:rPr>
                <w:rtl/>
              </w:rPr>
              <w:t xml:space="preserve">בחישוב המס של יותר </w:t>
            </w:r>
            <w:r w:rsidR="00F42037">
              <w:rPr>
                <w:rFonts w:hint="cs"/>
                <w:rtl/>
              </w:rPr>
              <w:t>מהורה אחד</w:t>
            </w:r>
            <w:r w:rsidR="0028359A">
              <w:rPr>
                <w:rFonts w:hint="cs"/>
                <w:rtl/>
              </w:rPr>
              <w:t>,</w:t>
            </w:r>
            <w:r>
              <w:rPr>
                <w:rFonts w:hint="cs"/>
                <w:rtl/>
              </w:rPr>
              <w:t xml:space="preserve"> </w:t>
            </w:r>
            <w:r w:rsidR="00F42037">
              <w:rPr>
                <w:rFonts w:hint="cs"/>
                <w:rtl/>
              </w:rPr>
              <w:t xml:space="preserve">אלא </w:t>
            </w:r>
            <w:r>
              <w:rPr>
                <w:rFonts w:hint="cs"/>
                <w:rtl/>
              </w:rPr>
              <w:t>אם</w:t>
            </w:r>
            <w:r w:rsidR="0028359A">
              <w:rPr>
                <w:rFonts w:hint="cs"/>
                <w:rtl/>
              </w:rPr>
              <w:t xml:space="preserve"> כן</w:t>
            </w:r>
            <w:r>
              <w:rPr>
                <w:rFonts w:hint="cs"/>
                <w:rtl/>
              </w:rPr>
              <w:t xml:space="preserve"> מתקיימים כל אלה:</w:t>
            </w:r>
          </w:p>
        </w:tc>
      </w:tr>
      <w:tr w:rsidR="00B74EF2" w:rsidRPr="008D683B" w14:paraId="00419EA6" w14:textId="77777777" w:rsidTr="008C6202">
        <w:tblPrEx>
          <w:tblLook w:val="01E0" w:firstRow="1" w:lastRow="1" w:firstColumn="1" w:lastColumn="1" w:noHBand="0" w:noVBand="0"/>
        </w:tblPrEx>
        <w:trPr>
          <w:cantSplit/>
          <w:trHeight w:val="60"/>
        </w:trPr>
        <w:tc>
          <w:tcPr>
            <w:tcW w:w="1871" w:type="dxa"/>
          </w:tcPr>
          <w:p w14:paraId="2D8C2174" w14:textId="77777777" w:rsidR="00B74EF2" w:rsidRDefault="00B74EF2" w:rsidP="006E077D">
            <w:pPr>
              <w:pStyle w:val="TableSideHeading"/>
            </w:pPr>
          </w:p>
        </w:tc>
        <w:tc>
          <w:tcPr>
            <w:tcW w:w="624" w:type="dxa"/>
          </w:tcPr>
          <w:p w14:paraId="73EC1802" w14:textId="77777777" w:rsidR="00B74EF2" w:rsidRDefault="00B74EF2" w:rsidP="006E077D">
            <w:pPr>
              <w:pStyle w:val="TableText"/>
            </w:pPr>
          </w:p>
        </w:tc>
        <w:tc>
          <w:tcPr>
            <w:tcW w:w="624" w:type="dxa"/>
          </w:tcPr>
          <w:p w14:paraId="4361FFC2" w14:textId="77777777" w:rsidR="00B74EF2" w:rsidRDefault="00B74EF2" w:rsidP="006E077D">
            <w:pPr>
              <w:pStyle w:val="TableText"/>
            </w:pPr>
          </w:p>
        </w:tc>
        <w:tc>
          <w:tcPr>
            <w:tcW w:w="624" w:type="dxa"/>
          </w:tcPr>
          <w:p w14:paraId="219D9935" w14:textId="77777777" w:rsidR="00B74EF2" w:rsidRDefault="00B74EF2" w:rsidP="006E077D">
            <w:pPr>
              <w:pStyle w:val="TableText"/>
            </w:pPr>
          </w:p>
        </w:tc>
        <w:tc>
          <w:tcPr>
            <w:tcW w:w="624" w:type="dxa"/>
          </w:tcPr>
          <w:p w14:paraId="360B5707" w14:textId="77777777" w:rsidR="00B74EF2" w:rsidRDefault="00B74EF2" w:rsidP="006E077D">
            <w:pPr>
              <w:pStyle w:val="TableText"/>
            </w:pPr>
          </w:p>
        </w:tc>
        <w:tc>
          <w:tcPr>
            <w:tcW w:w="624" w:type="dxa"/>
          </w:tcPr>
          <w:p w14:paraId="6C167A09" w14:textId="77777777" w:rsidR="00B74EF2" w:rsidRDefault="00B74EF2" w:rsidP="006E077D">
            <w:pPr>
              <w:pStyle w:val="TableText"/>
            </w:pPr>
          </w:p>
        </w:tc>
        <w:tc>
          <w:tcPr>
            <w:tcW w:w="543" w:type="dxa"/>
          </w:tcPr>
          <w:p w14:paraId="3554AAF3" w14:textId="77777777" w:rsidR="00B74EF2" w:rsidRPr="008D683B" w:rsidRDefault="00B74EF2" w:rsidP="006E077D">
            <w:pPr>
              <w:pStyle w:val="TableText"/>
              <w:ind w:right="0"/>
              <w:jc w:val="both"/>
              <w:rPr>
                <w:rtl/>
              </w:rPr>
            </w:pPr>
          </w:p>
        </w:tc>
        <w:tc>
          <w:tcPr>
            <w:tcW w:w="4107" w:type="dxa"/>
            <w:gridSpan w:val="2"/>
          </w:tcPr>
          <w:p w14:paraId="0C2EF38A" w14:textId="2684FD52" w:rsidR="00B74EF2" w:rsidRPr="008D683B" w:rsidRDefault="00B74EF2" w:rsidP="007430DD">
            <w:pPr>
              <w:pStyle w:val="TableText"/>
              <w:ind w:right="0"/>
              <w:jc w:val="both"/>
              <w:rPr>
                <w:rtl/>
              </w:rPr>
            </w:pPr>
            <w:r>
              <w:rPr>
                <w:rFonts w:hint="cs"/>
                <w:rtl/>
              </w:rPr>
              <w:t>(1)</w:t>
            </w:r>
            <w:r w:rsidRPr="00A944CF">
              <w:rPr>
                <w:rtl/>
              </w:rPr>
              <w:tab/>
            </w:r>
            <w:r w:rsidR="00057B44">
              <w:rPr>
                <w:rFonts w:hint="cs"/>
                <w:rtl/>
              </w:rPr>
              <w:t>הורי</w:t>
            </w:r>
            <w:r w:rsidR="00017F29">
              <w:rPr>
                <w:rFonts w:hint="cs"/>
                <w:rtl/>
              </w:rPr>
              <w:t>ו של</w:t>
            </w:r>
            <w:r w:rsidR="00057B44">
              <w:rPr>
                <w:rFonts w:hint="cs"/>
                <w:rtl/>
              </w:rPr>
              <w:t xml:space="preserve"> ילד שלגביו נוכו סכומים כאמור בפסקת משנה (א)</w:t>
            </w:r>
            <w:r>
              <w:rPr>
                <w:rFonts w:hint="cs"/>
                <w:rtl/>
              </w:rPr>
              <w:t xml:space="preserve"> לא מקיימים משק בית משותף</w:t>
            </w:r>
            <w:r>
              <w:t>;</w:t>
            </w:r>
          </w:p>
        </w:tc>
      </w:tr>
      <w:tr w:rsidR="00B74EF2" w14:paraId="68600B24" w14:textId="77777777" w:rsidTr="008C6202">
        <w:tblPrEx>
          <w:tblLook w:val="01E0" w:firstRow="1" w:lastRow="1" w:firstColumn="1" w:lastColumn="1" w:noHBand="0" w:noVBand="0"/>
        </w:tblPrEx>
        <w:trPr>
          <w:cantSplit/>
          <w:trHeight w:val="60"/>
        </w:trPr>
        <w:tc>
          <w:tcPr>
            <w:tcW w:w="1871" w:type="dxa"/>
          </w:tcPr>
          <w:p w14:paraId="706FEB8B" w14:textId="77777777" w:rsidR="00B74EF2" w:rsidRPr="00FF0EBB" w:rsidRDefault="00B74EF2" w:rsidP="006E077D">
            <w:pPr>
              <w:pStyle w:val="TableSideHeading"/>
            </w:pPr>
          </w:p>
        </w:tc>
        <w:tc>
          <w:tcPr>
            <w:tcW w:w="624" w:type="dxa"/>
          </w:tcPr>
          <w:p w14:paraId="10AC17E8" w14:textId="77777777" w:rsidR="00B74EF2" w:rsidRDefault="00B74EF2" w:rsidP="006E077D">
            <w:pPr>
              <w:pStyle w:val="TableText"/>
            </w:pPr>
          </w:p>
        </w:tc>
        <w:tc>
          <w:tcPr>
            <w:tcW w:w="624" w:type="dxa"/>
          </w:tcPr>
          <w:p w14:paraId="351DCA11" w14:textId="77777777" w:rsidR="00B74EF2" w:rsidRDefault="00B74EF2" w:rsidP="006E077D">
            <w:pPr>
              <w:pStyle w:val="TableText"/>
            </w:pPr>
          </w:p>
        </w:tc>
        <w:tc>
          <w:tcPr>
            <w:tcW w:w="624" w:type="dxa"/>
          </w:tcPr>
          <w:p w14:paraId="52DDBD26" w14:textId="77777777" w:rsidR="00B74EF2" w:rsidRDefault="00B74EF2" w:rsidP="006E077D">
            <w:pPr>
              <w:pStyle w:val="TableText"/>
            </w:pPr>
          </w:p>
        </w:tc>
        <w:tc>
          <w:tcPr>
            <w:tcW w:w="624" w:type="dxa"/>
          </w:tcPr>
          <w:p w14:paraId="1FAE45E1" w14:textId="77777777" w:rsidR="00B74EF2" w:rsidRDefault="00B74EF2" w:rsidP="006E077D">
            <w:pPr>
              <w:pStyle w:val="TableText"/>
            </w:pPr>
          </w:p>
        </w:tc>
        <w:tc>
          <w:tcPr>
            <w:tcW w:w="624" w:type="dxa"/>
          </w:tcPr>
          <w:p w14:paraId="7BBB91DD" w14:textId="77777777" w:rsidR="00B74EF2" w:rsidRDefault="00B74EF2" w:rsidP="006E077D">
            <w:pPr>
              <w:pStyle w:val="TableText"/>
            </w:pPr>
          </w:p>
        </w:tc>
        <w:tc>
          <w:tcPr>
            <w:tcW w:w="543" w:type="dxa"/>
          </w:tcPr>
          <w:p w14:paraId="65D7D646" w14:textId="77777777" w:rsidR="00B74EF2" w:rsidRDefault="00B74EF2" w:rsidP="006E077D">
            <w:pPr>
              <w:pStyle w:val="TableText"/>
              <w:ind w:right="0"/>
              <w:jc w:val="both"/>
            </w:pPr>
          </w:p>
        </w:tc>
        <w:tc>
          <w:tcPr>
            <w:tcW w:w="4107" w:type="dxa"/>
            <w:gridSpan w:val="2"/>
          </w:tcPr>
          <w:p w14:paraId="24443989" w14:textId="4445159A" w:rsidR="00B74EF2" w:rsidRDefault="00B74EF2" w:rsidP="006F2E3C">
            <w:pPr>
              <w:pStyle w:val="TableText"/>
              <w:ind w:right="0"/>
              <w:jc w:val="both"/>
            </w:pPr>
            <w:r>
              <w:rPr>
                <w:rFonts w:hint="cs"/>
                <w:rtl/>
              </w:rPr>
              <w:t>(2)</w:t>
            </w:r>
            <w:r w:rsidRPr="00A944CF">
              <w:rPr>
                <w:rtl/>
              </w:rPr>
              <w:t xml:space="preserve"> </w:t>
            </w:r>
            <w:r w:rsidRPr="00A944CF">
              <w:rPr>
                <w:rtl/>
              </w:rPr>
              <w:tab/>
              <w:t xml:space="preserve"> </w:t>
            </w:r>
            <w:r>
              <w:rPr>
                <w:rFonts w:hint="cs"/>
                <w:rtl/>
              </w:rPr>
              <w:t xml:space="preserve">הוצאות </w:t>
            </w:r>
            <w:r w:rsidR="00057B44">
              <w:rPr>
                <w:rFonts w:hint="cs"/>
                <w:rtl/>
              </w:rPr>
              <w:t xml:space="preserve">כאמור בפסקת </w:t>
            </w:r>
            <w:r w:rsidR="00057B44" w:rsidRPr="000F40F8">
              <w:rPr>
                <w:rFonts w:hint="cs"/>
                <w:rtl/>
              </w:rPr>
              <w:t>משנה</w:t>
            </w:r>
            <w:r w:rsidRPr="000F40F8">
              <w:rPr>
                <w:rtl/>
              </w:rPr>
              <w:t xml:space="preserve"> (א) </w:t>
            </w:r>
            <w:r w:rsidR="00F43C33" w:rsidRPr="000F40F8">
              <w:rPr>
                <w:rFonts w:hint="eastAsia"/>
                <w:rtl/>
              </w:rPr>
              <w:t>משולמ</w:t>
            </w:r>
            <w:r w:rsidR="006F2E3C">
              <w:rPr>
                <w:rFonts w:hint="cs"/>
                <w:rtl/>
              </w:rPr>
              <w:t>ות</w:t>
            </w:r>
            <w:r w:rsidR="00F43C33" w:rsidRPr="000F40F8">
              <w:rPr>
                <w:rtl/>
              </w:rPr>
              <w:t xml:space="preserve"> בידי שני ההורים לפי </w:t>
            </w:r>
            <w:r w:rsidRPr="006F2E3C">
              <w:rPr>
                <w:rtl/>
              </w:rPr>
              <w:t xml:space="preserve">חוק לתיקון דיני המשפחה (מזונות), </w:t>
            </w:r>
            <w:r w:rsidR="006F2E3C">
              <w:rPr>
                <w:rFonts w:hint="cs"/>
                <w:rtl/>
              </w:rPr>
              <w:t>ה</w:t>
            </w:r>
            <w:r w:rsidRPr="006F2E3C">
              <w:rPr>
                <w:rtl/>
              </w:rPr>
              <w:t>תשי"ט</w:t>
            </w:r>
            <w:r w:rsidR="006F2E3C">
              <w:rPr>
                <w:rFonts w:hint="cs"/>
                <w:rtl/>
              </w:rPr>
              <w:t>–</w:t>
            </w:r>
            <w:r w:rsidRPr="006F2E3C">
              <w:rPr>
                <w:rtl/>
              </w:rPr>
              <w:t>1959</w:t>
            </w:r>
            <w:r w:rsidRPr="006F2E3C">
              <w:rPr>
                <w:rStyle w:val="a6"/>
              </w:rPr>
              <w:footnoteReference w:id="3"/>
            </w:r>
            <w:r w:rsidR="00887110">
              <w:rPr>
                <w:rFonts w:hint="cs"/>
                <w:shd w:val="clear" w:color="auto" w:fill="FFFFFF" w:themeFill="background1"/>
                <w:rtl/>
              </w:rPr>
              <w:t>.</w:t>
            </w:r>
          </w:p>
        </w:tc>
      </w:tr>
      <w:tr w:rsidR="00B74EF2" w:rsidRPr="008C09B4" w14:paraId="48FAB5CF" w14:textId="77777777" w:rsidTr="008C6202">
        <w:tblPrEx>
          <w:tblLook w:val="01E0" w:firstRow="1" w:lastRow="1" w:firstColumn="1" w:lastColumn="1" w:noHBand="0" w:noVBand="0"/>
        </w:tblPrEx>
        <w:trPr>
          <w:cantSplit/>
          <w:trHeight w:val="60"/>
        </w:trPr>
        <w:tc>
          <w:tcPr>
            <w:tcW w:w="1871" w:type="dxa"/>
          </w:tcPr>
          <w:p w14:paraId="7B1158B7" w14:textId="77777777" w:rsidR="00B74EF2" w:rsidRDefault="00B74EF2" w:rsidP="006E077D">
            <w:pPr>
              <w:pStyle w:val="TableSideHeading"/>
            </w:pPr>
          </w:p>
        </w:tc>
        <w:tc>
          <w:tcPr>
            <w:tcW w:w="624" w:type="dxa"/>
          </w:tcPr>
          <w:p w14:paraId="63856295" w14:textId="77777777" w:rsidR="00B74EF2" w:rsidRDefault="00B74EF2" w:rsidP="006E077D">
            <w:pPr>
              <w:pStyle w:val="TableText"/>
            </w:pPr>
          </w:p>
        </w:tc>
        <w:tc>
          <w:tcPr>
            <w:tcW w:w="624" w:type="dxa"/>
          </w:tcPr>
          <w:p w14:paraId="0F23E2F2" w14:textId="77777777" w:rsidR="00B74EF2" w:rsidRDefault="00B74EF2" w:rsidP="006E077D">
            <w:pPr>
              <w:pStyle w:val="TableText"/>
            </w:pPr>
          </w:p>
        </w:tc>
        <w:tc>
          <w:tcPr>
            <w:tcW w:w="624" w:type="dxa"/>
          </w:tcPr>
          <w:p w14:paraId="6EC61835" w14:textId="77777777" w:rsidR="00B74EF2" w:rsidRDefault="00B74EF2" w:rsidP="006E077D">
            <w:pPr>
              <w:pStyle w:val="TableText"/>
            </w:pPr>
          </w:p>
        </w:tc>
        <w:tc>
          <w:tcPr>
            <w:tcW w:w="624" w:type="dxa"/>
          </w:tcPr>
          <w:p w14:paraId="409B8F3B" w14:textId="77777777" w:rsidR="00B74EF2" w:rsidRDefault="00B74EF2" w:rsidP="006E077D">
            <w:pPr>
              <w:pStyle w:val="TableText"/>
            </w:pPr>
          </w:p>
        </w:tc>
        <w:tc>
          <w:tcPr>
            <w:tcW w:w="624" w:type="dxa"/>
          </w:tcPr>
          <w:p w14:paraId="2AD2AC84" w14:textId="77777777" w:rsidR="00B74EF2" w:rsidRDefault="00B74EF2" w:rsidP="006E077D">
            <w:pPr>
              <w:pStyle w:val="TableText"/>
            </w:pPr>
          </w:p>
        </w:tc>
        <w:tc>
          <w:tcPr>
            <w:tcW w:w="4650" w:type="dxa"/>
            <w:gridSpan w:val="3"/>
          </w:tcPr>
          <w:p w14:paraId="6F3114E0" w14:textId="4C35E4C0" w:rsidR="00B74EF2" w:rsidRPr="008C09B4" w:rsidRDefault="00B74EF2" w:rsidP="00DC6FA9">
            <w:pPr>
              <w:pStyle w:val="TableText"/>
              <w:ind w:right="0"/>
              <w:jc w:val="both"/>
            </w:pPr>
            <w:r w:rsidRPr="008D683B">
              <w:rPr>
                <w:rtl/>
              </w:rPr>
              <w:t>(ג)</w:t>
            </w:r>
            <w:r>
              <w:rPr>
                <w:sz w:val="26"/>
                <w:rtl/>
              </w:rPr>
              <w:tab/>
              <w:t xml:space="preserve">על אף האמור </w:t>
            </w:r>
            <w:r w:rsidR="00D64279">
              <w:rPr>
                <w:rFonts w:hint="cs"/>
                <w:sz w:val="26"/>
                <w:rtl/>
              </w:rPr>
              <w:t>בפסקת משנה</w:t>
            </w:r>
            <w:r>
              <w:rPr>
                <w:sz w:val="26"/>
                <w:rtl/>
              </w:rPr>
              <w:t xml:space="preserve"> (א), </w:t>
            </w:r>
            <w:r>
              <w:rPr>
                <w:rFonts w:hint="cs"/>
                <w:sz w:val="26"/>
                <w:rtl/>
              </w:rPr>
              <w:t>הורה</w:t>
            </w:r>
            <w:r>
              <w:rPr>
                <w:sz w:val="26"/>
                <w:rtl/>
              </w:rPr>
              <w:t xml:space="preserve"> שעובד או שעוסק</w:t>
            </w:r>
            <w:r>
              <w:rPr>
                <w:rFonts w:hint="cs"/>
                <w:sz w:val="26"/>
                <w:rtl/>
              </w:rPr>
              <w:t xml:space="preserve"> </w:t>
            </w:r>
            <w:r>
              <w:rPr>
                <w:sz w:val="26"/>
                <w:rtl/>
              </w:rPr>
              <w:t>בעסק או במשלח יד רק בחלק משנת המס</w:t>
            </w:r>
            <w:r w:rsidR="00D64279">
              <w:rPr>
                <w:rFonts w:hint="cs"/>
                <w:sz w:val="26"/>
                <w:rtl/>
              </w:rPr>
              <w:t>,</w:t>
            </w:r>
            <w:r>
              <w:rPr>
                <w:rFonts w:hint="cs"/>
                <w:sz w:val="26"/>
                <w:rtl/>
              </w:rPr>
              <w:t xml:space="preserve"> יהיה זכאי</w:t>
            </w:r>
            <w:r>
              <w:rPr>
                <w:sz w:val="26"/>
                <w:rtl/>
              </w:rPr>
              <w:t xml:space="preserve"> לניכוי כאמור </w:t>
            </w:r>
            <w:r w:rsidR="00DC6FA9">
              <w:rPr>
                <w:rFonts w:hint="cs"/>
                <w:sz w:val="26"/>
                <w:rtl/>
              </w:rPr>
              <w:t>בפסקת משנה</w:t>
            </w:r>
            <w:r>
              <w:rPr>
                <w:sz w:val="26"/>
                <w:rtl/>
              </w:rPr>
              <w:t xml:space="preserve"> (א) באופן יחסי, ובלבד </w:t>
            </w:r>
            <w:r>
              <w:rPr>
                <w:rFonts w:hint="cs"/>
                <w:sz w:val="26"/>
                <w:rtl/>
              </w:rPr>
              <w:t>שההורה</w:t>
            </w:r>
            <w:r>
              <w:rPr>
                <w:sz w:val="26"/>
                <w:rtl/>
              </w:rPr>
              <w:t xml:space="preserve"> עובד או עוסק בעסק או במשלח היד, לפי העניין, עשרה חודשים רצופים, לפחות</w:t>
            </w:r>
            <w:r w:rsidR="007A148C">
              <w:rPr>
                <w:rFonts w:hint="cs"/>
                <w:sz w:val="26"/>
                <w:rtl/>
              </w:rPr>
              <w:t>.</w:t>
            </w:r>
          </w:p>
        </w:tc>
      </w:tr>
      <w:tr w:rsidR="00B74EF2" w:rsidRPr="008D683B" w14:paraId="1C4AC063" w14:textId="77777777" w:rsidTr="008C6202">
        <w:tblPrEx>
          <w:tblLook w:val="01E0" w:firstRow="1" w:lastRow="1" w:firstColumn="1" w:lastColumn="1" w:noHBand="0" w:noVBand="0"/>
        </w:tblPrEx>
        <w:trPr>
          <w:cantSplit/>
          <w:trHeight w:val="60"/>
        </w:trPr>
        <w:tc>
          <w:tcPr>
            <w:tcW w:w="1871" w:type="dxa"/>
          </w:tcPr>
          <w:p w14:paraId="551D9758" w14:textId="77777777" w:rsidR="00B74EF2" w:rsidRDefault="00B74EF2" w:rsidP="006E077D">
            <w:pPr>
              <w:pStyle w:val="TableSideHeading"/>
            </w:pPr>
          </w:p>
        </w:tc>
        <w:tc>
          <w:tcPr>
            <w:tcW w:w="624" w:type="dxa"/>
          </w:tcPr>
          <w:p w14:paraId="6B44004E" w14:textId="77777777" w:rsidR="00B74EF2" w:rsidRDefault="00B74EF2" w:rsidP="006E077D">
            <w:pPr>
              <w:pStyle w:val="TableText"/>
            </w:pPr>
          </w:p>
        </w:tc>
        <w:tc>
          <w:tcPr>
            <w:tcW w:w="624" w:type="dxa"/>
          </w:tcPr>
          <w:p w14:paraId="2ACC9B69" w14:textId="77777777" w:rsidR="00B74EF2" w:rsidRDefault="00B74EF2" w:rsidP="006E077D">
            <w:pPr>
              <w:pStyle w:val="TableText"/>
            </w:pPr>
          </w:p>
        </w:tc>
        <w:tc>
          <w:tcPr>
            <w:tcW w:w="624" w:type="dxa"/>
          </w:tcPr>
          <w:p w14:paraId="0672D45A" w14:textId="77777777" w:rsidR="00B74EF2" w:rsidRDefault="00B74EF2" w:rsidP="006E077D">
            <w:pPr>
              <w:pStyle w:val="TableText"/>
            </w:pPr>
          </w:p>
        </w:tc>
        <w:tc>
          <w:tcPr>
            <w:tcW w:w="624" w:type="dxa"/>
          </w:tcPr>
          <w:p w14:paraId="7E4945ED" w14:textId="77777777" w:rsidR="00B74EF2" w:rsidRDefault="00B74EF2" w:rsidP="006E077D">
            <w:pPr>
              <w:pStyle w:val="TableText"/>
            </w:pPr>
          </w:p>
        </w:tc>
        <w:tc>
          <w:tcPr>
            <w:tcW w:w="624" w:type="dxa"/>
          </w:tcPr>
          <w:p w14:paraId="5C0C8F01" w14:textId="77777777" w:rsidR="00B74EF2" w:rsidRDefault="00B74EF2" w:rsidP="006E077D">
            <w:pPr>
              <w:pStyle w:val="TableText"/>
            </w:pPr>
          </w:p>
        </w:tc>
        <w:tc>
          <w:tcPr>
            <w:tcW w:w="4650" w:type="dxa"/>
            <w:gridSpan w:val="3"/>
          </w:tcPr>
          <w:p w14:paraId="68D70795" w14:textId="62803987" w:rsidR="00B74EF2" w:rsidRPr="008D683B" w:rsidRDefault="00B74EF2" w:rsidP="002A34E1">
            <w:pPr>
              <w:pStyle w:val="TableText"/>
              <w:ind w:right="0"/>
              <w:jc w:val="both"/>
            </w:pPr>
            <w:r w:rsidRPr="008D683B">
              <w:rPr>
                <w:rtl/>
              </w:rPr>
              <w:t>(</w:t>
            </w:r>
            <w:r>
              <w:rPr>
                <w:rFonts w:hint="cs"/>
                <w:rtl/>
              </w:rPr>
              <w:t>ד</w:t>
            </w:r>
            <w:r w:rsidRPr="008D683B">
              <w:rPr>
                <w:rtl/>
              </w:rPr>
              <w:t>)</w:t>
            </w:r>
            <w:r>
              <w:rPr>
                <w:rtl/>
              </w:rPr>
              <w:tab/>
            </w:r>
            <w:r w:rsidRPr="008D683B">
              <w:rPr>
                <w:rtl/>
              </w:rPr>
              <w:t xml:space="preserve">שר האוצר, באישור ועדת הכספים של הכנסת, רשאי לקבוע, </w:t>
            </w:r>
            <w:r w:rsidRPr="000F40F8">
              <w:rPr>
                <w:rtl/>
              </w:rPr>
              <w:t xml:space="preserve">בין היתר, הוראות </w:t>
            </w:r>
            <w:r w:rsidR="002A34E1">
              <w:rPr>
                <w:rFonts w:hint="cs"/>
                <w:rtl/>
              </w:rPr>
              <w:t>לעניין –</w:t>
            </w:r>
          </w:p>
        </w:tc>
      </w:tr>
      <w:tr w:rsidR="00B74EF2" w:rsidRPr="00A944CF" w14:paraId="1F18D8C8" w14:textId="77777777" w:rsidTr="008C6202">
        <w:tblPrEx>
          <w:tblLook w:val="01E0" w:firstRow="1" w:lastRow="1" w:firstColumn="1" w:lastColumn="1" w:noHBand="0" w:noVBand="0"/>
        </w:tblPrEx>
        <w:trPr>
          <w:cantSplit/>
          <w:trHeight w:val="60"/>
        </w:trPr>
        <w:tc>
          <w:tcPr>
            <w:tcW w:w="1871" w:type="dxa"/>
          </w:tcPr>
          <w:p w14:paraId="7AC366F6" w14:textId="77777777" w:rsidR="00B74EF2" w:rsidRDefault="00B74EF2" w:rsidP="006E077D">
            <w:pPr>
              <w:pStyle w:val="TableSideHeading"/>
            </w:pPr>
          </w:p>
        </w:tc>
        <w:tc>
          <w:tcPr>
            <w:tcW w:w="624" w:type="dxa"/>
          </w:tcPr>
          <w:p w14:paraId="3551D2C5" w14:textId="77777777" w:rsidR="00B74EF2" w:rsidRDefault="00B74EF2" w:rsidP="006E077D">
            <w:pPr>
              <w:pStyle w:val="TableText"/>
            </w:pPr>
          </w:p>
        </w:tc>
        <w:tc>
          <w:tcPr>
            <w:tcW w:w="624" w:type="dxa"/>
          </w:tcPr>
          <w:p w14:paraId="1F0F9C85" w14:textId="77777777" w:rsidR="00B74EF2" w:rsidRDefault="00B74EF2" w:rsidP="006E077D">
            <w:pPr>
              <w:pStyle w:val="TableText"/>
            </w:pPr>
          </w:p>
        </w:tc>
        <w:tc>
          <w:tcPr>
            <w:tcW w:w="624" w:type="dxa"/>
          </w:tcPr>
          <w:p w14:paraId="34F462B3" w14:textId="77777777" w:rsidR="00B74EF2" w:rsidRDefault="00B74EF2" w:rsidP="006E077D">
            <w:pPr>
              <w:pStyle w:val="TableText"/>
            </w:pPr>
          </w:p>
        </w:tc>
        <w:tc>
          <w:tcPr>
            <w:tcW w:w="624" w:type="dxa"/>
          </w:tcPr>
          <w:p w14:paraId="1E7B3257" w14:textId="77777777" w:rsidR="00B74EF2" w:rsidRDefault="00B74EF2" w:rsidP="006E077D">
            <w:pPr>
              <w:pStyle w:val="TableText"/>
            </w:pPr>
          </w:p>
        </w:tc>
        <w:tc>
          <w:tcPr>
            <w:tcW w:w="624" w:type="dxa"/>
          </w:tcPr>
          <w:p w14:paraId="7746E7C1" w14:textId="77777777" w:rsidR="00B74EF2" w:rsidRDefault="00B74EF2" w:rsidP="006E077D">
            <w:pPr>
              <w:pStyle w:val="TableText"/>
            </w:pPr>
          </w:p>
        </w:tc>
        <w:tc>
          <w:tcPr>
            <w:tcW w:w="619" w:type="dxa"/>
            <w:gridSpan w:val="2"/>
          </w:tcPr>
          <w:p w14:paraId="7635C122" w14:textId="77777777" w:rsidR="00B74EF2" w:rsidRDefault="00B74EF2" w:rsidP="006E077D">
            <w:pPr>
              <w:pStyle w:val="TableText"/>
            </w:pPr>
          </w:p>
        </w:tc>
        <w:tc>
          <w:tcPr>
            <w:tcW w:w="4031" w:type="dxa"/>
          </w:tcPr>
          <w:p w14:paraId="073F3675" w14:textId="0C396DFB" w:rsidR="00B74EF2" w:rsidRPr="00100F1B" w:rsidRDefault="00B74EF2" w:rsidP="00FB3DAB">
            <w:pPr>
              <w:pStyle w:val="TableBlock"/>
            </w:pPr>
            <w:r w:rsidRPr="00A944CF">
              <w:rPr>
                <w:rtl/>
              </w:rPr>
              <w:t>(</w:t>
            </w:r>
            <w:r w:rsidRPr="00887110">
              <w:rPr>
                <w:rtl/>
              </w:rPr>
              <w:t>1)</w:t>
            </w:r>
            <w:r w:rsidRPr="00887110">
              <w:rPr>
                <w:rtl/>
              </w:rPr>
              <w:tab/>
              <w:t xml:space="preserve"> </w:t>
            </w:r>
            <w:r w:rsidR="007A148C" w:rsidRPr="002A34E1">
              <w:rPr>
                <w:rFonts w:hint="eastAsia"/>
                <w:rtl/>
              </w:rPr>
              <w:t>הוצאות</w:t>
            </w:r>
            <w:r w:rsidR="007A148C" w:rsidRPr="002A34E1">
              <w:rPr>
                <w:rtl/>
              </w:rPr>
              <w:t xml:space="preserve"> </w:t>
            </w:r>
            <w:r w:rsidR="007A148C" w:rsidRPr="002A34E1">
              <w:rPr>
                <w:rFonts w:hint="eastAsia"/>
                <w:rtl/>
              </w:rPr>
              <w:t>טיפול</w:t>
            </w:r>
            <w:r w:rsidR="007A148C" w:rsidRPr="002A34E1">
              <w:rPr>
                <w:rtl/>
              </w:rPr>
              <w:t xml:space="preserve"> </w:t>
            </w:r>
            <w:r w:rsidR="007A148C" w:rsidRPr="002A34E1">
              <w:rPr>
                <w:rFonts w:hint="eastAsia"/>
                <w:rtl/>
              </w:rPr>
              <w:t>בילד</w:t>
            </w:r>
            <w:r w:rsidR="007A148C" w:rsidRPr="002A34E1">
              <w:rPr>
                <w:rtl/>
              </w:rPr>
              <w:t xml:space="preserve"> </w:t>
            </w:r>
            <w:r w:rsidR="007A148C" w:rsidRPr="002A34E1">
              <w:rPr>
                <w:rFonts w:hint="eastAsia"/>
                <w:rtl/>
              </w:rPr>
              <w:t>שבעד</w:t>
            </w:r>
            <w:r w:rsidR="00FB3DAB">
              <w:rPr>
                <w:rFonts w:hint="cs"/>
                <w:rtl/>
              </w:rPr>
              <w:t>ן</w:t>
            </w:r>
            <w:r w:rsidR="007A148C" w:rsidRPr="002A34E1">
              <w:rPr>
                <w:rtl/>
              </w:rPr>
              <w:t xml:space="preserve"> </w:t>
            </w:r>
            <w:r w:rsidR="007A148C" w:rsidRPr="002A34E1">
              <w:rPr>
                <w:rFonts w:hint="eastAsia"/>
                <w:rtl/>
              </w:rPr>
              <w:t>תינתן</w:t>
            </w:r>
            <w:r w:rsidR="007A148C" w:rsidRPr="002A34E1">
              <w:rPr>
                <w:rtl/>
              </w:rPr>
              <w:t xml:space="preserve"> </w:t>
            </w:r>
            <w:r w:rsidR="007A148C" w:rsidRPr="002A34E1">
              <w:rPr>
                <w:rFonts w:hint="eastAsia"/>
                <w:rtl/>
              </w:rPr>
              <w:t>זכ</w:t>
            </w:r>
            <w:r w:rsidR="00FB3DAB">
              <w:rPr>
                <w:rFonts w:hint="cs"/>
                <w:rtl/>
              </w:rPr>
              <w:t>א</w:t>
            </w:r>
            <w:r w:rsidR="007A148C" w:rsidRPr="002A34E1">
              <w:rPr>
                <w:rFonts w:hint="eastAsia"/>
                <w:rtl/>
              </w:rPr>
              <w:t>ות</w:t>
            </w:r>
            <w:r w:rsidR="007A148C" w:rsidRPr="002A34E1">
              <w:rPr>
                <w:rtl/>
              </w:rPr>
              <w:t xml:space="preserve"> </w:t>
            </w:r>
            <w:r w:rsidR="007A148C" w:rsidRPr="002A34E1">
              <w:rPr>
                <w:rFonts w:hint="eastAsia"/>
                <w:rtl/>
              </w:rPr>
              <w:t>לניכוי</w:t>
            </w:r>
            <w:r w:rsidR="007A148C" w:rsidRPr="002A34E1">
              <w:rPr>
                <w:rtl/>
              </w:rPr>
              <w:t xml:space="preserve"> </w:t>
            </w:r>
            <w:r w:rsidR="007A148C" w:rsidRPr="002A34E1">
              <w:rPr>
                <w:rFonts w:hint="eastAsia"/>
                <w:rtl/>
              </w:rPr>
              <w:t>סכומים</w:t>
            </w:r>
            <w:r w:rsidR="007A148C" w:rsidRPr="002A34E1">
              <w:rPr>
                <w:rtl/>
              </w:rPr>
              <w:t xml:space="preserve"> </w:t>
            </w:r>
            <w:r w:rsidR="007A148C" w:rsidRPr="002A34E1">
              <w:rPr>
                <w:rFonts w:hint="eastAsia"/>
                <w:rtl/>
              </w:rPr>
              <w:t>כאמור</w:t>
            </w:r>
            <w:r w:rsidR="007A148C" w:rsidRPr="002A34E1">
              <w:rPr>
                <w:rtl/>
              </w:rPr>
              <w:t xml:space="preserve"> </w:t>
            </w:r>
            <w:r w:rsidR="00FB3DAB">
              <w:rPr>
                <w:rFonts w:hint="cs"/>
                <w:rtl/>
              </w:rPr>
              <w:t xml:space="preserve">בפסקת משנה </w:t>
            </w:r>
            <w:r w:rsidR="007A148C" w:rsidRPr="002A34E1">
              <w:rPr>
                <w:rtl/>
              </w:rPr>
              <w:t>(א);</w:t>
            </w:r>
          </w:p>
        </w:tc>
      </w:tr>
      <w:tr w:rsidR="00B74EF2" w:rsidRPr="00A944CF" w14:paraId="1DFA04A1" w14:textId="77777777" w:rsidTr="008C6202">
        <w:tblPrEx>
          <w:tblLook w:val="01E0" w:firstRow="1" w:lastRow="1" w:firstColumn="1" w:lastColumn="1" w:noHBand="0" w:noVBand="0"/>
        </w:tblPrEx>
        <w:trPr>
          <w:cantSplit/>
          <w:trHeight w:val="60"/>
        </w:trPr>
        <w:tc>
          <w:tcPr>
            <w:tcW w:w="1871" w:type="dxa"/>
          </w:tcPr>
          <w:p w14:paraId="174145ED" w14:textId="77777777" w:rsidR="00B74EF2" w:rsidRDefault="00B74EF2" w:rsidP="006E077D">
            <w:pPr>
              <w:pStyle w:val="TableSideHeading"/>
            </w:pPr>
          </w:p>
        </w:tc>
        <w:tc>
          <w:tcPr>
            <w:tcW w:w="624" w:type="dxa"/>
          </w:tcPr>
          <w:p w14:paraId="3E2463B3" w14:textId="77777777" w:rsidR="00B74EF2" w:rsidRDefault="00B74EF2" w:rsidP="006E077D">
            <w:pPr>
              <w:pStyle w:val="TableText"/>
            </w:pPr>
          </w:p>
        </w:tc>
        <w:tc>
          <w:tcPr>
            <w:tcW w:w="624" w:type="dxa"/>
          </w:tcPr>
          <w:p w14:paraId="15119243" w14:textId="77777777" w:rsidR="00B74EF2" w:rsidRDefault="00B74EF2" w:rsidP="006E077D">
            <w:pPr>
              <w:pStyle w:val="TableText"/>
            </w:pPr>
          </w:p>
        </w:tc>
        <w:tc>
          <w:tcPr>
            <w:tcW w:w="624" w:type="dxa"/>
          </w:tcPr>
          <w:p w14:paraId="5E24CBB6" w14:textId="77777777" w:rsidR="00B74EF2" w:rsidRDefault="00B74EF2" w:rsidP="006E077D">
            <w:pPr>
              <w:pStyle w:val="TableText"/>
            </w:pPr>
          </w:p>
        </w:tc>
        <w:tc>
          <w:tcPr>
            <w:tcW w:w="624" w:type="dxa"/>
          </w:tcPr>
          <w:p w14:paraId="44A7E7DF" w14:textId="77777777" w:rsidR="00B74EF2" w:rsidRDefault="00B74EF2" w:rsidP="006E077D">
            <w:pPr>
              <w:pStyle w:val="TableText"/>
            </w:pPr>
          </w:p>
        </w:tc>
        <w:tc>
          <w:tcPr>
            <w:tcW w:w="624" w:type="dxa"/>
          </w:tcPr>
          <w:p w14:paraId="78773F48" w14:textId="77777777" w:rsidR="00B74EF2" w:rsidRDefault="00B74EF2" w:rsidP="006E077D">
            <w:pPr>
              <w:pStyle w:val="TableText"/>
            </w:pPr>
          </w:p>
        </w:tc>
        <w:tc>
          <w:tcPr>
            <w:tcW w:w="619" w:type="dxa"/>
            <w:gridSpan w:val="2"/>
          </w:tcPr>
          <w:p w14:paraId="11C3B53B" w14:textId="77777777" w:rsidR="00B74EF2" w:rsidRDefault="00B74EF2" w:rsidP="006E077D">
            <w:pPr>
              <w:pStyle w:val="TableText"/>
            </w:pPr>
          </w:p>
        </w:tc>
        <w:tc>
          <w:tcPr>
            <w:tcW w:w="4031" w:type="dxa"/>
          </w:tcPr>
          <w:p w14:paraId="1C0C4684" w14:textId="40C5003F" w:rsidR="00B74EF2" w:rsidRPr="00A944CF" w:rsidRDefault="00B74EF2" w:rsidP="00214275">
            <w:pPr>
              <w:pStyle w:val="TableBlock"/>
            </w:pPr>
            <w:r w:rsidRPr="00A944CF">
              <w:rPr>
                <w:rtl/>
              </w:rPr>
              <w:t>(2)</w:t>
            </w:r>
            <w:r w:rsidRPr="00A944CF">
              <w:rPr>
                <w:rtl/>
              </w:rPr>
              <w:tab/>
              <w:t xml:space="preserve">זכאות </w:t>
            </w:r>
            <w:r w:rsidR="00214275">
              <w:rPr>
                <w:rFonts w:hint="cs"/>
                <w:rtl/>
              </w:rPr>
              <w:t xml:space="preserve">לניכוי הוצאות </w:t>
            </w:r>
            <w:r w:rsidRPr="00A944CF">
              <w:rPr>
                <w:rtl/>
              </w:rPr>
              <w:t xml:space="preserve">לפי </w:t>
            </w:r>
            <w:r w:rsidR="00214275">
              <w:rPr>
                <w:rFonts w:hint="cs"/>
                <w:rtl/>
              </w:rPr>
              <w:t xml:space="preserve">פסקה זו </w:t>
            </w:r>
            <w:r w:rsidR="002346F2">
              <w:rPr>
                <w:rFonts w:hint="cs"/>
                <w:rtl/>
              </w:rPr>
              <w:t xml:space="preserve">למשק בית שבני הזוג או ההורה העצמאי בו עובדים או עוסקים בעסק או במשלח יד פחות שעות </w:t>
            </w:r>
            <w:r w:rsidR="007A148C">
              <w:rPr>
                <w:rFonts w:hint="cs"/>
                <w:rtl/>
              </w:rPr>
              <w:t>מ</w:t>
            </w:r>
            <w:r w:rsidR="002346F2">
              <w:rPr>
                <w:rFonts w:hint="cs"/>
                <w:rtl/>
              </w:rPr>
              <w:t>ה</w:t>
            </w:r>
            <w:r w:rsidR="008C6202">
              <w:rPr>
                <w:rFonts w:hint="cs"/>
                <w:rtl/>
              </w:rPr>
              <w:t xml:space="preserve">קבוע </w:t>
            </w:r>
            <w:r w:rsidR="007A148C">
              <w:rPr>
                <w:rFonts w:hint="cs"/>
                <w:rtl/>
              </w:rPr>
              <w:t>בפסקת</w:t>
            </w:r>
            <w:r w:rsidR="002346F2">
              <w:rPr>
                <w:rFonts w:hint="cs"/>
                <w:rtl/>
              </w:rPr>
              <w:t xml:space="preserve"> משנה</w:t>
            </w:r>
            <w:r w:rsidR="008C6202">
              <w:rPr>
                <w:rFonts w:hint="cs"/>
                <w:rtl/>
              </w:rPr>
              <w:t xml:space="preserve"> (א)</w:t>
            </w:r>
            <w:r w:rsidR="007A148C">
              <w:rPr>
                <w:rFonts w:hint="cs"/>
                <w:rtl/>
              </w:rPr>
              <w:t>.</w:t>
            </w:r>
          </w:p>
        </w:tc>
      </w:tr>
      <w:tr w:rsidR="00B74EF2" w14:paraId="5BEB41D4" w14:textId="77777777" w:rsidTr="008C6202">
        <w:tblPrEx>
          <w:tblLook w:val="01E0" w:firstRow="1" w:lastRow="1" w:firstColumn="1" w:lastColumn="1" w:noHBand="0" w:noVBand="0"/>
        </w:tblPrEx>
        <w:trPr>
          <w:cantSplit/>
          <w:trHeight w:val="60"/>
        </w:trPr>
        <w:tc>
          <w:tcPr>
            <w:tcW w:w="1871" w:type="dxa"/>
          </w:tcPr>
          <w:p w14:paraId="31D6A82F" w14:textId="77777777" w:rsidR="00B74EF2" w:rsidRDefault="00B74EF2" w:rsidP="006E077D">
            <w:pPr>
              <w:pStyle w:val="TableSideHeading"/>
            </w:pPr>
          </w:p>
        </w:tc>
        <w:tc>
          <w:tcPr>
            <w:tcW w:w="624" w:type="dxa"/>
          </w:tcPr>
          <w:p w14:paraId="12FEE86C" w14:textId="77777777" w:rsidR="00B74EF2" w:rsidRDefault="00B74EF2" w:rsidP="006E077D">
            <w:pPr>
              <w:pStyle w:val="TableText"/>
            </w:pPr>
          </w:p>
        </w:tc>
        <w:tc>
          <w:tcPr>
            <w:tcW w:w="624" w:type="dxa"/>
          </w:tcPr>
          <w:p w14:paraId="58272670" w14:textId="77777777" w:rsidR="00B74EF2" w:rsidRDefault="00B74EF2" w:rsidP="006E077D">
            <w:pPr>
              <w:pStyle w:val="TableText"/>
            </w:pPr>
          </w:p>
        </w:tc>
        <w:tc>
          <w:tcPr>
            <w:tcW w:w="624" w:type="dxa"/>
          </w:tcPr>
          <w:p w14:paraId="70FA8128" w14:textId="77777777" w:rsidR="00B74EF2" w:rsidRDefault="00B74EF2" w:rsidP="006E077D">
            <w:pPr>
              <w:pStyle w:val="TableText"/>
            </w:pPr>
          </w:p>
        </w:tc>
        <w:tc>
          <w:tcPr>
            <w:tcW w:w="624" w:type="dxa"/>
          </w:tcPr>
          <w:p w14:paraId="5539E001" w14:textId="77777777" w:rsidR="00B74EF2" w:rsidRDefault="00B74EF2" w:rsidP="006E077D">
            <w:pPr>
              <w:pStyle w:val="TableText"/>
            </w:pPr>
          </w:p>
        </w:tc>
        <w:tc>
          <w:tcPr>
            <w:tcW w:w="624" w:type="dxa"/>
          </w:tcPr>
          <w:p w14:paraId="28536599" w14:textId="77777777" w:rsidR="00B74EF2" w:rsidRDefault="00B74EF2" w:rsidP="006E077D">
            <w:pPr>
              <w:pStyle w:val="TableText"/>
            </w:pPr>
          </w:p>
        </w:tc>
        <w:tc>
          <w:tcPr>
            <w:tcW w:w="4650" w:type="dxa"/>
            <w:gridSpan w:val="3"/>
          </w:tcPr>
          <w:p w14:paraId="226D7341" w14:textId="60A73A04" w:rsidR="00B74EF2" w:rsidRDefault="00B74EF2" w:rsidP="00D740BF">
            <w:pPr>
              <w:pStyle w:val="TableText"/>
              <w:ind w:right="0"/>
              <w:jc w:val="both"/>
            </w:pPr>
            <w:r w:rsidRPr="008D683B">
              <w:rPr>
                <w:rtl/>
              </w:rPr>
              <w:t>(</w:t>
            </w:r>
            <w:r>
              <w:rPr>
                <w:rFonts w:hint="cs"/>
                <w:rtl/>
              </w:rPr>
              <w:t>ה</w:t>
            </w:r>
            <w:r w:rsidRPr="008D683B">
              <w:rPr>
                <w:rtl/>
              </w:rPr>
              <w:t xml:space="preserve">) </w:t>
            </w:r>
            <w:r>
              <w:rPr>
                <w:rtl/>
              </w:rPr>
              <w:tab/>
            </w:r>
            <w:r w:rsidR="00D740BF">
              <w:rPr>
                <w:rFonts w:hint="cs"/>
                <w:rtl/>
              </w:rPr>
              <w:t>בפסקה זו</w:t>
            </w:r>
            <w:r w:rsidRPr="008D683B">
              <w:rPr>
                <w:rtl/>
              </w:rPr>
              <w:t xml:space="preserve"> </w:t>
            </w:r>
            <w:r>
              <w:rPr>
                <w:rtl/>
              </w:rPr>
              <w:t>–</w:t>
            </w:r>
          </w:p>
        </w:tc>
      </w:tr>
      <w:tr w:rsidR="00B74EF2" w:rsidRPr="00A8517A" w14:paraId="2B7F3EE2" w14:textId="77777777" w:rsidTr="008C6202">
        <w:tblPrEx>
          <w:tblLook w:val="01E0" w:firstRow="1" w:lastRow="1" w:firstColumn="1" w:lastColumn="1" w:noHBand="0" w:noVBand="0"/>
        </w:tblPrEx>
        <w:trPr>
          <w:cantSplit/>
          <w:trHeight w:val="60"/>
        </w:trPr>
        <w:tc>
          <w:tcPr>
            <w:tcW w:w="1871" w:type="dxa"/>
          </w:tcPr>
          <w:p w14:paraId="6B494B36" w14:textId="77777777" w:rsidR="00B74EF2" w:rsidRDefault="00B74EF2" w:rsidP="006E077D">
            <w:pPr>
              <w:pStyle w:val="TableSideHeading"/>
            </w:pPr>
          </w:p>
        </w:tc>
        <w:tc>
          <w:tcPr>
            <w:tcW w:w="624" w:type="dxa"/>
          </w:tcPr>
          <w:p w14:paraId="75D757B7" w14:textId="77777777" w:rsidR="00B74EF2" w:rsidRDefault="00B74EF2" w:rsidP="006E077D">
            <w:pPr>
              <w:pStyle w:val="TableText"/>
            </w:pPr>
          </w:p>
        </w:tc>
        <w:tc>
          <w:tcPr>
            <w:tcW w:w="624" w:type="dxa"/>
          </w:tcPr>
          <w:p w14:paraId="614D067B" w14:textId="77777777" w:rsidR="00B74EF2" w:rsidRDefault="00B74EF2" w:rsidP="006E077D">
            <w:pPr>
              <w:pStyle w:val="TableText"/>
            </w:pPr>
          </w:p>
        </w:tc>
        <w:tc>
          <w:tcPr>
            <w:tcW w:w="624" w:type="dxa"/>
          </w:tcPr>
          <w:p w14:paraId="62FE9863" w14:textId="77777777" w:rsidR="00B74EF2" w:rsidRDefault="00B74EF2" w:rsidP="006E077D">
            <w:pPr>
              <w:pStyle w:val="TableText"/>
            </w:pPr>
          </w:p>
        </w:tc>
        <w:tc>
          <w:tcPr>
            <w:tcW w:w="624" w:type="dxa"/>
          </w:tcPr>
          <w:p w14:paraId="5C2909E5" w14:textId="77777777" w:rsidR="00B74EF2" w:rsidRDefault="00B74EF2" w:rsidP="006E077D">
            <w:pPr>
              <w:pStyle w:val="TableText"/>
            </w:pPr>
          </w:p>
        </w:tc>
        <w:tc>
          <w:tcPr>
            <w:tcW w:w="624" w:type="dxa"/>
          </w:tcPr>
          <w:p w14:paraId="2D6D80AA" w14:textId="77777777" w:rsidR="00B74EF2" w:rsidRDefault="00B74EF2" w:rsidP="006E077D">
            <w:pPr>
              <w:pStyle w:val="TableText"/>
            </w:pPr>
          </w:p>
        </w:tc>
        <w:tc>
          <w:tcPr>
            <w:tcW w:w="4650" w:type="dxa"/>
            <w:gridSpan w:val="3"/>
          </w:tcPr>
          <w:p w14:paraId="5CEDD7DE" w14:textId="77777777" w:rsidR="00B74EF2" w:rsidRPr="00A8517A" w:rsidRDefault="00B74EF2" w:rsidP="006E077D">
            <w:pPr>
              <w:pStyle w:val="TableBlockOutdent"/>
              <w:rPr>
                <w:rtl/>
              </w:rPr>
            </w:pPr>
            <w:r w:rsidRPr="00A8517A">
              <w:rPr>
                <w:rtl/>
              </w:rPr>
              <w:t>"בן זוג" – לרבות אדם שאינו נשוי;</w:t>
            </w:r>
          </w:p>
        </w:tc>
      </w:tr>
      <w:tr w:rsidR="00B74EF2" w:rsidRPr="00A8517A" w14:paraId="1B25057C" w14:textId="77777777" w:rsidTr="008C6202">
        <w:tblPrEx>
          <w:tblLook w:val="01E0" w:firstRow="1" w:lastRow="1" w:firstColumn="1" w:lastColumn="1" w:noHBand="0" w:noVBand="0"/>
        </w:tblPrEx>
        <w:trPr>
          <w:cantSplit/>
          <w:trHeight w:val="60"/>
        </w:trPr>
        <w:tc>
          <w:tcPr>
            <w:tcW w:w="1871" w:type="dxa"/>
          </w:tcPr>
          <w:p w14:paraId="4B9C38C5" w14:textId="77777777" w:rsidR="00B74EF2" w:rsidRDefault="00B74EF2" w:rsidP="006E077D">
            <w:pPr>
              <w:pStyle w:val="TableSideHeading"/>
            </w:pPr>
          </w:p>
        </w:tc>
        <w:tc>
          <w:tcPr>
            <w:tcW w:w="624" w:type="dxa"/>
          </w:tcPr>
          <w:p w14:paraId="433AC125" w14:textId="77777777" w:rsidR="00B74EF2" w:rsidRDefault="00B74EF2" w:rsidP="006E077D">
            <w:pPr>
              <w:pStyle w:val="TableText"/>
            </w:pPr>
          </w:p>
        </w:tc>
        <w:tc>
          <w:tcPr>
            <w:tcW w:w="624" w:type="dxa"/>
          </w:tcPr>
          <w:p w14:paraId="401091A4" w14:textId="77777777" w:rsidR="00B74EF2" w:rsidRDefault="00B74EF2" w:rsidP="006E077D">
            <w:pPr>
              <w:pStyle w:val="TableText"/>
            </w:pPr>
          </w:p>
        </w:tc>
        <w:tc>
          <w:tcPr>
            <w:tcW w:w="624" w:type="dxa"/>
          </w:tcPr>
          <w:p w14:paraId="56B01B51" w14:textId="77777777" w:rsidR="00B74EF2" w:rsidRDefault="00B74EF2" w:rsidP="006E077D">
            <w:pPr>
              <w:pStyle w:val="TableText"/>
            </w:pPr>
          </w:p>
        </w:tc>
        <w:tc>
          <w:tcPr>
            <w:tcW w:w="624" w:type="dxa"/>
          </w:tcPr>
          <w:p w14:paraId="3D14CAFE" w14:textId="77777777" w:rsidR="00B74EF2" w:rsidRDefault="00B74EF2" w:rsidP="006E077D">
            <w:pPr>
              <w:pStyle w:val="TableText"/>
            </w:pPr>
          </w:p>
        </w:tc>
        <w:tc>
          <w:tcPr>
            <w:tcW w:w="624" w:type="dxa"/>
          </w:tcPr>
          <w:p w14:paraId="61BC4092" w14:textId="77777777" w:rsidR="00B74EF2" w:rsidRDefault="00B74EF2" w:rsidP="006E077D">
            <w:pPr>
              <w:pStyle w:val="TableText"/>
            </w:pPr>
          </w:p>
        </w:tc>
        <w:tc>
          <w:tcPr>
            <w:tcW w:w="4650" w:type="dxa"/>
            <w:gridSpan w:val="3"/>
          </w:tcPr>
          <w:p w14:paraId="0E061A20" w14:textId="77777777" w:rsidR="00B74EF2" w:rsidRPr="00A8517A" w:rsidRDefault="00B74EF2" w:rsidP="006E077D">
            <w:pPr>
              <w:pStyle w:val="TableBlockOutdent"/>
              <w:rPr>
                <w:rtl/>
              </w:rPr>
            </w:pPr>
            <w:r w:rsidRPr="00A8517A">
              <w:rPr>
                <w:rtl/>
              </w:rPr>
              <w:t xml:space="preserve">"הורה </w:t>
            </w:r>
            <w:r>
              <w:rPr>
                <w:rFonts w:hint="cs"/>
                <w:rtl/>
              </w:rPr>
              <w:t>עצמאי</w:t>
            </w:r>
            <w:r w:rsidRPr="00A8517A">
              <w:rPr>
                <w:rtl/>
              </w:rPr>
              <w:t xml:space="preserve">" – כהגדרתו בחוק </w:t>
            </w:r>
            <w:r>
              <w:rPr>
                <w:rFonts w:hint="cs"/>
                <w:rtl/>
              </w:rPr>
              <w:t>סיוע ל</w:t>
            </w:r>
            <w:r w:rsidRPr="00A8517A">
              <w:rPr>
                <w:rtl/>
              </w:rPr>
              <w:t xml:space="preserve">משפחות </w:t>
            </w:r>
            <w:r>
              <w:rPr>
                <w:rFonts w:hint="cs"/>
                <w:rtl/>
              </w:rPr>
              <w:t>שבראשן הורה עצמאי</w:t>
            </w:r>
            <w:r w:rsidRPr="00A8517A">
              <w:rPr>
                <w:rtl/>
              </w:rPr>
              <w:t>, התשנ"ב–1992</w:t>
            </w:r>
            <w:r w:rsidRPr="00A944CF">
              <w:rPr>
                <w:szCs w:val="20"/>
                <w:rtl/>
              </w:rPr>
              <w:footnoteReference w:id="4"/>
            </w:r>
            <w:r w:rsidRPr="00A8517A">
              <w:rPr>
                <w:rtl/>
              </w:rPr>
              <w:t>;</w:t>
            </w:r>
          </w:p>
        </w:tc>
      </w:tr>
      <w:tr w:rsidR="00B74EF2" w:rsidRPr="00A8517A" w14:paraId="557C78EE" w14:textId="77777777" w:rsidTr="008C6202">
        <w:tblPrEx>
          <w:tblLook w:val="01E0" w:firstRow="1" w:lastRow="1" w:firstColumn="1" w:lastColumn="1" w:noHBand="0" w:noVBand="0"/>
        </w:tblPrEx>
        <w:trPr>
          <w:cantSplit/>
          <w:trHeight w:val="60"/>
        </w:trPr>
        <w:tc>
          <w:tcPr>
            <w:tcW w:w="1871" w:type="dxa"/>
          </w:tcPr>
          <w:p w14:paraId="765020F0" w14:textId="77777777" w:rsidR="00B74EF2" w:rsidRDefault="00B74EF2" w:rsidP="006E077D">
            <w:pPr>
              <w:pStyle w:val="TableSideHeading"/>
            </w:pPr>
          </w:p>
        </w:tc>
        <w:tc>
          <w:tcPr>
            <w:tcW w:w="624" w:type="dxa"/>
          </w:tcPr>
          <w:p w14:paraId="7B0C8E8C" w14:textId="77777777" w:rsidR="00B74EF2" w:rsidRDefault="00B74EF2" w:rsidP="006E077D">
            <w:pPr>
              <w:pStyle w:val="TableText"/>
            </w:pPr>
          </w:p>
        </w:tc>
        <w:tc>
          <w:tcPr>
            <w:tcW w:w="624" w:type="dxa"/>
          </w:tcPr>
          <w:p w14:paraId="2BC57856" w14:textId="77777777" w:rsidR="00B74EF2" w:rsidRDefault="00B74EF2" w:rsidP="006E077D">
            <w:pPr>
              <w:pStyle w:val="TableText"/>
            </w:pPr>
          </w:p>
        </w:tc>
        <w:tc>
          <w:tcPr>
            <w:tcW w:w="624" w:type="dxa"/>
          </w:tcPr>
          <w:p w14:paraId="51A64F3C" w14:textId="77777777" w:rsidR="00B74EF2" w:rsidRDefault="00B74EF2" w:rsidP="006E077D">
            <w:pPr>
              <w:pStyle w:val="TableText"/>
            </w:pPr>
          </w:p>
        </w:tc>
        <w:tc>
          <w:tcPr>
            <w:tcW w:w="624" w:type="dxa"/>
          </w:tcPr>
          <w:p w14:paraId="743AA263" w14:textId="77777777" w:rsidR="00B74EF2" w:rsidRDefault="00B74EF2" w:rsidP="006E077D">
            <w:pPr>
              <w:pStyle w:val="TableText"/>
            </w:pPr>
          </w:p>
        </w:tc>
        <w:tc>
          <w:tcPr>
            <w:tcW w:w="624" w:type="dxa"/>
          </w:tcPr>
          <w:p w14:paraId="087497E5" w14:textId="77777777" w:rsidR="00B74EF2" w:rsidRDefault="00B74EF2" w:rsidP="006E077D">
            <w:pPr>
              <w:pStyle w:val="TableText"/>
            </w:pPr>
          </w:p>
        </w:tc>
        <w:tc>
          <w:tcPr>
            <w:tcW w:w="4650" w:type="dxa"/>
            <w:gridSpan w:val="3"/>
          </w:tcPr>
          <w:p w14:paraId="7BF3DD44" w14:textId="5CAFE361" w:rsidR="00B74EF2" w:rsidRPr="00A8517A" w:rsidRDefault="00B74EF2" w:rsidP="001A6D54">
            <w:pPr>
              <w:pStyle w:val="TableBlockOutdent"/>
              <w:rPr>
                <w:rtl/>
              </w:rPr>
            </w:pPr>
            <w:r w:rsidRPr="00A8517A">
              <w:rPr>
                <w:rtl/>
              </w:rPr>
              <w:t xml:space="preserve">"ילד" – מי </w:t>
            </w:r>
            <w:r w:rsidR="001A6D54">
              <w:rPr>
                <w:rFonts w:hint="cs"/>
                <w:rtl/>
              </w:rPr>
              <w:t>ש</w:t>
            </w:r>
            <w:r w:rsidR="001A6D54" w:rsidRPr="00A944CF">
              <w:rPr>
                <w:rtl/>
              </w:rPr>
              <w:t xml:space="preserve">מלאו לו 3 חודשים וטרם מלאו </w:t>
            </w:r>
            <w:r w:rsidR="001A6D54">
              <w:rPr>
                <w:rFonts w:hint="cs"/>
                <w:rtl/>
              </w:rPr>
              <w:t>לו 3</w:t>
            </w:r>
            <w:r w:rsidR="001A6D54" w:rsidRPr="00A944CF">
              <w:rPr>
                <w:rtl/>
              </w:rPr>
              <w:t xml:space="preserve"> שנים, ואם מלאו </w:t>
            </w:r>
            <w:r w:rsidR="001A6D54">
              <w:rPr>
                <w:rFonts w:hint="cs"/>
                <w:rtl/>
              </w:rPr>
              <w:t>לו 3</w:t>
            </w:r>
            <w:r w:rsidR="001A6D54" w:rsidRPr="00A944CF">
              <w:rPr>
                <w:rtl/>
              </w:rPr>
              <w:t xml:space="preserve"> שנים במהלך שנת הלימודים – עד </w:t>
            </w:r>
            <w:r w:rsidR="001A6D54">
              <w:rPr>
                <w:rFonts w:hint="cs"/>
                <w:rtl/>
              </w:rPr>
              <w:t>תום</w:t>
            </w:r>
            <w:r w:rsidR="001A6D54" w:rsidRPr="00A944CF">
              <w:rPr>
                <w:rtl/>
              </w:rPr>
              <w:t xml:space="preserve"> שנת הלימודים;</w:t>
            </w:r>
          </w:p>
        </w:tc>
      </w:tr>
      <w:tr w:rsidR="00887110" w14:paraId="2975EA2A" w14:textId="77777777">
        <w:tblPrEx>
          <w:tblLook w:val="01E0" w:firstRow="1" w:lastRow="1" w:firstColumn="1" w:lastColumn="1" w:noHBand="0" w:noVBand="0"/>
        </w:tblPrEx>
        <w:trPr>
          <w:cantSplit/>
          <w:trHeight w:val="60"/>
        </w:trPr>
        <w:tc>
          <w:tcPr>
            <w:tcW w:w="1871" w:type="dxa"/>
          </w:tcPr>
          <w:p w14:paraId="1BE3715B" w14:textId="77777777" w:rsidR="00887110" w:rsidRDefault="00887110">
            <w:pPr>
              <w:pStyle w:val="TableSideHeading"/>
            </w:pPr>
          </w:p>
        </w:tc>
        <w:tc>
          <w:tcPr>
            <w:tcW w:w="624" w:type="dxa"/>
          </w:tcPr>
          <w:p w14:paraId="7F806075" w14:textId="77777777" w:rsidR="00887110" w:rsidRDefault="00887110">
            <w:pPr>
              <w:pStyle w:val="TableText"/>
            </w:pPr>
          </w:p>
        </w:tc>
        <w:tc>
          <w:tcPr>
            <w:tcW w:w="624" w:type="dxa"/>
          </w:tcPr>
          <w:p w14:paraId="7B0175BE" w14:textId="77777777" w:rsidR="00887110" w:rsidRDefault="00887110">
            <w:pPr>
              <w:pStyle w:val="TableText"/>
            </w:pPr>
          </w:p>
        </w:tc>
        <w:tc>
          <w:tcPr>
            <w:tcW w:w="624" w:type="dxa"/>
          </w:tcPr>
          <w:p w14:paraId="020EE301" w14:textId="77777777" w:rsidR="00887110" w:rsidRDefault="00887110">
            <w:pPr>
              <w:pStyle w:val="TableText"/>
            </w:pPr>
          </w:p>
        </w:tc>
        <w:tc>
          <w:tcPr>
            <w:tcW w:w="624" w:type="dxa"/>
          </w:tcPr>
          <w:p w14:paraId="10273CE9" w14:textId="77777777" w:rsidR="00887110" w:rsidRDefault="00887110">
            <w:pPr>
              <w:pStyle w:val="TableText"/>
            </w:pPr>
          </w:p>
        </w:tc>
        <w:tc>
          <w:tcPr>
            <w:tcW w:w="624" w:type="dxa"/>
          </w:tcPr>
          <w:p w14:paraId="4C587C2E" w14:textId="77777777" w:rsidR="00887110" w:rsidRDefault="00887110">
            <w:pPr>
              <w:pStyle w:val="TableText"/>
            </w:pPr>
          </w:p>
        </w:tc>
        <w:tc>
          <w:tcPr>
            <w:tcW w:w="4650" w:type="dxa"/>
            <w:gridSpan w:val="3"/>
          </w:tcPr>
          <w:p w14:paraId="79A0D0C4" w14:textId="787C7F7C" w:rsidR="00887110" w:rsidRDefault="00887110">
            <w:pPr>
              <w:pStyle w:val="TableBlock"/>
            </w:pPr>
            <w:r w:rsidRPr="005A6142">
              <w:rPr>
                <w:rtl/>
              </w:rPr>
              <w:t>"</w:t>
            </w:r>
            <w:r w:rsidRPr="005A6142">
              <w:rPr>
                <w:rFonts w:hint="cs"/>
                <w:rtl/>
              </w:rPr>
              <w:t xml:space="preserve">מוסד חינוכי" – </w:t>
            </w:r>
            <w:r w:rsidRPr="005A6142">
              <w:rPr>
                <w:sz w:val="26"/>
                <w:rtl/>
              </w:rPr>
              <w:t>כהגדרתו בסעיף 252(ג1) לחוק הביטוח הלאומי</w:t>
            </w:r>
            <w:r w:rsidRPr="005A6142">
              <w:rPr>
                <w:rFonts w:hint="cs"/>
                <w:sz w:val="26"/>
                <w:rtl/>
              </w:rPr>
              <w:t>,</w:t>
            </w:r>
            <w:r>
              <w:rPr>
                <w:rFonts w:hint="cs"/>
                <w:sz w:val="26"/>
                <w:rtl/>
              </w:rPr>
              <w:t xml:space="preserve"> התשנ"ה</w:t>
            </w:r>
            <w:r>
              <w:rPr>
                <w:sz w:val="26"/>
                <w:rtl/>
              </w:rPr>
              <w:t>–</w:t>
            </w:r>
            <w:r>
              <w:rPr>
                <w:rFonts w:hint="cs"/>
                <w:sz w:val="26"/>
                <w:rtl/>
              </w:rPr>
              <w:t>1995</w:t>
            </w:r>
            <w:r>
              <w:rPr>
                <w:rStyle w:val="a6"/>
                <w:sz w:val="26"/>
                <w:rtl/>
              </w:rPr>
              <w:footnoteReference w:id="5"/>
            </w:r>
            <w:r>
              <w:rPr>
                <w:rFonts w:hint="cs"/>
                <w:sz w:val="26"/>
                <w:rtl/>
              </w:rPr>
              <w:t>."</w:t>
            </w:r>
          </w:p>
        </w:tc>
      </w:tr>
      <w:tr w:rsidR="002B3453" w:rsidRPr="00C34DE2" w14:paraId="4803A630" w14:textId="77777777" w:rsidTr="008C6202">
        <w:tblPrEx>
          <w:tblLook w:val="01E0" w:firstRow="1" w:lastRow="1" w:firstColumn="1" w:lastColumn="1" w:noHBand="0" w:noVBand="0"/>
        </w:tblPrEx>
        <w:trPr>
          <w:cantSplit/>
          <w:trHeight w:val="60"/>
        </w:trPr>
        <w:tc>
          <w:tcPr>
            <w:tcW w:w="1871" w:type="dxa"/>
          </w:tcPr>
          <w:p w14:paraId="65BF6E8B" w14:textId="74AEA940" w:rsidR="002B3453" w:rsidRDefault="002B3453" w:rsidP="002B3453">
            <w:pPr>
              <w:pStyle w:val="TableSideHeading"/>
              <w:keepLines w:val="0"/>
            </w:pPr>
            <w:r>
              <w:rPr>
                <w:rtl/>
              </w:rPr>
              <w:t>תיקון סעיף 32</w:t>
            </w:r>
          </w:p>
        </w:tc>
        <w:tc>
          <w:tcPr>
            <w:tcW w:w="624" w:type="dxa"/>
          </w:tcPr>
          <w:p w14:paraId="7C00B916" w14:textId="77777777" w:rsidR="002B3453" w:rsidRDefault="002B3453" w:rsidP="002B3453">
            <w:pPr>
              <w:pStyle w:val="TableText"/>
              <w:keepLines w:val="0"/>
            </w:pPr>
            <w:r>
              <w:rPr>
                <w:rtl/>
              </w:rPr>
              <w:t>2.</w:t>
            </w:r>
          </w:p>
        </w:tc>
        <w:tc>
          <w:tcPr>
            <w:tcW w:w="7146" w:type="dxa"/>
            <w:gridSpan w:val="7"/>
          </w:tcPr>
          <w:p w14:paraId="42C98517" w14:textId="77777777" w:rsidR="002B3453" w:rsidRPr="00C34DE2" w:rsidRDefault="002B3453" w:rsidP="002B3453">
            <w:pPr>
              <w:pStyle w:val="TableBlock"/>
              <w:keepLines w:val="0"/>
            </w:pPr>
            <w:r w:rsidRPr="008D683B">
              <w:rPr>
                <w:rtl/>
              </w:rPr>
              <w:t>בסעיף 32(1) לפקודה, המילים "לשם טיפול בילד או השגחה עליו או" – יימחקו.</w:t>
            </w:r>
          </w:p>
        </w:tc>
      </w:tr>
    </w:tbl>
    <w:p w14:paraId="7F6961CA" w14:textId="77777777" w:rsidR="002D1EE3" w:rsidRDefault="002D1EE3" w:rsidP="002D1EE3">
      <w:pPr>
        <w:pStyle w:val="HeadDivreiHesber"/>
        <w:rPr>
          <w:rtl/>
        </w:rPr>
      </w:pPr>
      <w:r w:rsidRPr="0027450A">
        <w:rPr>
          <w:rFonts w:hint="cs"/>
          <w:rtl/>
        </w:rPr>
        <w:t>דברי הסבר</w:t>
      </w:r>
    </w:p>
    <w:p w14:paraId="351C782F" w14:textId="21230DB0" w:rsidR="00B74EF2" w:rsidRPr="00291E2A" w:rsidRDefault="00B74EF2" w:rsidP="00291E2A">
      <w:pPr>
        <w:pStyle w:val="Hesber"/>
        <w:rPr>
          <w:rtl/>
        </w:rPr>
      </w:pPr>
      <w:r w:rsidRPr="00291E2A">
        <w:rPr>
          <w:rtl/>
        </w:rPr>
        <w:t>העלויות הכרוכות בתשלום עבור טיפול בילדים בגיל הרך הן גבוהות ומטילות מעמסה כלכלית על ההורים. לעתים נאלץ משק בית להוציא את רוב הכנסתו של אחד ההורים, על התשלום האמור, ובשל כך</w:t>
      </w:r>
      <w:r w:rsidR="00602088" w:rsidRPr="00291E2A">
        <w:rPr>
          <w:rFonts w:hint="cs"/>
          <w:rtl/>
        </w:rPr>
        <w:t xml:space="preserve"> אחד ההורים פשוט נמנע מיציאה לשוק עבודה,</w:t>
      </w:r>
      <w:r w:rsidRPr="00291E2A">
        <w:rPr>
          <w:rtl/>
        </w:rPr>
        <w:t xml:space="preserve"> </w:t>
      </w:r>
      <w:r w:rsidR="00602088" w:rsidRPr="00291E2A">
        <w:rPr>
          <w:rFonts w:hint="cs"/>
          <w:rtl/>
        </w:rPr>
        <w:t>לרוב מדובר בנשים</w:t>
      </w:r>
      <w:r w:rsidRPr="00291E2A">
        <w:rPr>
          <w:rtl/>
        </w:rPr>
        <w:t>.</w:t>
      </w:r>
    </w:p>
    <w:p w14:paraId="203B71C0" w14:textId="77777777" w:rsidR="00B74EF2" w:rsidRPr="00291E2A" w:rsidRDefault="00B74EF2" w:rsidP="00291E2A">
      <w:pPr>
        <w:pStyle w:val="Hesber"/>
        <w:rPr>
          <w:rtl/>
        </w:rPr>
      </w:pPr>
      <w:r w:rsidRPr="00291E2A">
        <w:rPr>
          <w:rtl/>
        </w:rPr>
        <w:t>הצעת החוק נועדה להקל על הנטל הכלכלי וליצור תמריץ חיובי להשתלבות</w:t>
      </w:r>
      <w:r w:rsidRPr="00291E2A">
        <w:rPr>
          <w:rFonts w:hint="cs"/>
          <w:rtl/>
        </w:rPr>
        <w:t xml:space="preserve">ם </w:t>
      </w:r>
      <w:r w:rsidRPr="00291E2A">
        <w:rPr>
          <w:rtl/>
        </w:rPr>
        <w:t xml:space="preserve">של </w:t>
      </w:r>
      <w:r w:rsidRPr="00291E2A">
        <w:rPr>
          <w:rFonts w:hint="cs"/>
          <w:rtl/>
        </w:rPr>
        <w:t xml:space="preserve">הורים </w:t>
      </w:r>
      <w:r w:rsidRPr="00291E2A">
        <w:rPr>
          <w:rtl/>
        </w:rPr>
        <w:t xml:space="preserve">לפעוטות ולילדים בגיל הרך בשוק העבודה, ויהיה בה גם כדי להגדיל את הכנסות המדינה הנובעות ממיסוי. </w:t>
      </w:r>
    </w:p>
    <w:p w14:paraId="2387A1F4" w14:textId="06A554E0" w:rsidR="00B74EF2" w:rsidRPr="00291E2A" w:rsidRDefault="00602088" w:rsidP="00291E2A">
      <w:pPr>
        <w:pStyle w:val="Hesber"/>
        <w:rPr>
          <w:rtl/>
        </w:rPr>
      </w:pPr>
      <w:r w:rsidRPr="00291E2A">
        <w:rPr>
          <w:rFonts w:hint="cs"/>
          <w:rtl/>
        </w:rPr>
        <w:t xml:space="preserve">מתוך הבנה שהוצאות הילדים היא מטלה של כל משק הבית, </w:t>
      </w:r>
      <w:r w:rsidRPr="00291E2A">
        <w:rPr>
          <w:rtl/>
        </w:rPr>
        <w:t>הצעת החוק</w:t>
      </w:r>
      <w:r w:rsidR="008C6202" w:rsidRPr="00291E2A">
        <w:rPr>
          <w:rFonts w:hint="cs"/>
          <w:rtl/>
        </w:rPr>
        <w:t xml:space="preserve"> מבקשת </w:t>
      </w:r>
      <w:r w:rsidR="007B0177" w:rsidRPr="00291E2A">
        <w:rPr>
          <w:rFonts w:hint="cs"/>
          <w:rtl/>
        </w:rPr>
        <w:t>ש</w:t>
      </w:r>
      <w:r w:rsidR="00B74EF2" w:rsidRPr="00291E2A">
        <w:rPr>
          <w:rtl/>
        </w:rPr>
        <w:t xml:space="preserve">בחישוב המס של </w:t>
      </w:r>
      <w:r w:rsidRPr="00291E2A">
        <w:rPr>
          <w:rFonts w:hint="cs"/>
          <w:rtl/>
        </w:rPr>
        <w:t>משק בית</w:t>
      </w:r>
      <w:r w:rsidR="00B74EF2" w:rsidRPr="00291E2A">
        <w:rPr>
          <w:rtl/>
        </w:rPr>
        <w:t>,</w:t>
      </w:r>
      <w:r w:rsidRPr="00291E2A">
        <w:rPr>
          <w:rFonts w:hint="cs"/>
          <w:rtl/>
        </w:rPr>
        <w:t xml:space="preserve"> בו שני ההורים</w:t>
      </w:r>
      <w:r w:rsidRPr="00291E2A">
        <w:rPr>
          <w:rtl/>
        </w:rPr>
        <w:t xml:space="preserve"> </w:t>
      </w:r>
      <w:r w:rsidR="00B74EF2" w:rsidRPr="00291E2A">
        <w:rPr>
          <w:rtl/>
        </w:rPr>
        <w:t>עובד</w:t>
      </w:r>
      <w:r w:rsidR="008C6202" w:rsidRPr="00291E2A">
        <w:rPr>
          <w:rFonts w:hint="cs"/>
          <w:rtl/>
        </w:rPr>
        <w:t>ים</w:t>
      </w:r>
      <w:r w:rsidR="00B74EF2" w:rsidRPr="00291E2A">
        <w:rPr>
          <w:rtl/>
        </w:rPr>
        <w:t xml:space="preserve"> או עוסק</w:t>
      </w:r>
      <w:r w:rsidR="008C6202" w:rsidRPr="00291E2A">
        <w:rPr>
          <w:rFonts w:hint="cs"/>
          <w:rtl/>
        </w:rPr>
        <w:t>ים</w:t>
      </w:r>
      <w:r w:rsidR="00B74EF2" w:rsidRPr="00291E2A">
        <w:rPr>
          <w:rtl/>
        </w:rPr>
        <w:t xml:space="preserve"> בעסק או משלח יד, במשך </w:t>
      </w:r>
      <w:r w:rsidRPr="00291E2A">
        <w:rPr>
          <w:rFonts w:hint="cs"/>
          <w:rtl/>
        </w:rPr>
        <w:t>70</w:t>
      </w:r>
      <w:r w:rsidR="00B74EF2" w:rsidRPr="00291E2A">
        <w:rPr>
          <w:rtl/>
        </w:rPr>
        <w:t xml:space="preserve"> שעות שבועיות לפחות</w:t>
      </w:r>
      <w:r w:rsidRPr="00291E2A">
        <w:rPr>
          <w:rFonts w:hint="cs"/>
          <w:rtl/>
        </w:rPr>
        <w:t xml:space="preserve"> במצטבר</w:t>
      </w:r>
      <w:r w:rsidR="00B74EF2" w:rsidRPr="00291E2A">
        <w:rPr>
          <w:rtl/>
        </w:rPr>
        <w:t>,</w:t>
      </w:r>
      <w:r w:rsidRPr="00291E2A">
        <w:rPr>
          <w:rFonts w:hint="cs"/>
          <w:rtl/>
        </w:rPr>
        <w:t xml:space="preserve"> או</w:t>
      </w:r>
      <w:r w:rsidR="008C6202" w:rsidRPr="00291E2A">
        <w:rPr>
          <w:rFonts w:hint="cs"/>
          <w:rtl/>
        </w:rPr>
        <w:t xml:space="preserve"> הורה עצמאי שעובד או עוסק במשלח </w:t>
      </w:r>
      <w:r w:rsidRPr="00291E2A">
        <w:rPr>
          <w:rFonts w:hint="cs"/>
          <w:rtl/>
        </w:rPr>
        <w:t>יד</w:t>
      </w:r>
      <w:r w:rsidR="008C6202" w:rsidRPr="00291E2A">
        <w:rPr>
          <w:rFonts w:hint="cs"/>
          <w:rtl/>
        </w:rPr>
        <w:t>,</w:t>
      </w:r>
      <w:r w:rsidRPr="00291E2A">
        <w:rPr>
          <w:rFonts w:hint="cs"/>
          <w:rtl/>
        </w:rPr>
        <w:t xml:space="preserve"> במשך 35 שעות שבועיות לפחות,</w:t>
      </w:r>
      <w:r w:rsidR="00B74EF2" w:rsidRPr="00291E2A">
        <w:rPr>
          <w:rtl/>
        </w:rPr>
        <w:t xml:space="preserve"> במשך תקופה של עשרה חודשים או יותר בשנת המס, יובאו בחשבון ניכוי סכומים ששולמו עבור </w:t>
      </w:r>
      <w:r w:rsidR="007B0177" w:rsidRPr="00291E2A">
        <w:rPr>
          <w:rFonts w:hint="cs"/>
          <w:rtl/>
        </w:rPr>
        <w:t>הוצאות הטיפול בילדים</w:t>
      </w:r>
      <w:r w:rsidR="00B74EF2" w:rsidRPr="00291E2A">
        <w:rPr>
          <w:rtl/>
        </w:rPr>
        <w:t xml:space="preserve">. </w:t>
      </w:r>
      <w:r w:rsidR="0025035C" w:rsidRPr="00291E2A">
        <w:rPr>
          <w:rFonts w:hint="cs"/>
          <w:rtl/>
        </w:rPr>
        <w:t>לפי</w:t>
      </w:r>
      <w:r w:rsidR="00B74EF2" w:rsidRPr="00291E2A">
        <w:rPr>
          <w:rtl/>
        </w:rPr>
        <w:t xml:space="preserve"> המוצע, </w:t>
      </w:r>
      <w:r w:rsidR="00B74EF2" w:rsidRPr="00291E2A">
        <w:rPr>
          <w:rFonts w:hint="cs"/>
          <w:rtl/>
        </w:rPr>
        <w:t>יוכל אחד מההורים</w:t>
      </w:r>
      <w:r w:rsidR="00B74EF2" w:rsidRPr="00291E2A">
        <w:rPr>
          <w:rtl/>
        </w:rPr>
        <w:t xml:space="preserve"> לנכות מהכנסת</w:t>
      </w:r>
      <w:r w:rsidR="00B74EF2" w:rsidRPr="00291E2A">
        <w:rPr>
          <w:rFonts w:hint="cs"/>
          <w:rtl/>
        </w:rPr>
        <w:t>ו</w:t>
      </w:r>
      <w:r w:rsidR="00B74EF2" w:rsidRPr="00291E2A">
        <w:rPr>
          <w:rtl/>
        </w:rPr>
        <w:t xml:space="preserve"> החייבת במס, סכומים ששילמ</w:t>
      </w:r>
      <w:r w:rsidR="00B74EF2" w:rsidRPr="00291E2A">
        <w:rPr>
          <w:rFonts w:hint="cs"/>
          <w:rtl/>
        </w:rPr>
        <w:t>ו</w:t>
      </w:r>
      <w:r w:rsidR="00B74EF2" w:rsidRPr="00291E2A">
        <w:rPr>
          <w:rtl/>
        </w:rPr>
        <w:t xml:space="preserve"> עבור מעון יום לילדי</w:t>
      </w:r>
      <w:r w:rsidR="00B74EF2" w:rsidRPr="00291E2A">
        <w:rPr>
          <w:rFonts w:hint="cs"/>
          <w:rtl/>
        </w:rPr>
        <w:t>ם</w:t>
      </w:r>
      <w:r w:rsidR="00B74EF2" w:rsidRPr="00291E2A">
        <w:rPr>
          <w:rtl/>
        </w:rPr>
        <w:t xml:space="preserve">, בסכום שאינו עולה על 20,000 שקלים חדשים </w:t>
      </w:r>
      <w:r w:rsidR="00B74EF2" w:rsidRPr="00291E2A">
        <w:rPr>
          <w:rFonts w:hint="cs"/>
          <w:rtl/>
        </w:rPr>
        <w:t>בשנה</w:t>
      </w:r>
      <w:r w:rsidR="00B74EF2" w:rsidRPr="00291E2A">
        <w:rPr>
          <w:rtl/>
        </w:rPr>
        <w:t xml:space="preserve"> בעד ילד</w:t>
      </w:r>
      <w:r w:rsidR="007B0177" w:rsidRPr="00291E2A">
        <w:rPr>
          <w:rFonts w:hint="cs"/>
          <w:rtl/>
        </w:rPr>
        <w:t>ו</w:t>
      </w:r>
      <w:r w:rsidR="00B74EF2" w:rsidRPr="00291E2A">
        <w:rPr>
          <w:rtl/>
        </w:rPr>
        <w:t xml:space="preserve"> האחד, 17,300 שקלים חדשים נוספים</w:t>
      </w:r>
      <w:r w:rsidR="00B74EF2" w:rsidRPr="00291E2A">
        <w:rPr>
          <w:rFonts w:hint="cs"/>
          <w:rtl/>
        </w:rPr>
        <w:t xml:space="preserve"> בשנה</w:t>
      </w:r>
      <w:r w:rsidR="00B74EF2" w:rsidRPr="00291E2A">
        <w:rPr>
          <w:rtl/>
        </w:rPr>
        <w:t xml:space="preserve"> בעד ילד</w:t>
      </w:r>
      <w:r w:rsidR="007B0177" w:rsidRPr="00291E2A">
        <w:rPr>
          <w:rFonts w:hint="cs"/>
          <w:rtl/>
        </w:rPr>
        <w:t>ו</w:t>
      </w:r>
      <w:r w:rsidR="00B74EF2" w:rsidRPr="00291E2A">
        <w:rPr>
          <w:rtl/>
        </w:rPr>
        <w:t xml:space="preserve"> השני ו-14,600 שקלים חדשים נוספים</w:t>
      </w:r>
      <w:r w:rsidR="00B74EF2" w:rsidRPr="00291E2A">
        <w:rPr>
          <w:rFonts w:hint="cs"/>
          <w:rtl/>
        </w:rPr>
        <w:t xml:space="preserve"> בשנה</w:t>
      </w:r>
      <w:r w:rsidR="00B74EF2" w:rsidRPr="00291E2A">
        <w:rPr>
          <w:rtl/>
        </w:rPr>
        <w:t xml:space="preserve"> בעד כל אחד מ</w:t>
      </w:r>
      <w:r w:rsidR="007B0177" w:rsidRPr="00291E2A">
        <w:rPr>
          <w:rFonts w:hint="cs"/>
          <w:rtl/>
        </w:rPr>
        <w:t>ה</w:t>
      </w:r>
      <w:r w:rsidR="00B74EF2" w:rsidRPr="00291E2A">
        <w:rPr>
          <w:rtl/>
        </w:rPr>
        <w:t>ילדי</w:t>
      </w:r>
      <w:r w:rsidR="00B74EF2" w:rsidRPr="00291E2A">
        <w:rPr>
          <w:rFonts w:hint="cs"/>
          <w:rtl/>
        </w:rPr>
        <w:t>ם</w:t>
      </w:r>
      <w:r w:rsidR="00B74EF2" w:rsidRPr="00291E2A">
        <w:rPr>
          <w:rtl/>
        </w:rPr>
        <w:t xml:space="preserve"> הנוספים. </w:t>
      </w:r>
      <w:r w:rsidR="0025035C" w:rsidRPr="00291E2A">
        <w:rPr>
          <w:rFonts w:hint="cs"/>
          <w:rtl/>
        </w:rPr>
        <w:t xml:space="preserve">ההסדר המוצע יאפשר </w:t>
      </w:r>
      <w:r w:rsidRPr="00291E2A">
        <w:rPr>
          <w:rFonts w:hint="cs"/>
          <w:rtl/>
        </w:rPr>
        <w:t>להורים לפעוטות</w:t>
      </w:r>
      <w:r w:rsidR="008C6202" w:rsidRPr="00291E2A">
        <w:rPr>
          <w:rFonts w:hint="cs"/>
          <w:rtl/>
        </w:rPr>
        <w:t xml:space="preserve"> או ילדים בגיל הרך</w:t>
      </w:r>
      <w:r w:rsidR="007B0177" w:rsidRPr="00291E2A">
        <w:rPr>
          <w:rFonts w:hint="cs"/>
          <w:rtl/>
        </w:rPr>
        <w:t>,</w:t>
      </w:r>
      <w:r w:rsidRPr="00291E2A">
        <w:rPr>
          <w:rFonts w:hint="cs"/>
          <w:rtl/>
        </w:rPr>
        <w:t xml:space="preserve"> שלפחות אחד מהם הוא </w:t>
      </w:r>
      <w:r w:rsidR="008C6202" w:rsidRPr="00291E2A">
        <w:rPr>
          <w:rFonts w:hint="cs"/>
          <w:rtl/>
        </w:rPr>
        <w:t>הורה הלומד במוסד חינוכי</w:t>
      </w:r>
      <w:r w:rsidR="007B0177" w:rsidRPr="00291E2A">
        <w:rPr>
          <w:rFonts w:hint="cs"/>
          <w:rtl/>
        </w:rPr>
        <w:t>,</w:t>
      </w:r>
      <w:r w:rsidR="008C6202" w:rsidRPr="00291E2A">
        <w:rPr>
          <w:rFonts w:hint="cs"/>
          <w:rtl/>
        </w:rPr>
        <w:t xml:space="preserve"> לקבל את הניכוי בסכומים האמורים, במידה וההורים בכלל משק הבית עובדים או עוסקים במשלח יד, במשך 45 שעות שבועיות לפחות.</w:t>
      </w:r>
    </w:p>
    <w:p w14:paraId="255CC0E5" w14:textId="324E636E" w:rsidR="00B74EF2" w:rsidRPr="00291E2A" w:rsidRDefault="0025035C" w:rsidP="00291E2A">
      <w:pPr>
        <w:pStyle w:val="Hesber"/>
        <w:rPr>
          <w:rtl/>
        </w:rPr>
      </w:pPr>
      <w:r w:rsidRPr="00291E2A">
        <w:rPr>
          <w:rtl/>
        </w:rPr>
        <w:t>יצוין</w:t>
      </w:r>
      <w:r w:rsidR="00B74EF2" w:rsidRPr="00291E2A">
        <w:rPr>
          <w:rtl/>
        </w:rPr>
        <w:t xml:space="preserve"> </w:t>
      </w:r>
      <w:r w:rsidR="0033500E" w:rsidRPr="00291E2A">
        <w:rPr>
          <w:rFonts w:hint="cs"/>
          <w:rtl/>
        </w:rPr>
        <w:t>כי</w:t>
      </w:r>
      <w:r w:rsidR="00B74EF2" w:rsidRPr="00291E2A">
        <w:rPr>
          <w:rtl/>
        </w:rPr>
        <w:t xml:space="preserve"> בשנת 2009 </w:t>
      </w:r>
      <w:r w:rsidR="0033500E" w:rsidRPr="00291E2A">
        <w:rPr>
          <w:rFonts w:hint="cs"/>
          <w:rtl/>
        </w:rPr>
        <w:t>התקבל תיקון ל</w:t>
      </w:r>
      <w:r w:rsidR="00B74EF2" w:rsidRPr="00291E2A">
        <w:rPr>
          <w:rtl/>
        </w:rPr>
        <w:t xml:space="preserve">סעיף 32(1) לפקודה, </w:t>
      </w:r>
      <w:r w:rsidRPr="00291E2A">
        <w:rPr>
          <w:rFonts w:hint="cs"/>
          <w:rtl/>
        </w:rPr>
        <w:t>ש</w:t>
      </w:r>
      <w:r w:rsidR="00B74EF2" w:rsidRPr="00291E2A">
        <w:rPr>
          <w:rtl/>
        </w:rPr>
        <w:t>בו נקבע, בין היתר, כי הוצאות שהוצאו לשם טיפול בילד או השגחה עליו אינן מותרות בניכוי. בהצעת חוק זו מוצע לבטל את האיסור על ניכוי הוצאות שהוצאו לשם טיפול בילד, ולקבוע כי ניתן יהיה לנכות הוצאות כאמור בתנאים שנקבעו בהצעת החוק.</w:t>
      </w:r>
    </w:p>
    <w:p w14:paraId="7260CDF5" w14:textId="6A5CA777" w:rsidR="00B74EF2" w:rsidRPr="00291E2A" w:rsidRDefault="00B74EF2" w:rsidP="009B7503">
      <w:pPr>
        <w:pStyle w:val="Hesber"/>
        <w:rPr>
          <w:rtl/>
        </w:rPr>
      </w:pPr>
      <w:r w:rsidRPr="00291E2A">
        <w:rPr>
          <w:rFonts w:hint="cs"/>
          <w:rtl/>
        </w:rPr>
        <w:t>הצעות חוק דומות הונחו על שולחן הכנסת התשע-עשרה על ידי חברת הכנסת גילה גמליאל (</w:t>
      </w:r>
      <w:bookmarkStart w:id="8" w:name="LawNum"/>
      <w:r w:rsidRPr="00291E2A">
        <w:rPr>
          <w:rtl/>
        </w:rPr>
        <w:t>פ/2089/19</w:t>
      </w:r>
      <w:bookmarkEnd w:id="8"/>
      <w:r w:rsidRPr="00291E2A">
        <w:rPr>
          <w:rFonts w:hint="cs"/>
          <w:rtl/>
        </w:rPr>
        <w:t>), על שולחן הכנסת העשרים</w:t>
      </w:r>
      <w:r w:rsidR="009B7503">
        <w:rPr>
          <w:rFonts w:hint="cs"/>
          <w:rtl/>
        </w:rPr>
        <w:t>,</w:t>
      </w:r>
      <w:r w:rsidRPr="00291E2A">
        <w:rPr>
          <w:rFonts w:hint="cs"/>
          <w:rtl/>
        </w:rPr>
        <w:t xml:space="preserve"> </w:t>
      </w:r>
      <w:r w:rsidR="009B7503" w:rsidRPr="00291E2A">
        <w:rPr>
          <w:rFonts w:hint="cs"/>
          <w:rtl/>
        </w:rPr>
        <w:t xml:space="preserve">על שולחן הכנסת העשרים-ושתיים ועל שולחן הכנסת העשרים ושלוש </w:t>
      </w:r>
      <w:r w:rsidRPr="00291E2A">
        <w:rPr>
          <w:rFonts w:hint="cs"/>
          <w:rtl/>
        </w:rPr>
        <w:t>על ידי חבר הכנסת איציק שמולי</w:t>
      </w:r>
      <w:r w:rsidRPr="00291E2A">
        <w:rPr>
          <w:rFonts w:hint="cs"/>
        </w:rPr>
        <w:t xml:space="preserve"> </w:t>
      </w:r>
      <w:r w:rsidR="009B7503">
        <w:rPr>
          <w:rFonts w:hint="cs"/>
          <w:rtl/>
        </w:rPr>
        <w:t xml:space="preserve">(פ/1302/20; </w:t>
      </w:r>
      <w:r w:rsidRPr="00291E2A">
        <w:rPr>
          <w:rtl/>
        </w:rPr>
        <w:t>פ/622/22</w:t>
      </w:r>
      <w:r w:rsidR="009B7503">
        <w:rPr>
          <w:rFonts w:hint="cs"/>
          <w:rtl/>
        </w:rPr>
        <w:t xml:space="preserve">; </w:t>
      </w:r>
      <w:r w:rsidRPr="00291E2A">
        <w:rPr>
          <w:rFonts w:hint="cs"/>
          <w:rtl/>
        </w:rPr>
        <w:t xml:space="preserve">פ/498/23), </w:t>
      </w:r>
      <w:r w:rsidR="009B7503">
        <w:rPr>
          <w:rFonts w:hint="cs"/>
          <w:rtl/>
        </w:rPr>
        <w:t xml:space="preserve">על שוליחן הכנסת העשרים ושלוש </w:t>
      </w:r>
      <w:r w:rsidRPr="00291E2A">
        <w:rPr>
          <w:rFonts w:hint="cs"/>
          <w:rtl/>
        </w:rPr>
        <w:t xml:space="preserve">על ידי חברת הכנסת קרן ברק (פ/144/23) ועל ידי חברת הכנסת קארין אלהרר (פ/1067/23), </w:t>
      </w:r>
      <w:r w:rsidR="009B7503">
        <w:rPr>
          <w:rFonts w:hint="cs"/>
          <w:rtl/>
        </w:rPr>
        <w:t>ו</w:t>
      </w:r>
      <w:r w:rsidRPr="00291E2A">
        <w:rPr>
          <w:rFonts w:hint="cs"/>
          <w:rtl/>
        </w:rPr>
        <w:t xml:space="preserve">על שולחן הכנסת העשרים וארבע על ידי חברת הכנסת קארין אלהרר (פ/637/24) </w:t>
      </w:r>
      <w:r w:rsidRPr="00291E2A">
        <w:rPr>
          <w:rFonts w:hint="eastAsia"/>
          <w:rtl/>
        </w:rPr>
        <w:t>ועל</w:t>
      </w:r>
      <w:r w:rsidRPr="00291E2A">
        <w:rPr>
          <w:rtl/>
        </w:rPr>
        <w:t xml:space="preserve"> </w:t>
      </w:r>
      <w:r w:rsidRPr="00291E2A">
        <w:rPr>
          <w:rFonts w:hint="eastAsia"/>
          <w:rtl/>
        </w:rPr>
        <w:t>ידי</w:t>
      </w:r>
      <w:r w:rsidRPr="00291E2A">
        <w:rPr>
          <w:rtl/>
        </w:rPr>
        <w:t xml:space="preserve"> </w:t>
      </w:r>
      <w:r w:rsidRPr="00291E2A">
        <w:rPr>
          <w:rFonts w:hint="eastAsia"/>
          <w:rtl/>
        </w:rPr>
        <w:t>חברות</w:t>
      </w:r>
      <w:r w:rsidRPr="00291E2A">
        <w:rPr>
          <w:rtl/>
        </w:rPr>
        <w:t xml:space="preserve"> </w:t>
      </w:r>
      <w:r w:rsidRPr="00291E2A">
        <w:rPr>
          <w:rFonts w:hint="eastAsia"/>
          <w:rtl/>
        </w:rPr>
        <w:t>הכנסת</w:t>
      </w:r>
      <w:r w:rsidRPr="00291E2A">
        <w:rPr>
          <w:rtl/>
        </w:rPr>
        <w:t xml:space="preserve"> </w:t>
      </w:r>
      <w:r w:rsidRPr="00291E2A">
        <w:rPr>
          <w:rFonts w:hint="eastAsia"/>
          <w:rtl/>
        </w:rPr>
        <w:t>קארין</w:t>
      </w:r>
      <w:r w:rsidRPr="00291E2A">
        <w:rPr>
          <w:rtl/>
        </w:rPr>
        <w:t xml:space="preserve"> </w:t>
      </w:r>
      <w:r w:rsidRPr="00291E2A">
        <w:rPr>
          <w:rFonts w:hint="eastAsia"/>
          <w:rtl/>
        </w:rPr>
        <w:t>אלהרר</w:t>
      </w:r>
      <w:r w:rsidRPr="00291E2A">
        <w:rPr>
          <w:rtl/>
        </w:rPr>
        <w:t xml:space="preserve"> </w:t>
      </w:r>
      <w:r w:rsidRPr="00291E2A">
        <w:rPr>
          <w:rFonts w:hint="eastAsia"/>
          <w:rtl/>
        </w:rPr>
        <w:t>ומירב</w:t>
      </w:r>
      <w:r w:rsidRPr="00291E2A">
        <w:rPr>
          <w:rtl/>
        </w:rPr>
        <w:t xml:space="preserve"> </w:t>
      </w:r>
      <w:r w:rsidRPr="00291E2A">
        <w:rPr>
          <w:rFonts w:hint="eastAsia"/>
          <w:rtl/>
        </w:rPr>
        <w:t>בן</w:t>
      </w:r>
      <w:r w:rsidRPr="00291E2A">
        <w:rPr>
          <w:rtl/>
        </w:rPr>
        <w:t xml:space="preserve"> </w:t>
      </w:r>
      <w:r w:rsidRPr="00291E2A">
        <w:rPr>
          <w:rFonts w:hint="eastAsia"/>
          <w:rtl/>
        </w:rPr>
        <w:t>ארי</w:t>
      </w:r>
      <w:r w:rsidRPr="00291E2A">
        <w:rPr>
          <w:rtl/>
        </w:rPr>
        <w:t xml:space="preserve"> (פ/1390/24).</w:t>
      </w:r>
    </w:p>
    <w:p w14:paraId="0A7B21B2" w14:textId="77777777" w:rsidR="009B7503" w:rsidRDefault="009B7503" w:rsidP="009B7503">
      <w:pPr>
        <w:spacing w:before="0" w:line="240" w:lineRule="auto"/>
        <w:jc w:val="left"/>
        <w:rPr>
          <w:rFonts w:ascii="David" w:eastAsia="David" w:hAnsi="David" w:cs="David"/>
          <w:sz w:val="26"/>
          <w:szCs w:val="26"/>
          <w:rtl/>
        </w:rPr>
      </w:pPr>
      <w:bookmarkStart w:id="9" w:name="selectedDocDateB"/>
      <w:bookmarkEnd w:id="9"/>
    </w:p>
    <w:p w14:paraId="4A2B9F2E" w14:textId="7ECC9B9F" w:rsidR="00B9049A" w:rsidRDefault="009B7503" w:rsidP="009B7503">
      <w:pPr>
        <w:spacing w:before="0" w:line="240" w:lineRule="auto"/>
        <w:jc w:val="left"/>
      </w:pPr>
      <w:bookmarkStart w:id="10" w:name="_GoBack"/>
      <w:bookmarkEnd w:id="10"/>
      <w:r>
        <w:rPr>
          <w:rFonts w:ascii="David" w:eastAsia="David" w:hAnsi="David" w:cs="David" w:hint="cs"/>
          <w:sz w:val="26"/>
          <w:szCs w:val="26"/>
          <w:rtl/>
        </w:rPr>
        <w:t>--------------------------------</w:t>
      </w:r>
    </w:p>
    <w:p w14:paraId="0686823A" w14:textId="77777777" w:rsidR="00B9049A" w:rsidRDefault="009B7503" w:rsidP="009B7503">
      <w:pPr>
        <w:spacing w:before="0" w:line="240" w:lineRule="auto"/>
        <w:jc w:val="left"/>
      </w:pPr>
      <w:r>
        <w:rPr>
          <w:rFonts w:ascii="David" w:eastAsia="David" w:hAnsi="David" w:cs="David" w:hint="cs"/>
          <w:sz w:val="26"/>
          <w:szCs w:val="26"/>
          <w:rtl/>
        </w:rPr>
        <w:t>הוגשה ליו"ר הכנסת והסגנים</w:t>
      </w:r>
    </w:p>
    <w:p w14:paraId="713EAEBA" w14:textId="77777777" w:rsidR="00B9049A" w:rsidRDefault="009B7503" w:rsidP="009B7503">
      <w:pPr>
        <w:spacing w:before="0" w:line="240" w:lineRule="auto"/>
        <w:jc w:val="left"/>
      </w:pPr>
      <w:r>
        <w:rPr>
          <w:rFonts w:ascii="David" w:eastAsia="David" w:hAnsi="David" w:cs="David" w:hint="cs"/>
          <w:sz w:val="26"/>
          <w:szCs w:val="26"/>
          <w:rtl/>
        </w:rPr>
        <w:t>והונחה על שולחן הכנסת ביום</w:t>
      </w:r>
    </w:p>
    <w:p w14:paraId="0CE9BD55" w14:textId="68E1F7B2" w:rsidR="00B9049A" w:rsidRDefault="009B7503" w:rsidP="009B7503">
      <w:pPr>
        <w:spacing w:before="0" w:line="240" w:lineRule="auto"/>
        <w:jc w:val="left"/>
      </w:pPr>
      <w:r>
        <w:rPr>
          <w:rFonts w:ascii="David" w:eastAsia="David" w:hAnsi="David" w:cs="David" w:hint="cs"/>
          <w:sz w:val="26"/>
          <w:szCs w:val="26"/>
          <w:rtl/>
        </w:rPr>
        <w:t xml:space="preserve">י"ג באדר א' התשפ"ב (14.02.2022) </w:t>
      </w:r>
    </w:p>
    <w:sectPr w:rsidR="00B9049A"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5A9FB6B5"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9B7503">
      <w:rPr>
        <w:rStyle w:val="ab"/>
        <w:noProof/>
        <w:rtl/>
      </w:rPr>
      <w:t>3</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F0B4951" w14:textId="77777777" w:rsidR="00B74EF2" w:rsidRDefault="00B74EF2" w:rsidP="00B74EF2">
      <w:pPr>
        <w:pStyle w:val="a4"/>
      </w:pPr>
      <w:r>
        <w:rPr>
          <w:rStyle w:val="a6"/>
        </w:rPr>
        <w:footnoteRef/>
      </w:r>
      <w:r>
        <w:rPr>
          <w:sz w:val="20"/>
          <w:rtl/>
        </w:rPr>
        <w:t xml:space="preserve"> דיני מדינת ישראל, נוסח חדש 6, עמ' 120.</w:t>
      </w:r>
    </w:p>
  </w:footnote>
  <w:footnote w:id="3">
    <w:p w14:paraId="7F088602" w14:textId="77777777" w:rsidR="00B74EF2" w:rsidRDefault="00B74EF2" w:rsidP="00B74EF2">
      <w:pPr>
        <w:pStyle w:val="a4"/>
      </w:pPr>
      <w:r>
        <w:rPr>
          <w:rStyle w:val="a6"/>
        </w:rPr>
        <w:footnoteRef/>
      </w:r>
      <w:r>
        <w:rPr>
          <w:rtl/>
        </w:rPr>
        <w:t xml:space="preserve"> </w:t>
      </w:r>
      <w:r>
        <w:rPr>
          <w:rFonts w:ascii="FrankRuehl" w:hAnsi="FrankRuehl" w:cs="FrankRuehl"/>
          <w:sz w:val="22"/>
          <w:szCs w:val="22"/>
        </w:rPr>
        <w:t> </w:t>
      </w:r>
      <w:r>
        <w:rPr>
          <w:rFonts w:ascii="FrankRuehl" w:hAnsi="FrankRuehl" w:cs="FrankRuehl"/>
          <w:sz w:val="22"/>
          <w:szCs w:val="22"/>
          <w:rtl/>
        </w:rPr>
        <w:t>ס"ח תשי"ט</w:t>
      </w:r>
      <w:r>
        <w:rPr>
          <w:rFonts w:ascii="FrankRuehl" w:hAnsi="FrankRuehl" w:cs="FrankRuehl" w:hint="cs"/>
          <w:sz w:val="22"/>
          <w:szCs w:val="22"/>
          <w:rtl/>
        </w:rPr>
        <w:t xml:space="preserve">, </w:t>
      </w:r>
      <w:r>
        <w:rPr>
          <w:rFonts w:ascii="FrankRuehl" w:hAnsi="FrankRuehl" w:cs="FrankRuehl"/>
          <w:sz w:val="22"/>
          <w:szCs w:val="22"/>
          <w:rtl/>
        </w:rPr>
        <w:t>עמ' 72</w:t>
      </w:r>
    </w:p>
  </w:footnote>
  <w:footnote w:id="4">
    <w:p w14:paraId="0509F5EA" w14:textId="77777777" w:rsidR="00B74EF2" w:rsidRDefault="00B74EF2" w:rsidP="00B74EF2">
      <w:pPr>
        <w:pStyle w:val="a4"/>
      </w:pPr>
      <w:r>
        <w:rPr>
          <w:rStyle w:val="a6"/>
        </w:rPr>
        <w:footnoteRef/>
      </w:r>
      <w:r>
        <w:rPr>
          <w:rtl/>
        </w:rPr>
        <w:t xml:space="preserve"> </w:t>
      </w:r>
      <w:r>
        <w:rPr>
          <w:sz w:val="20"/>
          <w:rtl/>
        </w:rPr>
        <w:t>ס"ח התשנ"ב, עמ' 147.</w:t>
      </w:r>
    </w:p>
  </w:footnote>
  <w:footnote w:id="5">
    <w:p w14:paraId="5B33A9A3" w14:textId="77777777" w:rsidR="00887110" w:rsidRDefault="00887110" w:rsidP="00887110">
      <w:pPr>
        <w:pStyle w:val="a4"/>
        <w:rPr>
          <w:rtl/>
        </w:rPr>
      </w:pPr>
      <w:r>
        <w:rPr>
          <w:rStyle w:val="a6"/>
        </w:rPr>
        <w:footnoteRef/>
      </w:r>
      <w:r>
        <w:rPr>
          <w:rtl/>
        </w:rPr>
        <w:t xml:space="preserve"> </w:t>
      </w:r>
      <w:r>
        <w:rPr>
          <w:rFonts w:hint="cs"/>
          <w:rtl/>
        </w:rPr>
        <w:t xml:space="preserve"> ס"ח התשנ"ה, עמ' 210.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0A8F"/>
    <w:rsid w:val="00015B27"/>
    <w:rsid w:val="00017F29"/>
    <w:rsid w:val="0002226D"/>
    <w:rsid w:val="00057B44"/>
    <w:rsid w:val="00063A3E"/>
    <w:rsid w:val="00072CAC"/>
    <w:rsid w:val="0007681A"/>
    <w:rsid w:val="000A542E"/>
    <w:rsid w:val="000F40F8"/>
    <w:rsid w:val="00102B6B"/>
    <w:rsid w:val="001052D4"/>
    <w:rsid w:val="0010644B"/>
    <w:rsid w:val="001207F8"/>
    <w:rsid w:val="00121924"/>
    <w:rsid w:val="001279A8"/>
    <w:rsid w:val="0014195F"/>
    <w:rsid w:val="00152609"/>
    <w:rsid w:val="00153E1B"/>
    <w:rsid w:val="0015444D"/>
    <w:rsid w:val="001A0623"/>
    <w:rsid w:val="001A6D54"/>
    <w:rsid w:val="001C23B0"/>
    <w:rsid w:val="001D7AAF"/>
    <w:rsid w:val="00203A7F"/>
    <w:rsid w:val="00214275"/>
    <w:rsid w:val="0021633A"/>
    <w:rsid w:val="002200A1"/>
    <w:rsid w:val="002346F2"/>
    <w:rsid w:val="002362BF"/>
    <w:rsid w:val="00241B97"/>
    <w:rsid w:val="002425D1"/>
    <w:rsid w:val="00243188"/>
    <w:rsid w:val="00246756"/>
    <w:rsid w:val="0025035C"/>
    <w:rsid w:val="00251E58"/>
    <w:rsid w:val="00254605"/>
    <w:rsid w:val="00266D86"/>
    <w:rsid w:val="002728B4"/>
    <w:rsid w:val="0027600C"/>
    <w:rsid w:val="0028359A"/>
    <w:rsid w:val="00291E2A"/>
    <w:rsid w:val="00292712"/>
    <w:rsid w:val="002A34E1"/>
    <w:rsid w:val="002A487D"/>
    <w:rsid w:val="002B3453"/>
    <w:rsid w:val="002C2E29"/>
    <w:rsid w:val="002C3041"/>
    <w:rsid w:val="002D1EE3"/>
    <w:rsid w:val="002F1D80"/>
    <w:rsid w:val="003232A2"/>
    <w:rsid w:val="00325C14"/>
    <w:rsid w:val="0033500E"/>
    <w:rsid w:val="0036422C"/>
    <w:rsid w:val="00367627"/>
    <w:rsid w:val="003710F6"/>
    <w:rsid w:val="00386E88"/>
    <w:rsid w:val="00396585"/>
    <w:rsid w:val="003C4FC3"/>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7012C"/>
    <w:rsid w:val="005802AA"/>
    <w:rsid w:val="005A6142"/>
    <w:rsid w:val="005B064E"/>
    <w:rsid w:val="005D51AE"/>
    <w:rsid w:val="00602088"/>
    <w:rsid w:val="0062674B"/>
    <w:rsid w:val="006363B2"/>
    <w:rsid w:val="00644940"/>
    <w:rsid w:val="00675984"/>
    <w:rsid w:val="006818A9"/>
    <w:rsid w:val="006A2D81"/>
    <w:rsid w:val="006C1D0D"/>
    <w:rsid w:val="006F2E3C"/>
    <w:rsid w:val="0070601E"/>
    <w:rsid w:val="00712C72"/>
    <w:rsid w:val="00735FE9"/>
    <w:rsid w:val="007430DD"/>
    <w:rsid w:val="00763CAA"/>
    <w:rsid w:val="00765F66"/>
    <w:rsid w:val="00772DF6"/>
    <w:rsid w:val="00780D15"/>
    <w:rsid w:val="0078664F"/>
    <w:rsid w:val="007A148C"/>
    <w:rsid w:val="007A27CE"/>
    <w:rsid w:val="007B0177"/>
    <w:rsid w:val="007C3FA6"/>
    <w:rsid w:val="007D585A"/>
    <w:rsid w:val="007D5A12"/>
    <w:rsid w:val="007E59F9"/>
    <w:rsid w:val="008009CD"/>
    <w:rsid w:val="00810BCD"/>
    <w:rsid w:val="00812C98"/>
    <w:rsid w:val="00814D92"/>
    <w:rsid w:val="0083181D"/>
    <w:rsid w:val="00843EB2"/>
    <w:rsid w:val="00865572"/>
    <w:rsid w:val="00874BBC"/>
    <w:rsid w:val="00887110"/>
    <w:rsid w:val="00892135"/>
    <w:rsid w:val="00895449"/>
    <w:rsid w:val="00897879"/>
    <w:rsid w:val="008A6870"/>
    <w:rsid w:val="008C2DDC"/>
    <w:rsid w:val="008C6202"/>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399A"/>
    <w:rsid w:val="00957589"/>
    <w:rsid w:val="00966D06"/>
    <w:rsid w:val="00982412"/>
    <w:rsid w:val="00983A8D"/>
    <w:rsid w:val="009A0DB8"/>
    <w:rsid w:val="009A7257"/>
    <w:rsid w:val="009B7503"/>
    <w:rsid w:val="009C2BBE"/>
    <w:rsid w:val="009D6E0A"/>
    <w:rsid w:val="009E1E33"/>
    <w:rsid w:val="00A14672"/>
    <w:rsid w:val="00A26BD6"/>
    <w:rsid w:val="00A443CF"/>
    <w:rsid w:val="00A6611D"/>
    <w:rsid w:val="00A82CB7"/>
    <w:rsid w:val="00A83453"/>
    <w:rsid w:val="00A942C1"/>
    <w:rsid w:val="00AA2F03"/>
    <w:rsid w:val="00AC36F7"/>
    <w:rsid w:val="00AC63A4"/>
    <w:rsid w:val="00AD239E"/>
    <w:rsid w:val="00AF14C1"/>
    <w:rsid w:val="00B10265"/>
    <w:rsid w:val="00B16A99"/>
    <w:rsid w:val="00B21211"/>
    <w:rsid w:val="00B35784"/>
    <w:rsid w:val="00B733A7"/>
    <w:rsid w:val="00B74EF2"/>
    <w:rsid w:val="00B75C91"/>
    <w:rsid w:val="00B84DDE"/>
    <w:rsid w:val="00B9049A"/>
    <w:rsid w:val="00B975AD"/>
    <w:rsid w:val="00BC45FB"/>
    <w:rsid w:val="00BE0483"/>
    <w:rsid w:val="00BF148D"/>
    <w:rsid w:val="00C21250"/>
    <w:rsid w:val="00C23B1A"/>
    <w:rsid w:val="00C310EB"/>
    <w:rsid w:val="00C9176A"/>
    <w:rsid w:val="00CB5898"/>
    <w:rsid w:val="00CF1AA2"/>
    <w:rsid w:val="00D142D3"/>
    <w:rsid w:val="00D17774"/>
    <w:rsid w:val="00D54648"/>
    <w:rsid w:val="00D63620"/>
    <w:rsid w:val="00D64279"/>
    <w:rsid w:val="00D740BF"/>
    <w:rsid w:val="00D8410D"/>
    <w:rsid w:val="00D867D7"/>
    <w:rsid w:val="00DB6FC1"/>
    <w:rsid w:val="00DB7060"/>
    <w:rsid w:val="00DC6FA9"/>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C38B2"/>
    <w:rsid w:val="00ED4A6F"/>
    <w:rsid w:val="00EF3A3A"/>
    <w:rsid w:val="00F42037"/>
    <w:rsid w:val="00F43C33"/>
    <w:rsid w:val="00F628D6"/>
    <w:rsid w:val="00F67051"/>
    <w:rsid w:val="00F76069"/>
    <w:rsid w:val="00F86A1E"/>
    <w:rsid w:val="00FA5E88"/>
    <w:rsid w:val="00FB3DAB"/>
    <w:rsid w:val="00FD5D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F72180A3-E257-44FC-A2F2-2AA8CC65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semiHidden/>
    <w:rsid w:val="00B74EF2"/>
    <w:rPr>
      <w:rFonts w:ascii="Arial" w:eastAsia="Arial Unicode MS" w:hAnsi="Arial" w:cs="David"/>
      <w:snapToGrid w:val="0"/>
      <w:color w:val="000000"/>
      <w:sz w:val="14"/>
      <w:lang w:eastAsia="ja-JP"/>
    </w:rPr>
  </w:style>
  <w:style w:type="character" w:styleId="ae">
    <w:name w:val="annotation reference"/>
    <w:basedOn w:val="a0"/>
    <w:semiHidden/>
    <w:unhideWhenUsed/>
    <w:rsid w:val="005802AA"/>
    <w:rPr>
      <w:sz w:val="16"/>
      <w:szCs w:val="16"/>
    </w:rPr>
  </w:style>
  <w:style w:type="paragraph" w:styleId="af">
    <w:name w:val="annotation text"/>
    <w:basedOn w:val="a"/>
    <w:link w:val="af0"/>
    <w:semiHidden/>
    <w:unhideWhenUsed/>
    <w:rsid w:val="005802AA"/>
    <w:pPr>
      <w:spacing w:line="240" w:lineRule="auto"/>
    </w:pPr>
    <w:rPr>
      <w:sz w:val="20"/>
      <w:szCs w:val="20"/>
    </w:rPr>
  </w:style>
  <w:style w:type="character" w:customStyle="1" w:styleId="af0">
    <w:name w:val="טקסט הערה תו"/>
    <w:basedOn w:val="a0"/>
    <w:link w:val="af"/>
    <w:semiHidden/>
    <w:rsid w:val="005802AA"/>
    <w:rPr>
      <w:rFonts w:ascii="Hadasa Roso SL" w:hAnsi="Hadasa Roso SL" w:cs="Hadasa Roso SL"/>
      <w:color w:val="000000"/>
      <w:spacing w:val="1"/>
      <w:lang w:eastAsia="ja-JP"/>
    </w:rPr>
  </w:style>
  <w:style w:type="paragraph" w:styleId="af1">
    <w:name w:val="annotation subject"/>
    <w:basedOn w:val="af"/>
    <w:next w:val="af"/>
    <w:link w:val="af2"/>
    <w:semiHidden/>
    <w:unhideWhenUsed/>
    <w:rsid w:val="005802AA"/>
    <w:rPr>
      <w:b/>
      <w:bCs/>
    </w:rPr>
  </w:style>
  <w:style w:type="character" w:customStyle="1" w:styleId="af2">
    <w:name w:val="נושא הערה תו"/>
    <w:basedOn w:val="af0"/>
    <w:link w:val="af1"/>
    <w:semiHidden/>
    <w:rsid w:val="005802AA"/>
    <w:rPr>
      <w:rFonts w:ascii="Hadasa Roso SL" w:hAnsi="Hadasa Roso SL" w:cs="Hadasa Roso SL"/>
      <w:b/>
      <w:bCs/>
      <w:color w:val="000000"/>
      <w:spacing w:val="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108662A-11AA-435B-ADA1-426C4D1CC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B10C15-756F-4667-84CF-6CF42DA5A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Pages>
  <Words>749</Words>
  <Characters>3750</Characters>
  <Application>Microsoft Office Word</Application>
  <DocSecurity>0</DocSecurity>
  <Lines>31</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49</cp:revision>
  <cp:lastPrinted>2022-02-03T08:25:00Z</cp:lastPrinted>
  <dcterms:created xsi:type="dcterms:W3CDTF">2015-04-20T09:58:00Z</dcterms:created>
  <dcterms:modified xsi:type="dcterms:W3CDTF">2022-02-10T09:55:00Z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2168772</vt:r8>
  </property>
</Properties>
</file>