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961A1" w14:textId="77777777" w:rsidR="002C2E29" w:rsidRPr="002967E9" w:rsidRDefault="004033D8" w:rsidP="00E635A2">
      <w:pPr>
        <w:jc w:val="right"/>
        <w:rPr>
          <w:b/>
          <w:bCs/>
          <w:sz w:val="20"/>
          <w:szCs w:val="20"/>
        </w:rPr>
      </w:pPr>
      <w:r w:rsidRPr="002967E9">
        <w:rPr>
          <w:sz w:val="20"/>
          <w:szCs w:val="20"/>
          <w:rtl/>
        </w:rPr>
        <w:t xml:space="preserve">מספר פנימי: </w:t>
      </w:r>
      <w:bookmarkStart w:id="0" w:name="LGS_Internal_ID"/>
      <w:r w:rsidRPr="002967E9">
        <w:rPr>
          <w:sz w:val="20"/>
          <w:szCs w:val="20"/>
          <w:rtl/>
        </w:rPr>
        <w:t>2167971</w:t>
      </w:r>
      <w:bookmarkEnd w:id="0"/>
    </w:p>
    <w:p w14:paraId="7F6961A2" w14:textId="53D639AE" w:rsidR="00E13C27" w:rsidRPr="002967E9" w:rsidRDefault="00E13C27" w:rsidP="00A443CF">
      <w:pPr>
        <w:pStyle w:val="HeadHatzaotHok"/>
        <w:rPr>
          <w:rFonts w:ascii="David" w:hAnsi="David"/>
          <w:sz w:val="28"/>
          <w:szCs w:val="28"/>
          <w:rtl/>
        </w:rPr>
      </w:pPr>
      <w:r w:rsidRPr="002967E9">
        <w:rPr>
          <w:rFonts w:ascii="David" w:hAnsi="David"/>
          <w:sz w:val="28"/>
          <w:szCs w:val="28"/>
          <w:rtl/>
        </w:rPr>
        <w:t xml:space="preserve">הכנסת </w:t>
      </w:r>
      <w:bookmarkStart w:id="1" w:name="LGS_Knesset_Num"/>
      <w:r w:rsidRPr="002967E9">
        <w:rPr>
          <w:rFonts w:ascii="David" w:hAnsi="David"/>
          <w:sz w:val="28"/>
          <w:szCs w:val="28"/>
          <w:rtl/>
        </w:rPr>
        <w:t>העשרים וארבע</w:t>
      </w:r>
      <w:bookmarkEnd w:id="1"/>
    </w:p>
    <w:p w14:paraId="7F6961A3" w14:textId="77777777" w:rsidR="00E13C27" w:rsidRPr="002A0810" w:rsidRDefault="00E13C27" w:rsidP="00E13C27">
      <w:pPr>
        <w:rPr>
          <w:b/>
          <w:bCs/>
          <w:sz w:val="26"/>
          <w:szCs w:val="26"/>
          <w:rtl/>
        </w:rPr>
      </w:pPr>
    </w:p>
    <w:p w14:paraId="74D5F605" w14:textId="3D7821D6" w:rsidR="002A0810" w:rsidRPr="002A0810" w:rsidRDefault="008F6665" w:rsidP="002967E9">
      <w:pPr>
        <w:pStyle w:val="David"/>
        <w:ind w:left="3544"/>
        <w:rPr>
          <w:rtl/>
        </w:rPr>
      </w:pPr>
      <w:bookmarkStart w:id="2" w:name="LGS_Initiators_List"/>
      <w:r w:rsidRPr="002A0810">
        <w:rPr>
          <w:b/>
          <w:bCs/>
          <w:rtl/>
        </w:rPr>
        <w:t>יוזמים:      חברי הכנסת</w:t>
      </w:r>
      <w:bookmarkEnd w:id="2"/>
      <w:r w:rsidR="00B35784" w:rsidRPr="002A0810">
        <w:rPr>
          <w:b/>
          <w:bCs/>
        </w:rPr>
        <w:tab/>
      </w:r>
      <w:bookmarkStart w:id="3" w:name="LGS_PM_Names"/>
      <w:r w:rsidRPr="002A0810">
        <w:rPr>
          <w:b/>
          <w:bCs/>
          <w:rtl/>
        </w:rPr>
        <w:t>רות וסרמן לנדה</w:t>
      </w:r>
      <w:r w:rsidRPr="002A0810">
        <w:br/>
      </w:r>
      <w:r w:rsidRPr="002A0810">
        <w:rPr>
          <w:b/>
          <w:bCs/>
          <w:rtl/>
        </w:rPr>
        <w:t xml:space="preserve"> </w:t>
      </w:r>
      <w:r w:rsidRPr="002A0810">
        <w:tab/>
      </w:r>
      <w:r w:rsidRPr="002A0810">
        <w:tab/>
      </w:r>
      <w:r w:rsidRPr="002A0810">
        <w:tab/>
      </w:r>
      <w:r w:rsidRPr="002A0810">
        <w:tab/>
      </w:r>
      <w:r w:rsidRPr="002A0810">
        <w:rPr>
          <w:b/>
          <w:bCs/>
          <w:rtl/>
        </w:rPr>
        <w:t>רם בן ברק</w:t>
      </w:r>
      <w:r w:rsidRPr="002A0810">
        <w:br/>
      </w:r>
      <w:r w:rsidRPr="002A0810">
        <w:rPr>
          <w:b/>
          <w:bCs/>
          <w:rtl/>
        </w:rPr>
        <w:t xml:space="preserve"> </w:t>
      </w:r>
      <w:r w:rsidRPr="002A0810">
        <w:tab/>
      </w:r>
      <w:r w:rsidRPr="002A0810">
        <w:tab/>
      </w:r>
      <w:r w:rsidRPr="002A0810">
        <w:tab/>
      </w:r>
      <w:r w:rsidRPr="002A0810">
        <w:tab/>
      </w:r>
      <w:r w:rsidRPr="002A0810">
        <w:rPr>
          <w:b/>
          <w:bCs/>
          <w:rtl/>
        </w:rPr>
        <w:t>עידית סילמן</w:t>
      </w:r>
      <w:bookmarkStart w:id="4" w:name="LGS_Join_List"/>
      <w:bookmarkEnd w:id="3"/>
      <w:r w:rsidR="007D585A" w:rsidRPr="002A0810">
        <w:rPr>
          <w:rtl/>
        </w:rPr>
        <w:t xml:space="preserve"> </w:t>
      </w:r>
      <w:bookmarkEnd w:id="4"/>
      <w:r w:rsidR="002200A1" w:rsidRPr="002A0810">
        <w:rPr>
          <w:rtl/>
        </w:rPr>
        <w:tab/>
      </w:r>
      <w:bookmarkStart w:id="5" w:name="LGS_PM_NamesJoin"/>
      <w:r w:rsidR="007D585A" w:rsidRPr="002A0810">
        <w:rPr>
          <w:rtl/>
        </w:rPr>
        <w:t xml:space="preserve"> </w:t>
      </w:r>
      <w:bookmarkEnd w:id="5"/>
      <w:r w:rsidR="002967E9">
        <w:rPr>
          <w:rtl/>
        </w:rPr>
        <w:tab/>
      </w:r>
      <w:r w:rsidR="002967E9">
        <w:rPr>
          <w:rtl/>
        </w:rPr>
        <w:tab/>
      </w:r>
      <w:r w:rsidR="002967E9">
        <w:rPr>
          <w:rtl/>
        </w:rPr>
        <w:tab/>
      </w:r>
      <w:r w:rsidR="00266D86" w:rsidRPr="002A0810">
        <w:t>____</w:t>
      </w:r>
      <w:r w:rsidR="00E374F2" w:rsidRPr="002A0810">
        <w:t>__</w:t>
      </w:r>
      <w:r w:rsidR="00266D86" w:rsidRPr="002A0810">
        <w:t>________________________________________</w:t>
      </w:r>
      <w:r w:rsidR="00E06736" w:rsidRPr="002A0810">
        <w:tab/>
      </w:r>
      <w:r w:rsidR="00E13C27" w:rsidRPr="002A0810">
        <w:rPr>
          <w:rtl/>
        </w:rPr>
        <w:tab/>
      </w:r>
      <w:r w:rsidR="00E13C27" w:rsidRPr="002A0810">
        <w:rPr>
          <w:rtl/>
        </w:rPr>
        <w:tab/>
      </w:r>
      <w:r w:rsidR="00E13C27" w:rsidRPr="002A0810">
        <w:rPr>
          <w:rtl/>
        </w:rPr>
        <w:tab/>
      </w:r>
      <w:r w:rsidR="00904591" w:rsidRPr="002A0810">
        <w:t xml:space="preserve">         </w:t>
      </w:r>
      <w:r w:rsidR="002967E9">
        <w:rPr>
          <w:rFonts w:hint="cs"/>
          <w:rtl/>
        </w:rPr>
        <w:t xml:space="preserve">   פ/3228/24</w:t>
      </w:r>
    </w:p>
    <w:p w14:paraId="4F4C2177" w14:textId="390141EB" w:rsidR="002A0810" w:rsidRPr="002A0810" w:rsidRDefault="002A0810" w:rsidP="002A0810">
      <w:pPr>
        <w:pStyle w:val="HeadHatzaotHok"/>
        <w:keepNext w:val="0"/>
        <w:keepLines w:val="0"/>
        <w:rPr>
          <w:rFonts w:ascii="David" w:hAnsi="David"/>
          <w:sz w:val="26"/>
          <w:rtl/>
        </w:rPr>
      </w:pPr>
      <w:r w:rsidRPr="002A0810">
        <w:rPr>
          <w:rFonts w:ascii="David" w:hAnsi="David"/>
          <w:sz w:val="26"/>
          <w:rtl/>
        </w:rPr>
        <w:t xml:space="preserve">הצעת חוק קרן סיוע לקורבנות טרור במימוש פסקי דין, התשפ"ב–2022 </w:t>
      </w:r>
    </w:p>
    <w:p w14:paraId="004AB21C" w14:textId="77777777" w:rsidR="002A0810" w:rsidRPr="002A0810" w:rsidRDefault="002A0810" w:rsidP="002A0810">
      <w:pPr>
        <w:pStyle w:val="HeadHatzaotHok"/>
        <w:keepNext w:val="0"/>
        <w:keepLines w:val="0"/>
        <w:rPr>
          <w:rFonts w:ascii="David" w:hAnsi="David"/>
          <w:sz w:val="26"/>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19"/>
      </w:tblGrid>
      <w:tr w:rsidR="002A0810" w:rsidRPr="002A0810" w14:paraId="6CDFD6F4" w14:textId="77777777" w:rsidTr="002A0810">
        <w:trPr>
          <w:cantSplit/>
        </w:trPr>
        <w:tc>
          <w:tcPr>
            <w:tcW w:w="1871" w:type="dxa"/>
          </w:tcPr>
          <w:p w14:paraId="36ACB19D" w14:textId="77777777" w:rsidR="002A0810" w:rsidRPr="002A0810" w:rsidRDefault="002A0810" w:rsidP="00893EA8">
            <w:pPr>
              <w:pStyle w:val="TableSideHeading"/>
              <w:keepLines w:val="0"/>
              <w:rPr>
                <w:rFonts w:ascii="David" w:hAnsi="David"/>
              </w:rPr>
            </w:pPr>
            <w:r w:rsidRPr="002A0810">
              <w:rPr>
                <w:rFonts w:ascii="David" w:hAnsi="David"/>
                <w:rtl/>
              </w:rPr>
              <w:t>הגדרות</w:t>
            </w:r>
          </w:p>
        </w:tc>
        <w:tc>
          <w:tcPr>
            <w:tcW w:w="624" w:type="dxa"/>
          </w:tcPr>
          <w:p w14:paraId="1A26B6A5" w14:textId="77777777" w:rsidR="002A0810" w:rsidRPr="002A0810" w:rsidRDefault="002A0810" w:rsidP="002A0810">
            <w:pPr>
              <w:pStyle w:val="TableText"/>
              <w:keepLines w:val="0"/>
              <w:numPr>
                <w:ilvl w:val="0"/>
                <w:numId w:val="12"/>
              </w:numPr>
              <w:tabs>
                <w:tab w:val="clear" w:pos="624"/>
              </w:tabs>
              <w:rPr>
                <w:rFonts w:ascii="David" w:hAnsi="David"/>
              </w:rPr>
            </w:pPr>
          </w:p>
        </w:tc>
        <w:tc>
          <w:tcPr>
            <w:tcW w:w="7143" w:type="dxa"/>
            <w:gridSpan w:val="2"/>
          </w:tcPr>
          <w:p w14:paraId="5A398CEA" w14:textId="77777777" w:rsidR="002A0810" w:rsidRPr="002A0810" w:rsidRDefault="002A0810" w:rsidP="002A0810">
            <w:pPr>
              <w:pStyle w:val="TableBlock"/>
              <w:rPr>
                <w:rFonts w:ascii="David" w:hAnsi="David"/>
              </w:rPr>
            </w:pPr>
            <w:r w:rsidRPr="002A0810">
              <w:rPr>
                <w:rFonts w:ascii="David" w:hAnsi="David"/>
                <w:rtl/>
              </w:rPr>
              <w:t xml:space="preserve">בחוק זה – </w:t>
            </w:r>
          </w:p>
        </w:tc>
      </w:tr>
      <w:tr w:rsidR="002A0810" w:rsidRPr="002A0810" w14:paraId="2B023F16" w14:textId="77777777" w:rsidTr="002A0810">
        <w:trPr>
          <w:cantSplit/>
        </w:trPr>
        <w:tc>
          <w:tcPr>
            <w:tcW w:w="1871" w:type="dxa"/>
          </w:tcPr>
          <w:p w14:paraId="624648B2" w14:textId="77777777" w:rsidR="002A0810" w:rsidRPr="002A0810" w:rsidDel="00D86EBE" w:rsidRDefault="002A0810" w:rsidP="00893EA8">
            <w:pPr>
              <w:pStyle w:val="TableSideHeading"/>
              <w:keepLines w:val="0"/>
              <w:rPr>
                <w:rFonts w:ascii="David" w:hAnsi="David"/>
                <w:rtl/>
              </w:rPr>
            </w:pPr>
          </w:p>
        </w:tc>
        <w:tc>
          <w:tcPr>
            <w:tcW w:w="624" w:type="dxa"/>
          </w:tcPr>
          <w:p w14:paraId="3D5FD0D2" w14:textId="77777777" w:rsidR="002A0810" w:rsidRPr="002A0810" w:rsidRDefault="002A0810" w:rsidP="00893EA8">
            <w:pPr>
              <w:pStyle w:val="TableText"/>
              <w:rPr>
                <w:rFonts w:ascii="David" w:hAnsi="David"/>
              </w:rPr>
            </w:pPr>
          </w:p>
        </w:tc>
        <w:tc>
          <w:tcPr>
            <w:tcW w:w="7143" w:type="dxa"/>
            <w:gridSpan w:val="2"/>
          </w:tcPr>
          <w:p w14:paraId="1FDAE14E" w14:textId="7998112C" w:rsidR="002A0810" w:rsidRPr="002A0810" w:rsidRDefault="002A0810" w:rsidP="008A788C">
            <w:pPr>
              <w:pStyle w:val="TableBlockOutdent"/>
              <w:rPr>
                <w:rFonts w:ascii="David" w:hAnsi="David"/>
                <w:rtl/>
              </w:rPr>
            </w:pPr>
            <w:r w:rsidRPr="002A0810">
              <w:rPr>
                <w:rFonts w:ascii="David" w:hAnsi="David"/>
                <w:rtl/>
              </w:rPr>
              <w:t xml:space="preserve">"אזור" – כהגדרתו בחוק להארכת תקפן של תקנות שעת חירום (יהודה והשומרון – שיפוט בעבירות ועזרה משפטית), </w:t>
            </w:r>
            <w:r w:rsidR="008A788C">
              <w:rPr>
                <w:rFonts w:ascii="David" w:hAnsi="David" w:hint="cs"/>
                <w:rtl/>
              </w:rPr>
              <w:t>ה</w:t>
            </w:r>
            <w:r w:rsidRPr="002A0810">
              <w:rPr>
                <w:rFonts w:ascii="David" w:hAnsi="David"/>
                <w:rtl/>
              </w:rPr>
              <w:t>תשכ"ז–1967</w:t>
            </w:r>
            <w:r w:rsidRPr="002A0810">
              <w:rPr>
                <w:rStyle w:val="a6"/>
                <w:rFonts w:ascii="David" w:hAnsi="David"/>
                <w:sz w:val="26"/>
                <w:rtl/>
              </w:rPr>
              <w:footnoteReference w:id="2"/>
            </w:r>
            <w:r w:rsidR="008A788C">
              <w:rPr>
                <w:rFonts w:ascii="David" w:hAnsi="David" w:hint="cs"/>
                <w:rtl/>
              </w:rPr>
              <w:t>;</w:t>
            </w:r>
          </w:p>
        </w:tc>
      </w:tr>
      <w:tr w:rsidR="002A0810" w:rsidRPr="002A0810" w14:paraId="1018A996" w14:textId="77777777" w:rsidTr="002A0810">
        <w:trPr>
          <w:cantSplit/>
        </w:trPr>
        <w:tc>
          <w:tcPr>
            <w:tcW w:w="1871" w:type="dxa"/>
          </w:tcPr>
          <w:p w14:paraId="103AE8FD" w14:textId="77777777" w:rsidR="002A0810" w:rsidRPr="002A0810" w:rsidDel="00D86EBE" w:rsidRDefault="002A0810" w:rsidP="00893EA8">
            <w:pPr>
              <w:pStyle w:val="TableSideHeading"/>
              <w:keepLines w:val="0"/>
              <w:rPr>
                <w:rFonts w:ascii="David" w:hAnsi="David"/>
                <w:rtl/>
              </w:rPr>
            </w:pPr>
          </w:p>
        </w:tc>
        <w:tc>
          <w:tcPr>
            <w:tcW w:w="624" w:type="dxa"/>
          </w:tcPr>
          <w:p w14:paraId="3F08FC04" w14:textId="77777777" w:rsidR="002A0810" w:rsidRPr="002A0810" w:rsidRDefault="002A0810" w:rsidP="00893EA8">
            <w:pPr>
              <w:pStyle w:val="TableText"/>
              <w:rPr>
                <w:rFonts w:ascii="David" w:hAnsi="David"/>
              </w:rPr>
            </w:pPr>
          </w:p>
        </w:tc>
        <w:tc>
          <w:tcPr>
            <w:tcW w:w="7143" w:type="dxa"/>
            <w:gridSpan w:val="2"/>
          </w:tcPr>
          <w:p w14:paraId="56B8F194" w14:textId="20C1E8D6" w:rsidR="002A0810" w:rsidRPr="002A0810" w:rsidRDefault="002A0810" w:rsidP="00A02E41">
            <w:pPr>
              <w:pStyle w:val="TableBlockOutdent"/>
              <w:rPr>
                <w:rFonts w:ascii="David" w:hAnsi="David"/>
                <w:rtl/>
              </w:rPr>
            </w:pPr>
            <w:r w:rsidRPr="002A0810">
              <w:rPr>
                <w:rFonts w:ascii="David" w:hAnsi="David"/>
                <w:rtl/>
              </w:rPr>
              <w:t>"בית משפט" – לרבות בית משפט צבאי כהגדרתו בתקנות ההגנה (שעת חירום)</w:t>
            </w:r>
            <w:r w:rsidRPr="002A0810">
              <w:rPr>
                <w:rStyle w:val="a6"/>
                <w:rFonts w:ascii="David" w:hAnsi="David"/>
                <w:sz w:val="26"/>
                <w:rtl/>
              </w:rPr>
              <w:footnoteReference w:id="3"/>
            </w:r>
            <w:r w:rsidRPr="002A0810">
              <w:rPr>
                <w:rFonts w:ascii="David" w:hAnsi="David"/>
                <w:rtl/>
              </w:rPr>
              <w:t xml:space="preserve"> ו</w:t>
            </w:r>
            <w:r w:rsidR="008A788C">
              <w:rPr>
                <w:rFonts w:ascii="David" w:hAnsi="David" w:hint="cs"/>
                <w:rtl/>
              </w:rPr>
              <w:t xml:space="preserve">בית משפט צבאי כהגדרתו </w:t>
            </w:r>
            <w:r w:rsidRPr="002A0810">
              <w:rPr>
                <w:rFonts w:ascii="David" w:hAnsi="David"/>
                <w:rtl/>
              </w:rPr>
              <w:t>ב</w:t>
            </w:r>
            <w:r w:rsidR="008A788C">
              <w:rPr>
                <w:rFonts w:ascii="David" w:hAnsi="David" w:hint="cs"/>
                <w:rtl/>
              </w:rPr>
              <w:t xml:space="preserve">חוק להארכת תקפן של </w:t>
            </w:r>
            <w:r w:rsidRPr="002A0810">
              <w:rPr>
                <w:rFonts w:ascii="David" w:hAnsi="David"/>
                <w:rtl/>
              </w:rPr>
              <w:t>תקנות שעת חירום (יהודה והשומרון – שיפוט בעבירות ועזרה משפטית)</w:t>
            </w:r>
            <w:r w:rsidR="008A788C">
              <w:rPr>
                <w:rFonts w:ascii="David" w:hAnsi="David" w:hint="cs"/>
                <w:rtl/>
              </w:rPr>
              <w:t>, התשכ"ז</w:t>
            </w:r>
            <w:r w:rsidR="008A788C">
              <w:rPr>
                <w:rFonts w:ascii="David" w:hAnsi="David" w:hint="eastAsia"/>
                <w:rtl/>
              </w:rPr>
              <w:t>–</w:t>
            </w:r>
            <w:r w:rsidR="008A788C">
              <w:rPr>
                <w:rFonts w:ascii="David" w:hAnsi="David" w:hint="cs"/>
                <w:rtl/>
              </w:rPr>
              <w:t>1967</w:t>
            </w:r>
            <w:r w:rsidRPr="002A0810">
              <w:rPr>
                <w:rFonts w:ascii="David" w:hAnsi="David"/>
                <w:rtl/>
              </w:rPr>
              <w:t>.</w:t>
            </w:r>
          </w:p>
        </w:tc>
      </w:tr>
      <w:tr w:rsidR="002A0810" w:rsidRPr="002A0810" w14:paraId="5F61594C" w14:textId="77777777" w:rsidTr="002A0810">
        <w:trPr>
          <w:cantSplit/>
        </w:trPr>
        <w:tc>
          <w:tcPr>
            <w:tcW w:w="1871" w:type="dxa"/>
          </w:tcPr>
          <w:p w14:paraId="5D728A4D" w14:textId="77777777" w:rsidR="002A0810" w:rsidRPr="002A0810" w:rsidRDefault="002A0810" w:rsidP="00893EA8">
            <w:pPr>
              <w:pStyle w:val="TableSideHeading"/>
              <w:keepLines w:val="0"/>
              <w:rPr>
                <w:rFonts w:ascii="David" w:hAnsi="David"/>
                <w:rtl/>
              </w:rPr>
            </w:pPr>
            <w:r w:rsidRPr="002A0810">
              <w:rPr>
                <w:rFonts w:ascii="David" w:hAnsi="David"/>
                <w:rtl/>
              </w:rPr>
              <w:br/>
            </w:r>
          </w:p>
        </w:tc>
        <w:tc>
          <w:tcPr>
            <w:tcW w:w="624" w:type="dxa"/>
          </w:tcPr>
          <w:p w14:paraId="0E30A6A2" w14:textId="77777777" w:rsidR="002A0810" w:rsidRPr="002A0810" w:rsidRDefault="002A0810" w:rsidP="00893EA8">
            <w:pPr>
              <w:pStyle w:val="TableText"/>
              <w:rPr>
                <w:rFonts w:ascii="David" w:hAnsi="David"/>
              </w:rPr>
            </w:pPr>
          </w:p>
        </w:tc>
        <w:tc>
          <w:tcPr>
            <w:tcW w:w="7143" w:type="dxa"/>
            <w:gridSpan w:val="2"/>
          </w:tcPr>
          <w:p w14:paraId="7B755596" w14:textId="77777777" w:rsidR="002A0810" w:rsidRPr="002A0810" w:rsidRDefault="002A0810" w:rsidP="002A0810">
            <w:pPr>
              <w:pStyle w:val="TableBlockOutdent"/>
              <w:rPr>
                <w:rFonts w:ascii="David" w:hAnsi="David"/>
                <w:rtl/>
              </w:rPr>
            </w:pPr>
            <w:r w:rsidRPr="002A0810">
              <w:rPr>
                <w:rFonts w:ascii="David" w:hAnsi="David"/>
                <w:rtl/>
              </w:rPr>
              <w:t>"מעורב טרור" – כל מי שבית משפט הטיל עליו אחריות בשל מעורבות או קשר לעבירה מהעבירות המפורטות להלן, ועל-כן חייבו בתשלום פיצוי כספי לקורבנות העבירה, גם אם מבצע העבירה נהרג במהלך ביצוע העבירה או במהלך ניסיון ביצועה:</w:t>
            </w:r>
          </w:p>
        </w:tc>
      </w:tr>
      <w:tr w:rsidR="002A0810" w:rsidRPr="002A0810" w14:paraId="59262D69" w14:textId="77777777" w:rsidTr="002A0810">
        <w:trPr>
          <w:cantSplit/>
        </w:trPr>
        <w:tc>
          <w:tcPr>
            <w:tcW w:w="1871" w:type="dxa"/>
          </w:tcPr>
          <w:p w14:paraId="34AB918D" w14:textId="77777777" w:rsidR="002A0810" w:rsidRPr="002A0810" w:rsidDel="00D86EBE" w:rsidRDefault="002A0810" w:rsidP="00893EA8">
            <w:pPr>
              <w:pStyle w:val="TableSideHeading"/>
              <w:keepLines w:val="0"/>
              <w:rPr>
                <w:rFonts w:ascii="David" w:hAnsi="David"/>
                <w:rtl/>
              </w:rPr>
            </w:pPr>
          </w:p>
        </w:tc>
        <w:tc>
          <w:tcPr>
            <w:tcW w:w="624" w:type="dxa"/>
          </w:tcPr>
          <w:p w14:paraId="34FB9901" w14:textId="77777777" w:rsidR="002A0810" w:rsidRPr="002A0810" w:rsidRDefault="002A0810" w:rsidP="00893EA8">
            <w:pPr>
              <w:pStyle w:val="TableText"/>
              <w:rPr>
                <w:rFonts w:ascii="David" w:hAnsi="David"/>
              </w:rPr>
            </w:pPr>
          </w:p>
        </w:tc>
        <w:tc>
          <w:tcPr>
            <w:tcW w:w="7143" w:type="dxa"/>
            <w:gridSpan w:val="2"/>
          </w:tcPr>
          <w:p w14:paraId="3329797B" w14:textId="7FA097F8" w:rsidR="002A0810" w:rsidRPr="002967E9" w:rsidRDefault="002A0810" w:rsidP="002967E9">
            <w:pPr>
              <w:pStyle w:val="TableBlock"/>
              <w:rPr>
                <w:rtl/>
              </w:rPr>
            </w:pPr>
            <w:r w:rsidRPr="002967E9">
              <w:rPr>
                <w:rtl/>
              </w:rPr>
              <w:t>(1)</w:t>
            </w:r>
            <w:r w:rsidRPr="002967E9">
              <w:rPr>
                <w:rtl/>
              </w:rPr>
              <w:tab/>
              <w:t>עבירה כהגדרתה בחוק המאבק בטרור, התשע״ו–2016</w:t>
            </w:r>
            <w:r w:rsidRPr="002967E9">
              <w:rPr>
                <w:vertAlign w:val="superscript"/>
                <w:rtl/>
              </w:rPr>
              <w:footnoteReference w:id="4"/>
            </w:r>
            <w:r w:rsidRPr="002967E9">
              <w:rPr>
                <w:rtl/>
              </w:rPr>
              <w:t>;</w:t>
            </w:r>
          </w:p>
        </w:tc>
      </w:tr>
      <w:tr w:rsidR="002A0810" w:rsidRPr="002A0810" w14:paraId="3DF892D6" w14:textId="77777777" w:rsidTr="002A0810">
        <w:trPr>
          <w:cantSplit/>
        </w:trPr>
        <w:tc>
          <w:tcPr>
            <w:tcW w:w="1871" w:type="dxa"/>
          </w:tcPr>
          <w:p w14:paraId="28A90B29" w14:textId="77777777" w:rsidR="002A0810" w:rsidRPr="002A0810" w:rsidDel="00D86EBE" w:rsidRDefault="002A0810" w:rsidP="00893EA8">
            <w:pPr>
              <w:pStyle w:val="TableSideHeading"/>
              <w:keepLines w:val="0"/>
              <w:rPr>
                <w:rFonts w:ascii="David" w:hAnsi="David"/>
                <w:rtl/>
              </w:rPr>
            </w:pPr>
          </w:p>
        </w:tc>
        <w:tc>
          <w:tcPr>
            <w:tcW w:w="624" w:type="dxa"/>
          </w:tcPr>
          <w:p w14:paraId="781DDA97" w14:textId="77777777" w:rsidR="002A0810" w:rsidRPr="002A0810" w:rsidRDefault="002A0810" w:rsidP="00893EA8">
            <w:pPr>
              <w:pStyle w:val="TableText"/>
              <w:rPr>
                <w:rFonts w:ascii="David" w:hAnsi="David"/>
              </w:rPr>
            </w:pPr>
          </w:p>
        </w:tc>
        <w:tc>
          <w:tcPr>
            <w:tcW w:w="7143" w:type="dxa"/>
            <w:gridSpan w:val="2"/>
          </w:tcPr>
          <w:p w14:paraId="2C57C3A0" w14:textId="2A9D3E45" w:rsidR="002A0810" w:rsidRPr="002967E9" w:rsidRDefault="002A0810" w:rsidP="002967E9">
            <w:pPr>
              <w:pStyle w:val="TableBlock"/>
              <w:rPr>
                <w:rtl/>
              </w:rPr>
            </w:pPr>
            <w:r w:rsidRPr="002967E9">
              <w:rPr>
                <w:rtl/>
              </w:rPr>
              <w:t>(2)</w:t>
            </w:r>
            <w:r w:rsidRPr="002967E9">
              <w:rPr>
                <w:rtl/>
              </w:rPr>
              <w:tab/>
              <w:t>עבירה לפי פקודת מניעת טרור, התש״ח</w:t>
            </w:r>
            <w:r w:rsidR="00F61B4F" w:rsidRPr="002967E9">
              <w:rPr>
                <w:rtl/>
              </w:rPr>
              <w:t>–</w:t>
            </w:r>
            <w:r w:rsidRPr="002967E9">
              <w:rPr>
                <w:rtl/>
              </w:rPr>
              <w:t>1948</w:t>
            </w:r>
            <w:r w:rsidRPr="002967E9">
              <w:rPr>
                <w:vertAlign w:val="superscript"/>
                <w:rtl/>
              </w:rPr>
              <w:footnoteReference w:id="5"/>
            </w:r>
            <w:r w:rsidRPr="002967E9">
              <w:rPr>
                <w:rtl/>
              </w:rPr>
              <w:t>, חוק איסור מימון טרור, התשס״ה</w:t>
            </w:r>
            <w:r w:rsidR="002967E9" w:rsidRPr="002967E9">
              <w:rPr>
                <w:rtl/>
              </w:rPr>
              <w:t>–</w:t>
            </w:r>
            <w:r w:rsidRPr="002967E9">
              <w:rPr>
                <w:rtl/>
              </w:rPr>
              <w:t>2005</w:t>
            </w:r>
            <w:r w:rsidRPr="002967E9">
              <w:rPr>
                <w:vertAlign w:val="superscript"/>
                <w:rtl/>
              </w:rPr>
              <w:footnoteReference w:id="6"/>
            </w:r>
            <w:r w:rsidRPr="002967E9">
              <w:rPr>
                <w:rtl/>
              </w:rPr>
              <w:t xml:space="preserve">, או </w:t>
            </w:r>
            <w:r w:rsidR="008A788C" w:rsidRPr="002967E9">
              <w:rPr>
                <w:rFonts w:hint="cs"/>
                <w:rtl/>
              </w:rPr>
              <w:t xml:space="preserve">תקנות 84 ו-85 </w:t>
            </w:r>
            <w:r w:rsidRPr="002967E9">
              <w:rPr>
                <w:rtl/>
              </w:rPr>
              <w:t>לתקנות ההגנה (שעת חירום), כנוסחם ערב ביטולם בחוק המאבק בטרור;</w:t>
            </w:r>
          </w:p>
        </w:tc>
      </w:tr>
      <w:tr w:rsidR="002A0810" w:rsidRPr="002A0810" w14:paraId="71325E88" w14:textId="77777777" w:rsidTr="002A0810">
        <w:trPr>
          <w:cantSplit/>
        </w:trPr>
        <w:tc>
          <w:tcPr>
            <w:tcW w:w="1871" w:type="dxa"/>
          </w:tcPr>
          <w:p w14:paraId="0426010D" w14:textId="77777777" w:rsidR="002A0810" w:rsidRPr="002A0810" w:rsidDel="00D86EBE" w:rsidRDefault="002A0810" w:rsidP="00893EA8">
            <w:pPr>
              <w:pStyle w:val="TableSideHeading"/>
              <w:keepLines w:val="0"/>
              <w:rPr>
                <w:rFonts w:ascii="David" w:hAnsi="David"/>
                <w:rtl/>
              </w:rPr>
            </w:pPr>
          </w:p>
        </w:tc>
        <w:tc>
          <w:tcPr>
            <w:tcW w:w="624" w:type="dxa"/>
          </w:tcPr>
          <w:p w14:paraId="4102F304" w14:textId="77777777" w:rsidR="002A0810" w:rsidRPr="002A0810" w:rsidRDefault="002A0810" w:rsidP="00893EA8">
            <w:pPr>
              <w:pStyle w:val="TableText"/>
              <w:rPr>
                <w:rFonts w:ascii="David" w:hAnsi="David"/>
              </w:rPr>
            </w:pPr>
          </w:p>
        </w:tc>
        <w:tc>
          <w:tcPr>
            <w:tcW w:w="7143" w:type="dxa"/>
            <w:gridSpan w:val="2"/>
          </w:tcPr>
          <w:p w14:paraId="2931A923" w14:textId="77777777" w:rsidR="002A0810" w:rsidRPr="002967E9" w:rsidRDefault="002A0810" w:rsidP="002967E9">
            <w:pPr>
              <w:pStyle w:val="TableBlock"/>
              <w:rPr>
                <w:rtl/>
              </w:rPr>
            </w:pPr>
            <w:r w:rsidRPr="002967E9">
              <w:rPr>
                <w:rtl/>
              </w:rPr>
              <w:t>(3)</w:t>
            </w:r>
            <w:r w:rsidRPr="002967E9">
              <w:rPr>
                <w:rtl/>
              </w:rPr>
              <w:tab/>
              <w:t>עבירה לפי חלק ג׳ בתקנות ההגנה (שעת חירום);</w:t>
            </w:r>
          </w:p>
        </w:tc>
      </w:tr>
      <w:tr w:rsidR="002A0810" w:rsidRPr="002A0810" w14:paraId="6BB4A6DC" w14:textId="77777777" w:rsidTr="002A0810">
        <w:trPr>
          <w:cantSplit/>
        </w:trPr>
        <w:tc>
          <w:tcPr>
            <w:tcW w:w="1871" w:type="dxa"/>
          </w:tcPr>
          <w:p w14:paraId="346177CD" w14:textId="06BCFCEE" w:rsidR="002A0810" w:rsidRPr="002A0810" w:rsidDel="00D86EBE" w:rsidRDefault="002A0810" w:rsidP="00A02E41">
            <w:pPr>
              <w:pStyle w:val="TableSideHeading"/>
              <w:keepLines w:val="0"/>
              <w:rPr>
                <w:rFonts w:ascii="David" w:hAnsi="David"/>
                <w:rtl/>
              </w:rPr>
            </w:pPr>
          </w:p>
        </w:tc>
        <w:tc>
          <w:tcPr>
            <w:tcW w:w="624" w:type="dxa"/>
          </w:tcPr>
          <w:p w14:paraId="1A3DB8A2" w14:textId="77777777" w:rsidR="002A0810" w:rsidRPr="002A0810" w:rsidRDefault="002A0810" w:rsidP="00893EA8">
            <w:pPr>
              <w:pStyle w:val="TableText"/>
              <w:rPr>
                <w:rFonts w:ascii="David" w:hAnsi="David"/>
              </w:rPr>
            </w:pPr>
          </w:p>
        </w:tc>
        <w:tc>
          <w:tcPr>
            <w:tcW w:w="7143" w:type="dxa"/>
            <w:gridSpan w:val="2"/>
          </w:tcPr>
          <w:p w14:paraId="4CE0EB6E" w14:textId="1E63B71A" w:rsidR="002A0810" w:rsidRPr="002967E9" w:rsidRDefault="002A0810" w:rsidP="002967E9">
            <w:pPr>
              <w:pStyle w:val="TableBlock"/>
              <w:tabs>
                <w:tab w:val="left" w:pos="624"/>
                <w:tab w:val="left" w:pos="1247"/>
              </w:tabs>
              <w:rPr>
                <w:rtl/>
              </w:rPr>
            </w:pPr>
            <w:r w:rsidRPr="002967E9">
              <w:rPr>
                <w:rtl/>
              </w:rPr>
              <w:t>(4)</w:t>
            </w:r>
            <w:r w:rsidRPr="002967E9">
              <w:rPr>
                <w:rtl/>
              </w:rPr>
              <w:tab/>
              <w:t xml:space="preserve">עבירה נגד ביטחון המדינה שנקבעה </w:t>
            </w:r>
            <w:r w:rsidR="008A788C" w:rsidRPr="002967E9">
              <w:rPr>
                <w:rFonts w:hint="cs"/>
                <w:rtl/>
              </w:rPr>
              <w:t>ב</w:t>
            </w:r>
            <w:r w:rsidR="008A788C" w:rsidRPr="002967E9">
              <w:rPr>
                <w:rtl/>
              </w:rPr>
              <w:t>צו בדבר הורא</w:t>
            </w:r>
            <w:r w:rsidR="008A788C" w:rsidRPr="002967E9">
              <w:rPr>
                <w:rFonts w:hint="cs"/>
                <w:rtl/>
              </w:rPr>
              <w:t>ו</w:t>
            </w:r>
            <w:r w:rsidR="008A788C" w:rsidRPr="002967E9">
              <w:rPr>
                <w:rtl/>
              </w:rPr>
              <w:t>ת ביטחון [נוסח משולב] (יהודה ושומרון)</w:t>
            </w:r>
            <w:r w:rsidR="002967E9">
              <w:rPr>
                <w:rFonts w:hint="cs"/>
                <w:rtl/>
              </w:rPr>
              <w:t xml:space="preserve"> </w:t>
            </w:r>
            <w:r w:rsidR="002967E9">
              <w:rPr>
                <w:rtl/>
              </w:rPr>
              <w:t>(מס' 1651),</w:t>
            </w:r>
            <w:r w:rsidR="002967E9">
              <w:rPr>
                <w:rFonts w:hint="cs"/>
                <w:rtl/>
              </w:rPr>
              <w:t xml:space="preserve"> </w:t>
            </w:r>
            <w:r w:rsidR="008A788C" w:rsidRPr="002967E9">
              <w:rPr>
                <w:rtl/>
              </w:rPr>
              <w:t>התש"ע</w:t>
            </w:r>
            <w:r w:rsidR="008A788C" w:rsidRPr="002967E9">
              <w:rPr>
                <w:rFonts w:hint="cs"/>
                <w:rtl/>
              </w:rPr>
              <w:t>–</w:t>
            </w:r>
            <w:r w:rsidR="008A788C" w:rsidRPr="002967E9">
              <w:rPr>
                <w:rtl/>
              </w:rPr>
              <w:t>2009</w:t>
            </w:r>
            <w:r w:rsidR="008A788C" w:rsidRPr="002967E9">
              <w:rPr>
                <w:vertAlign w:val="superscript"/>
                <w:rtl/>
              </w:rPr>
              <w:footnoteReference w:id="7"/>
            </w:r>
            <w:r w:rsidR="002967E9">
              <w:rPr>
                <w:rFonts w:hint="cs"/>
                <w:rtl/>
              </w:rPr>
              <w:t xml:space="preserve"> </w:t>
            </w:r>
            <w:r w:rsidR="008A788C" w:rsidRPr="002967E9">
              <w:rPr>
                <w:rFonts w:hint="cs"/>
                <w:rtl/>
              </w:rPr>
              <w:t>או</w:t>
            </w:r>
            <w:r w:rsidR="008A788C" w:rsidRPr="002967E9">
              <w:rPr>
                <w:rtl/>
              </w:rPr>
              <w:t xml:space="preserve"> </w:t>
            </w:r>
            <w:r w:rsidRPr="002967E9">
              <w:rPr>
                <w:rtl/>
              </w:rPr>
              <w:t>בצו אחר שהוציא המפקד הצבאי באזור</w:t>
            </w:r>
            <w:r w:rsidR="008A788C" w:rsidRPr="002967E9">
              <w:rPr>
                <w:rFonts w:hint="cs"/>
                <w:rtl/>
              </w:rPr>
              <w:t xml:space="preserve">, </w:t>
            </w:r>
            <w:r w:rsidR="008A788C" w:rsidRPr="002967E9">
              <w:rPr>
                <w:rFonts w:hint="eastAsia"/>
                <w:rtl/>
              </w:rPr>
              <w:t>וכן</w:t>
            </w:r>
            <w:r w:rsidRPr="002967E9">
              <w:rPr>
                <w:rtl/>
              </w:rPr>
              <w:t xml:space="preserve"> </w:t>
            </w:r>
            <w:r w:rsidR="008A788C" w:rsidRPr="002967E9">
              <w:rPr>
                <w:rFonts w:hint="eastAsia"/>
                <w:rtl/>
              </w:rPr>
              <w:t>בעבירה</w:t>
            </w:r>
            <w:r w:rsidR="008A788C" w:rsidRPr="002967E9">
              <w:rPr>
                <w:rtl/>
              </w:rPr>
              <w:t xml:space="preserve"> </w:t>
            </w:r>
            <w:r w:rsidR="008A788C" w:rsidRPr="002967E9">
              <w:rPr>
                <w:rFonts w:hint="eastAsia"/>
                <w:rtl/>
              </w:rPr>
              <w:t>כאמור</w:t>
            </w:r>
            <w:r w:rsidR="008A788C" w:rsidRPr="002967E9">
              <w:rPr>
                <w:rtl/>
              </w:rPr>
              <w:t xml:space="preserve"> </w:t>
            </w:r>
            <w:r w:rsidR="008A788C" w:rsidRPr="002967E9">
              <w:rPr>
                <w:rFonts w:hint="eastAsia"/>
                <w:rtl/>
              </w:rPr>
              <w:t>לפי</w:t>
            </w:r>
            <w:r w:rsidR="008A788C" w:rsidRPr="002967E9">
              <w:rPr>
                <w:rtl/>
              </w:rPr>
              <w:t xml:space="preserve"> </w:t>
            </w:r>
            <w:r w:rsidRPr="002967E9">
              <w:rPr>
                <w:rtl/>
              </w:rPr>
              <w:t xml:space="preserve">תקנות ההגנה (שעת חירום) </w:t>
            </w:r>
            <w:r w:rsidR="008A788C" w:rsidRPr="002967E9">
              <w:rPr>
                <w:rFonts w:hint="eastAsia"/>
                <w:rtl/>
              </w:rPr>
              <w:t>שנעברה</w:t>
            </w:r>
            <w:r w:rsidR="008A788C" w:rsidRPr="002967E9">
              <w:rPr>
                <w:rtl/>
              </w:rPr>
              <w:t xml:space="preserve"> </w:t>
            </w:r>
            <w:r w:rsidRPr="002967E9">
              <w:rPr>
                <w:rtl/>
              </w:rPr>
              <w:t>באזור;</w:t>
            </w:r>
          </w:p>
        </w:tc>
      </w:tr>
      <w:tr w:rsidR="008A788C" w:rsidRPr="002A0810" w14:paraId="11894613" w14:textId="77777777" w:rsidTr="0095745A">
        <w:trPr>
          <w:cantSplit/>
        </w:trPr>
        <w:tc>
          <w:tcPr>
            <w:tcW w:w="1871" w:type="dxa"/>
          </w:tcPr>
          <w:p w14:paraId="16F4ED16" w14:textId="77777777" w:rsidR="008A788C" w:rsidRPr="002A0810" w:rsidDel="00D86EBE" w:rsidRDefault="008A788C" w:rsidP="0095745A">
            <w:pPr>
              <w:pStyle w:val="TableSideHeading"/>
              <w:keepLines w:val="0"/>
              <w:rPr>
                <w:rFonts w:ascii="David" w:hAnsi="David"/>
                <w:rtl/>
              </w:rPr>
            </w:pPr>
          </w:p>
        </w:tc>
        <w:tc>
          <w:tcPr>
            <w:tcW w:w="624" w:type="dxa"/>
          </w:tcPr>
          <w:p w14:paraId="4D382F19" w14:textId="77777777" w:rsidR="008A788C" w:rsidRPr="002A0810" w:rsidRDefault="008A788C" w:rsidP="0095745A">
            <w:pPr>
              <w:pStyle w:val="TableText"/>
              <w:rPr>
                <w:rFonts w:ascii="David" w:hAnsi="David"/>
              </w:rPr>
            </w:pPr>
          </w:p>
        </w:tc>
        <w:tc>
          <w:tcPr>
            <w:tcW w:w="7143" w:type="dxa"/>
            <w:gridSpan w:val="2"/>
          </w:tcPr>
          <w:p w14:paraId="7F739E35" w14:textId="5A521341" w:rsidR="008A788C" w:rsidRPr="002A0810" w:rsidRDefault="008A788C" w:rsidP="0095745A">
            <w:pPr>
              <w:pStyle w:val="TableBlockOutdent"/>
              <w:rPr>
                <w:rFonts w:ascii="David" w:hAnsi="David"/>
                <w:rtl/>
              </w:rPr>
            </w:pPr>
            <w:r w:rsidRPr="002A0810">
              <w:rPr>
                <w:rFonts w:ascii="David" w:hAnsi="David"/>
                <w:rtl/>
              </w:rPr>
              <w:t>"המפקד הצבאי באזור" – מפקד כוחות צבא הגנה לישראל ביהודה והשומרון</w:t>
            </w:r>
            <w:r>
              <w:rPr>
                <w:rFonts w:ascii="David" w:hAnsi="David" w:hint="cs"/>
                <w:rtl/>
              </w:rPr>
              <w:t>;</w:t>
            </w:r>
          </w:p>
        </w:tc>
      </w:tr>
      <w:tr w:rsidR="002A0810" w:rsidRPr="002A0810" w14:paraId="2ADDEA6E" w14:textId="77777777" w:rsidTr="002A0810">
        <w:trPr>
          <w:cantSplit/>
        </w:trPr>
        <w:tc>
          <w:tcPr>
            <w:tcW w:w="1871" w:type="dxa"/>
          </w:tcPr>
          <w:p w14:paraId="0C724634" w14:textId="77777777" w:rsidR="002A0810" w:rsidRPr="008A788C" w:rsidRDefault="002A0810" w:rsidP="00893EA8">
            <w:pPr>
              <w:pStyle w:val="TableSideHeading"/>
              <w:rPr>
                <w:rFonts w:ascii="David" w:hAnsi="David"/>
              </w:rPr>
            </w:pPr>
          </w:p>
        </w:tc>
        <w:tc>
          <w:tcPr>
            <w:tcW w:w="624" w:type="dxa"/>
          </w:tcPr>
          <w:p w14:paraId="16FBEB2C" w14:textId="77777777" w:rsidR="002A0810" w:rsidRPr="002A0810" w:rsidRDefault="002A0810" w:rsidP="00893EA8">
            <w:pPr>
              <w:pStyle w:val="TableText"/>
              <w:rPr>
                <w:rFonts w:ascii="David" w:hAnsi="David"/>
              </w:rPr>
            </w:pPr>
          </w:p>
        </w:tc>
        <w:tc>
          <w:tcPr>
            <w:tcW w:w="7143" w:type="dxa"/>
            <w:gridSpan w:val="2"/>
          </w:tcPr>
          <w:p w14:paraId="5979A5E3" w14:textId="4AE46F41" w:rsidR="002A0810" w:rsidRPr="002A0810" w:rsidRDefault="002A0810" w:rsidP="002A0810">
            <w:pPr>
              <w:pStyle w:val="TableBlockOutdent"/>
              <w:rPr>
                <w:rFonts w:ascii="David" w:hAnsi="David"/>
              </w:rPr>
            </w:pPr>
            <w:r w:rsidRPr="002A0810">
              <w:rPr>
                <w:rFonts w:ascii="David" w:hAnsi="David"/>
                <w:rtl/>
              </w:rPr>
              <w:t>"קורבן טרור" – "נפגע" או "בן-משפחה של נפגע"</w:t>
            </w:r>
            <w:r w:rsidRPr="002A0810">
              <w:rPr>
                <w:rFonts w:ascii="David" w:hAnsi="David"/>
                <w:sz w:val="26"/>
                <w:rtl/>
              </w:rPr>
              <w:t xml:space="preserve"> כהגדרתם בחוק התגמולים לנפגעי פעולות איבה, התש"ל–1970</w:t>
            </w:r>
            <w:r w:rsidRPr="002A0810">
              <w:rPr>
                <w:rStyle w:val="a6"/>
                <w:rFonts w:ascii="David" w:hAnsi="David"/>
                <w:sz w:val="26"/>
                <w:rtl/>
              </w:rPr>
              <w:footnoteReference w:id="8"/>
            </w:r>
            <w:r w:rsidRPr="002A0810">
              <w:rPr>
                <w:rFonts w:ascii="David" w:hAnsi="David"/>
                <w:sz w:val="26"/>
                <w:rtl/>
              </w:rPr>
              <w:t>;</w:t>
            </w:r>
          </w:p>
        </w:tc>
      </w:tr>
      <w:tr w:rsidR="002A0810" w:rsidRPr="002A0810" w14:paraId="1E037AF5" w14:textId="77777777" w:rsidTr="002A0810">
        <w:trPr>
          <w:cantSplit/>
        </w:trPr>
        <w:tc>
          <w:tcPr>
            <w:tcW w:w="1871" w:type="dxa"/>
          </w:tcPr>
          <w:p w14:paraId="1E774632" w14:textId="77777777" w:rsidR="002A0810" w:rsidRPr="002A0810" w:rsidRDefault="002A0810" w:rsidP="00893EA8">
            <w:pPr>
              <w:pStyle w:val="TableSideHeading"/>
              <w:rPr>
                <w:rFonts w:ascii="David" w:hAnsi="David"/>
              </w:rPr>
            </w:pPr>
          </w:p>
        </w:tc>
        <w:tc>
          <w:tcPr>
            <w:tcW w:w="624" w:type="dxa"/>
          </w:tcPr>
          <w:p w14:paraId="60CCA389" w14:textId="77777777" w:rsidR="002A0810" w:rsidRPr="002A0810" w:rsidRDefault="002A0810" w:rsidP="00893EA8">
            <w:pPr>
              <w:pStyle w:val="TableText"/>
              <w:rPr>
                <w:rFonts w:ascii="David" w:hAnsi="David"/>
              </w:rPr>
            </w:pPr>
          </w:p>
        </w:tc>
        <w:tc>
          <w:tcPr>
            <w:tcW w:w="7143" w:type="dxa"/>
            <w:gridSpan w:val="2"/>
          </w:tcPr>
          <w:p w14:paraId="25AAA187" w14:textId="77777777" w:rsidR="002A0810" w:rsidRPr="002A0810" w:rsidRDefault="002A0810" w:rsidP="002A0810">
            <w:pPr>
              <w:pStyle w:val="TableBlockOutdent"/>
              <w:rPr>
                <w:rFonts w:ascii="David" w:hAnsi="David"/>
                <w:rtl/>
              </w:rPr>
            </w:pPr>
            <w:r w:rsidRPr="002A0810">
              <w:rPr>
                <w:rFonts w:ascii="David" w:hAnsi="David"/>
                <w:rtl/>
              </w:rPr>
              <w:t>"קנס" – לרבות הפרשי ריבית והצמדה כהגדרתם בחוק פסיקת ריבית והצמדה, התשכ"א–1961</w:t>
            </w:r>
            <w:r w:rsidRPr="002A0810">
              <w:rPr>
                <w:rStyle w:val="a6"/>
                <w:rFonts w:ascii="David" w:hAnsi="David"/>
                <w:sz w:val="26"/>
                <w:rtl/>
              </w:rPr>
              <w:footnoteReference w:id="9"/>
            </w:r>
            <w:r w:rsidRPr="002A0810">
              <w:rPr>
                <w:rFonts w:ascii="David" w:hAnsi="David"/>
                <w:rtl/>
              </w:rPr>
              <w:t>;</w:t>
            </w:r>
          </w:p>
        </w:tc>
      </w:tr>
      <w:tr w:rsidR="002A0810" w:rsidRPr="002A0810" w14:paraId="01EEE772" w14:textId="77777777" w:rsidTr="002A0810">
        <w:trPr>
          <w:cantSplit/>
        </w:trPr>
        <w:tc>
          <w:tcPr>
            <w:tcW w:w="1871" w:type="dxa"/>
          </w:tcPr>
          <w:p w14:paraId="0690C45A" w14:textId="77777777" w:rsidR="002A0810" w:rsidRPr="002A0810" w:rsidRDefault="002A0810" w:rsidP="00893EA8">
            <w:pPr>
              <w:pStyle w:val="TableSideHeading"/>
              <w:rPr>
                <w:rFonts w:ascii="David" w:hAnsi="David"/>
              </w:rPr>
            </w:pPr>
          </w:p>
        </w:tc>
        <w:tc>
          <w:tcPr>
            <w:tcW w:w="624" w:type="dxa"/>
          </w:tcPr>
          <w:p w14:paraId="7AC95EC6" w14:textId="77777777" w:rsidR="002A0810" w:rsidRPr="002A0810" w:rsidRDefault="002A0810" w:rsidP="00893EA8">
            <w:pPr>
              <w:pStyle w:val="TableText"/>
              <w:rPr>
                <w:rFonts w:ascii="David" w:hAnsi="David"/>
              </w:rPr>
            </w:pPr>
          </w:p>
        </w:tc>
        <w:tc>
          <w:tcPr>
            <w:tcW w:w="7143" w:type="dxa"/>
            <w:gridSpan w:val="2"/>
          </w:tcPr>
          <w:p w14:paraId="1A45C6F8" w14:textId="77777777" w:rsidR="002A0810" w:rsidRPr="002A0810" w:rsidRDefault="002A0810" w:rsidP="002A0810">
            <w:pPr>
              <w:pStyle w:val="TableBlockOutdent"/>
              <w:rPr>
                <w:rFonts w:ascii="David" w:hAnsi="David"/>
                <w:rtl/>
              </w:rPr>
            </w:pPr>
            <w:r w:rsidRPr="002A0810">
              <w:rPr>
                <w:rFonts w:ascii="David" w:hAnsi="David"/>
                <w:rtl/>
              </w:rPr>
              <w:t xml:space="preserve">"רכוש" – </w:t>
            </w:r>
            <w:r w:rsidRPr="002A0810">
              <w:rPr>
                <w:rFonts w:ascii="David" w:hAnsi="David"/>
                <w:sz w:val="26"/>
                <w:rtl/>
              </w:rPr>
              <w:t>מקרקעין, מיטלטלין, כספים או זכויות, לרבות רכוש שהוא תמורתו של רכוש כאמור, וכל רכוש שצמח או שבא מרכוש כאמור או מרווחיו</w:t>
            </w:r>
            <w:r w:rsidRPr="002A0810">
              <w:rPr>
                <w:rFonts w:ascii="David" w:hAnsi="David"/>
                <w:rtl/>
              </w:rPr>
              <w:t>;</w:t>
            </w:r>
          </w:p>
        </w:tc>
      </w:tr>
      <w:tr w:rsidR="002A0810" w:rsidRPr="002A0810" w14:paraId="589BAC75" w14:textId="77777777" w:rsidTr="002A0810">
        <w:trPr>
          <w:cantSplit/>
        </w:trPr>
        <w:tc>
          <w:tcPr>
            <w:tcW w:w="1871" w:type="dxa"/>
          </w:tcPr>
          <w:p w14:paraId="4531C19A" w14:textId="77777777" w:rsidR="002A0810" w:rsidRPr="002A0810" w:rsidRDefault="002A0810" w:rsidP="00893EA8">
            <w:pPr>
              <w:pStyle w:val="TableSideHeading"/>
              <w:rPr>
                <w:rFonts w:ascii="David" w:hAnsi="David"/>
              </w:rPr>
            </w:pPr>
          </w:p>
        </w:tc>
        <w:tc>
          <w:tcPr>
            <w:tcW w:w="624" w:type="dxa"/>
          </w:tcPr>
          <w:p w14:paraId="20DD0BD7" w14:textId="77777777" w:rsidR="002A0810" w:rsidRPr="002A0810" w:rsidRDefault="002A0810" w:rsidP="00893EA8">
            <w:pPr>
              <w:pStyle w:val="TableText"/>
              <w:rPr>
                <w:rFonts w:ascii="David" w:hAnsi="David"/>
              </w:rPr>
            </w:pPr>
          </w:p>
        </w:tc>
        <w:tc>
          <w:tcPr>
            <w:tcW w:w="7143" w:type="dxa"/>
            <w:gridSpan w:val="2"/>
          </w:tcPr>
          <w:p w14:paraId="5B1BE7E2" w14:textId="77777777" w:rsidR="002A0810" w:rsidRPr="002A0810" w:rsidRDefault="002A0810" w:rsidP="002A0810">
            <w:pPr>
              <w:pStyle w:val="TableBlockOutdent"/>
              <w:rPr>
                <w:rFonts w:ascii="David" w:hAnsi="David"/>
                <w:rtl/>
              </w:rPr>
            </w:pPr>
            <w:r w:rsidRPr="002A0810">
              <w:rPr>
                <w:rFonts w:ascii="David" w:hAnsi="David"/>
                <w:rtl/>
              </w:rPr>
              <w:t>"</w:t>
            </w:r>
            <w:r w:rsidRPr="002A0810">
              <w:rPr>
                <w:rFonts w:ascii="David" w:hAnsi="David"/>
                <w:sz w:val="26"/>
                <w:rtl/>
              </w:rPr>
              <w:t xml:space="preserve">רכוש בזיקה לטרור שחילטה המדינה" –אחד מאלה: </w:t>
            </w:r>
          </w:p>
        </w:tc>
      </w:tr>
      <w:tr w:rsidR="002A0810" w:rsidRPr="002A0810" w14:paraId="4E5E2450" w14:textId="77777777" w:rsidTr="002A0810">
        <w:trPr>
          <w:cantSplit/>
        </w:trPr>
        <w:tc>
          <w:tcPr>
            <w:tcW w:w="1871" w:type="dxa"/>
          </w:tcPr>
          <w:p w14:paraId="6733D8CC" w14:textId="77777777" w:rsidR="002A0810" w:rsidRPr="002A0810" w:rsidRDefault="002A0810" w:rsidP="00893EA8">
            <w:pPr>
              <w:pStyle w:val="TableSideHeading"/>
              <w:rPr>
                <w:rFonts w:ascii="David" w:hAnsi="David"/>
              </w:rPr>
            </w:pPr>
          </w:p>
        </w:tc>
        <w:tc>
          <w:tcPr>
            <w:tcW w:w="624" w:type="dxa"/>
          </w:tcPr>
          <w:p w14:paraId="4B10F136" w14:textId="77777777" w:rsidR="002A0810" w:rsidRPr="002A0810" w:rsidRDefault="002A0810" w:rsidP="00893EA8">
            <w:pPr>
              <w:pStyle w:val="TableText"/>
              <w:rPr>
                <w:rFonts w:ascii="David" w:hAnsi="David"/>
              </w:rPr>
            </w:pPr>
          </w:p>
        </w:tc>
        <w:tc>
          <w:tcPr>
            <w:tcW w:w="7143" w:type="dxa"/>
            <w:gridSpan w:val="2"/>
          </w:tcPr>
          <w:p w14:paraId="64027C0E" w14:textId="56F70EB5" w:rsidR="002A0810" w:rsidRPr="002967E9" w:rsidRDefault="002A0810" w:rsidP="002967E9">
            <w:pPr>
              <w:pStyle w:val="TableBlock"/>
              <w:tabs>
                <w:tab w:val="left" w:pos="624"/>
                <w:tab w:val="left" w:pos="1247"/>
              </w:tabs>
              <w:rPr>
                <w:rtl/>
              </w:rPr>
            </w:pPr>
            <w:r w:rsidRPr="002967E9">
              <w:rPr>
                <w:rtl/>
              </w:rPr>
              <w:t>(1)</w:t>
            </w:r>
            <w:r w:rsidRPr="002967E9">
              <w:rPr>
                <w:rtl/>
              </w:rPr>
              <w:tab/>
              <w:t>רכוש שחולט לפי פרק ד' בחוק המאבק בתכנית הגרעין של איראן, התשע"ב</w:t>
            </w:r>
            <w:r w:rsidR="00F61B4F" w:rsidRPr="002967E9">
              <w:rPr>
                <w:rtl/>
              </w:rPr>
              <w:t>–</w:t>
            </w:r>
            <w:r w:rsidRPr="002967E9">
              <w:rPr>
                <w:rtl/>
              </w:rPr>
              <w:t>2012</w:t>
            </w:r>
            <w:r w:rsidRPr="002967E9">
              <w:rPr>
                <w:vertAlign w:val="superscript"/>
                <w:rtl/>
              </w:rPr>
              <w:footnoteReference w:id="10"/>
            </w:r>
            <w:r w:rsidRPr="002967E9">
              <w:rPr>
                <w:rtl/>
              </w:rPr>
              <w:t>;</w:t>
            </w:r>
          </w:p>
        </w:tc>
      </w:tr>
      <w:tr w:rsidR="002A0810" w:rsidRPr="002A0810" w14:paraId="64469650" w14:textId="77777777" w:rsidTr="002A0810">
        <w:trPr>
          <w:cantSplit/>
        </w:trPr>
        <w:tc>
          <w:tcPr>
            <w:tcW w:w="1871" w:type="dxa"/>
          </w:tcPr>
          <w:p w14:paraId="0CA3FB3D" w14:textId="77777777" w:rsidR="002A0810" w:rsidRPr="002A0810" w:rsidRDefault="002A0810" w:rsidP="00893EA8">
            <w:pPr>
              <w:pStyle w:val="TableSideHeading"/>
              <w:rPr>
                <w:rFonts w:ascii="David" w:hAnsi="David"/>
              </w:rPr>
            </w:pPr>
          </w:p>
        </w:tc>
        <w:tc>
          <w:tcPr>
            <w:tcW w:w="624" w:type="dxa"/>
          </w:tcPr>
          <w:p w14:paraId="09EA1567" w14:textId="77777777" w:rsidR="002A0810" w:rsidRPr="002A0810" w:rsidRDefault="002A0810" w:rsidP="00893EA8">
            <w:pPr>
              <w:pStyle w:val="TableText"/>
              <w:rPr>
                <w:rFonts w:ascii="David" w:hAnsi="David"/>
              </w:rPr>
            </w:pPr>
          </w:p>
        </w:tc>
        <w:tc>
          <w:tcPr>
            <w:tcW w:w="7143" w:type="dxa"/>
            <w:gridSpan w:val="2"/>
          </w:tcPr>
          <w:p w14:paraId="7443B368" w14:textId="388CFA0A" w:rsidR="002A0810" w:rsidRPr="002967E9" w:rsidRDefault="002A0810" w:rsidP="002967E9">
            <w:pPr>
              <w:pStyle w:val="TableBlock"/>
              <w:rPr>
                <w:rtl/>
              </w:rPr>
            </w:pPr>
            <w:r w:rsidRPr="002967E9">
              <w:rPr>
                <w:rtl/>
              </w:rPr>
              <w:t>(2)</w:t>
            </w:r>
            <w:r w:rsidRPr="002967E9">
              <w:rPr>
                <w:rtl/>
              </w:rPr>
              <w:tab/>
              <w:t xml:space="preserve">רכוש שחולט לפי פרק ז' בחוק למניעת הפצה ומימון של נשק להשמדה המונית, </w:t>
            </w:r>
            <w:r w:rsidR="000739D8" w:rsidRPr="002967E9">
              <w:rPr>
                <w:rFonts w:hint="cs"/>
                <w:rtl/>
              </w:rPr>
              <w:t>ה</w:t>
            </w:r>
            <w:r w:rsidRPr="002967E9">
              <w:rPr>
                <w:rtl/>
              </w:rPr>
              <w:t>תשע"ח</w:t>
            </w:r>
            <w:r w:rsidR="000739D8" w:rsidRPr="002967E9">
              <w:rPr>
                <w:rFonts w:hint="cs"/>
                <w:rtl/>
              </w:rPr>
              <w:t>–</w:t>
            </w:r>
            <w:r w:rsidRPr="002967E9">
              <w:rPr>
                <w:rtl/>
              </w:rPr>
              <w:t>2018</w:t>
            </w:r>
            <w:r w:rsidRPr="002967E9">
              <w:rPr>
                <w:vertAlign w:val="superscript"/>
                <w:rtl/>
              </w:rPr>
              <w:footnoteReference w:id="11"/>
            </w:r>
            <w:r w:rsidRPr="002967E9">
              <w:rPr>
                <w:rtl/>
              </w:rPr>
              <w:t>;</w:t>
            </w:r>
          </w:p>
        </w:tc>
      </w:tr>
      <w:tr w:rsidR="002A0810" w:rsidRPr="002A0810" w14:paraId="5D51B400" w14:textId="77777777" w:rsidTr="002A0810">
        <w:trPr>
          <w:cantSplit/>
        </w:trPr>
        <w:tc>
          <w:tcPr>
            <w:tcW w:w="1871" w:type="dxa"/>
          </w:tcPr>
          <w:p w14:paraId="03016CE2" w14:textId="77777777" w:rsidR="002A0810" w:rsidRPr="002A0810" w:rsidRDefault="002A0810" w:rsidP="00893EA8">
            <w:pPr>
              <w:pStyle w:val="TableSideHeading"/>
              <w:rPr>
                <w:rFonts w:ascii="David" w:hAnsi="David"/>
              </w:rPr>
            </w:pPr>
          </w:p>
        </w:tc>
        <w:tc>
          <w:tcPr>
            <w:tcW w:w="624" w:type="dxa"/>
          </w:tcPr>
          <w:p w14:paraId="68BACA34" w14:textId="77777777" w:rsidR="002A0810" w:rsidRPr="002A0810" w:rsidRDefault="002A0810" w:rsidP="00893EA8">
            <w:pPr>
              <w:pStyle w:val="TableText"/>
              <w:rPr>
                <w:rFonts w:ascii="David" w:hAnsi="David"/>
              </w:rPr>
            </w:pPr>
          </w:p>
        </w:tc>
        <w:tc>
          <w:tcPr>
            <w:tcW w:w="7143" w:type="dxa"/>
            <w:gridSpan w:val="2"/>
          </w:tcPr>
          <w:p w14:paraId="60EC1E42" w14:textId="77777777" w:rsidR="002A0810" w:rsidRPr="002967E9" w:rsidRDefault="002A0810" w:rsidP="002967E9">
            <w:pPr>
              <w:pStyle w:val="TableBlock"/>
              <w:rPr>
                <w:rtl/>
              </w:rPr>
            </w:pPr>
            <w:r w:rsidRPr="002967E9">
              <w:rPr>
                <w:rtl/>
              </w:rPr>
              <w:t>(3)</w:t>
            </w:r>
            <w:r w:rsidRPr="002967E9">
              <w:rPr>
                <w:rtl/>
              </w:rPr>
              <w:tab/>
              <w:t>סכום קנס או עיצום כספי שהוטלו ושולמו או כספים שהוחרמו לפי פקודת המסחר עם האויב</w:t>
            </w:r>
            <w:r w:rsidRPr="002967E9">
              <w:rPr>
                <w:vertAlign w:val="superscript"/>
                <w:rtl/>
              </w:rPr>
              <w:footnoteReference w:id="12"/>
            </w:r>
            <w:r w:rsidRPr="002967E9">
              <w:rPr>
                <w:rtl/>
              </w:rPr>
              <w:t xml:space="preserve"> או הכנסה שנתקבלה מהשקעה כלשהי כאמור בסעיף 9 לפקודה האמורה;</w:t>
            </w:r>
          </w:p>
        </w:tc>
      </w:tr>
      <w:tr w:rsidR="002A0810" w:rsidRPr="002A0810" w14:paraId="3B39DB08" w14:textId="77777777" w:rsidTr="002A0810">
        <w:trPr>
          <w:cantSplit/>
        </w:trPr>
        <w:tc>
          <w:tcPr>
            <w:tcW w:w="1871" w:type="dxa"/>
          </w:tcPr>
          <w:p w14:paraId="22733EAA" w14:textId="77777777" w:rsidR="002A0810" w:rsidRPr="002A0810" w:rsidRDefault="002A0810" w:rsidP="00893EA8">
            <w:pPr>
              <w:pStyle w:val="TableSideHeading"/>
              <w:rPr>
                <w:rFonts w:ascii="David" w:hAnsi="David"/>
              </w:rPr>
            </w:pPr>
          </w:p>
        </w:tc>
        <w:tc>
          <w:tcPr>
            <w:tcW w:w="624" w:type="dxa"/>
          </w:tcPr>
          <w:p w14:paraId="3A37D15B" w14:textId="77777777" w:rsidR="002A0810" w:rsidRPr="002A0810" w:rsidRDefault="002A0810" w:rsidP="00893EA8">
            <w:pPr>
              <w:pStyle w:val="TableText"/>
              <w:rPr>
                <w:rFonts w:ascii="David" w:hAnsi="David"/>
              </w:rPr>
            </w:pPr>
          </w:p>
        </w:tc>
        <w:tc>
          <w:tcPr>
            <w:tcW w:w="7143" w:type="dxa"/>
            <w:gridSpan w:val="2"/>
          </w:tcPr>
          <w:p w14:paraId="0A67627C" w14:textId="63B59A0A" w:rsidR="002A0810" w:rsidRPr="002967E9" w:rsidRDefault="002A0810" w:rsidP="002967E9">
            <w:pPr>
              <w:pStyle w:val="TableBlock"/>
              <w:rPr>
                <w:rtl/>
              </w:rPr>
            </w:pPr>
            <w:r w:rsidRPr="002967E9">
              <w:rPr>
                <w:rtl/>
              </w:rPr>
              <w:t>(4)</w:t>
            </w:r>
            <w:r w:rsidRPr="002967E9">
              <w:rPr>
                <w:rtl/>
              </w:rPr>
              <w:tab/>
              <w:t>רכוש שחולט לפי סעיף 65 לצו בדבר הוראת ביטחון [נוסח משולב] (יהודה ושומרון)(מס' 1651), התש"ע</w:t>
            </w:r>
            <w:r w:rsidR="000739D8" w:rsidRPr="002967E9">
              <w:rPr>
                <w:rFonts w:hint="cs"/>
                <w:rtl/>
              </w:rPr>
              <w:t>–</w:t>
            </w:r>
            <w:r w:rsidRPr="002967E9">
              <w:rPr>
                <w:rtl/>
              </w:rPr>
              <w:t>2009</w:t>
            </w:r>
            <w:r w:rsidRPr="002967E9">
              <w:rPr>
                <w:vertAlign w:val="superscript"/>
                <w:rtl/>
              </w:rPr>
              <w:footnoteReference w:id="13"/>
            </w:r>
            <w:r w:rsidRPr="002967E9">
              <w:rPr>
                <w:rtl/>
              </w:rPr>
              <w:t xml:space="preserve"> וכן קנס או עיצום כספי שהוטלו ושולמו </w:t>
            </w:r>
            <w:r w:rsidR="000739D8" w:rsidRPr="002967E9">
              <w:rPr>
                <w:rFonts w:hint="cs"/>
                <w:rtl/>
              </w:rPr>
              <w:t>לפי</w:t>
            </w:r>
            <w:r w:rsidR="000739D8" w:rsidRPr="002967E9">
              <w:rPr>
                <w:rtl/>
              </w:rPr>
              <w:t xml:space="preserve"> </w:t>
            </w:r>
            <w:r w:rsidRPr="002967E9">
              <w:rPr>
                <w:rtl/>
              </w:rPr>
              <w:t>סעיף 173 לצו האמור.</w:t>
            </w:r>
          </w:p>
        </w:tc>
      </w:tr>
      <w:tr w:rsidR="002A0810" w:rsidRPr="002A0810" w14:paraId="51A60732" w14:textId="77777777" w:rsidTr="002A0810">
        <w:trPr>
          <w:cantSplit/>
        </w:trPr>
        <w:tc>
          <w:tcPr>
            <w:tcW w:w="1871" w:type="dxa"/>
          </w:tcPr>
          <w:p w14:paraId="35948D49" w14:textId="77777777" w:rsidR="002A0810" w:rsidRPr="002A0810" w:rsidDel="00D86EBE" w:rsidRDefault="002A0810" w:rsidP="00893EA8">
            <w:pPr>
              <w:pStyle w:val="TableSideHeading"/>
              <w:rPr>
                <w:rFonts w:ascii="David" w:hAnsi="David"/>
                <w:rtl/>
              </w:rPr>
            </w:pPr>
          </w:p>
        </w:tc>
        <w:tc>
          <w:tcPr>
            <w:tcW w:w="624" w:type="dxa"/>
          </w:tcPr>
          <w:p w14:paraId="1EFCF905" w14:textId="77777777" w:rsidR="002A0810" w:rsidRPr="002A0810" w:rsidRDefault="002A0810" w:rsidP="00893EA8">
            <w:pPr>
              <w:pStyle w:val="TableText"/>
              <w:rPr>
                <w:rFonts w:ascii="David" w:hAnsi="David"/>
              </w:rPr>
            </w:pPr>
          </w:p>
        </w:tc>
        <w:tc>
          <w:tcPr>
            <w:tcW w:w="7143" w:type="dxa"/>
            <w:gridSpan w:val="2"/>
          </w:tcPr>
          <w:p w14:paraId="69EA03F0" w14:textId="55EC8EEF" w:rsidR="002A0810" w:rsidRPr="002967E9" w:rsidRDefault="002A0810" w:rsidP="002967E9">
            <w:pPr>
              <w:pStyle w:val="TableBlock"/>
              <w:tabs>
                <w:tab w:val="left" w:pos="624"/>
                <w:tab w:val="left" w:pos="1247"/>
              </w:tabs>
              <w:rPr>
                <w:rtl/>
              </w:rPr>
            </w:pPr>
            <w:r w:rsidRPr="002967E9">
              <w:rPr>
                <w:rtl/>
              </w:rPr>
              <w:t>(5)</w:t>
            </w:r>
            <w:r w:rsidRPr="002967E9">
              <w:rPr>
                <w:rtl/>
              </w:rPr>
              <w:tab/>
              <w:t>רכוש שחולט כאמור בפרק ה' לחוק המאבק בטרור, התשע"ו–2016</w:t>
            </w:r>
            <w:r w:rsidRPr="002967E9">
              <w:rPr>
                <w:vertAlign w:val="superscript"/>
                <w:rtl/>
              </w:rPr>
              <w:footnoteReference w:id="14"/>
            </w:r>
            <w:r w:rsidRPr="002967E9">
              <w:rPr>
                <w:vertAlign w:val="superscript"/>
                <w:rtl/>
              </w:rPr>
              <w:t xml:space="preserve"> </w:t>
            </w:r>
            <w:r w:rsidRPr="002967E9">
              <w:rPr>
                <w:rtl/>
              </w:rPr>
              <w:t xml:space="preserve">וכן קנס או עיצום כספי שהוטלו ושולמו </w:t>
            </w:r>
            <w:r w:rsidR="000739D8" w:rsidRPr="002967E9">
              <w:rPr>
                <w:rFonts w:hint="cs"/>
                <w:rtl/>
              </w:rPr>
              <w:t>לפי</w:t>
            </w:r>
            <w:r w:rsidR="000739D8" w:rsidRPr="002967E9">
              <w:rPr>
                <w:rtl/>
              </w:rPr>
              <w:t xml:space="preserve"> </w:t>
            </w:r>
            <w:r w:rsidRPr="002967E9">
              <w:rPr>
                <w:rtl/>
              </w:rPr>
              <w:t>פרק ג׳ או סעיף 95 לחוק האמור;</w:t>
            </w:r>
          </w:p>
        </w:tc>
      </w:tr>
      <w:tr w:rsidR="002A0810" w:rsidRPr="002A0810" w14:paraId="7ADF86E9" w14:textId="77777777" w:rsidTr="002A0810">
        <w:trPr>
          <w:cantSplit/>
        </w:trPr>
        <w:tc>
          <w:tcPr>
            <w:tcW w:w="1871" w:type="dxa"/>
          </w:tcPr>
          <w:p w14:paraId="696EF06A" w14:textId="3B957246" w:rsidR="002A0810" w:rsidRPr="00A02E41" w:rsidDel="005262C2" w:rsidRDefault="002A0810" w:rsidP="00A02E41">
            <w:pPr>
              <w:pStyle w:val="TableSideHeading"/>
              <w:rPr>
                <w:rFonts w:ascii="David" w:hAnsi="David"/>
                <w:highlight w:val="yellow"/>
                <w:rtl/>
              </w:rPr>
            </w:pPr>
          </w:p>
        </w:tc>
        <w:tc>
          <w:tcPr>
            <w:tcW w:w="624" w:type="dxa"/>
          </w:tcPr>
          <w:p w14:paraId="6009F7E2" w14:textId="77777777" w:rsidR="002A0810" w:rsidRPr="002A0810" w:rsidRDefault="002A0810" w:rsidP="00893EA8">
            <w:pPr>
              <w:pStyle w:val="TableText"/>
              <w:rPr>
                <w:rFonts w:ascii="David" w:hAnsi="David"/>
              </w:rPr>
            </w:pPr>
          </w:p>
        </w:tc>
        <w:tc>
          <w:tcPr>
            <w:tcW w:w="7143" w:type="dxa"/>
            <w:gridSpan w:val="2"/>
          </w:tcPr>
          <w:p w14:paraId="79779016" w14:textId="6F344DB3" w:rsidR="002A0810" w:rsidRPr="002967E9" w:rsidRDefault="002A0810" w:rsidP="002967E9">
            <w:pPr>
              <w:pStyle w:val="TableBlock"/>
              <w:rPr>
                <w:rtl/>
              </w:rPr>
            </w:pPr>
            <w:r w:rsidRPr="002967E9">
              <w:rPr>
                <w:rtl/>
              </w:rPr>
              <w:t>(6)</w:t>
            </w:r>
            <w:r w:rsidRPr="002967E9">
              <w:rPr>
                <w:rtl/>
              </w:rPr>
              <w:tab/>
              <w:t xml:space="preserve">רכוש </w:t>
            </w:r>
            <w:r w:rsidR="000739D8" w:rsidRPr="002967E9">
              <w:rPr>
                <w:rFonts w:hint="cs"/>
                <w:rtl/>
              </w:rPr>
              <w:t>שהוחרם לפי</w:t>
            </w:r>
            <w:r w:rsidRPr="002967E9">
              <w:rPr>
                <w:rtl/>
              </w:rPr>
              <w:t xml:space="preserve"> תקנה 74 לתקנות ההגנה (שעת חירום), 1945.</w:t>
            </w:r>
          </w:p>
        </w:tc>
      </w:tr>
      <w:tr w:rsidR="002A0810" w:rsidRPr="002A0810" w14:paraId="4F219EB0" w14:textId="77777777" w:rsidTr="002A0810">
        <w:trPr>
          <w:cantSplit/>
        </w:trPr>
        <w:tc>
          <w:tcPr>
            <w:tcW w:w="1871" w:type="dxa"/>
          </w:tcPr>
          <w:p w14:paraId="6C47A0A3" w14:textId="77777777" w:rsidR="002A0810" w:rsidRPr="002A0810" w:rsidRDefault="002A0810" w:rsidP="00893EA8">
            <w:pPr>
              <w:pStyle w:val="TableSideHeading"/>
              <w:keepLines w:val="0"/>
              <w:rPr>
                <w:rFonts w:ascii="David" w:hAnsi="David"/>
                <w:sz w:val="26"/>
              </w:rPr>
            </w:pPr>
            <w:r w:rsidRPr="002A0810">
              <w:rPr>
                <w:rFonts w:ascii="David" w:hAnsi="David"/>
                <w:sz w:val="26"/>
                <w:rtl/>
              </w:rPr>
              <w:t>קרן לניהול וחלוקת כספים שחילטה המדינה בזיקה לטרור</w:t>
            </w:r>
          </w:p>
        </w:tc>
        <w:tc>
          <w:tcPr>
            <w:tcW w:w="624" w:type="dxa"/>
          </w:tcPr>
          <w:p w14:paraId="12EA8122" w14:textId="77777777" w:rsidR="002A0810" w:rsidRPr="002A0810" w:rsidRDefault="002A0810" w:rsidP="00893EA8">
            <w:pPr>
              <w:pStyle w:val="TableText"/>
              <w:rPr>
                <w:rFonts w:ascii="David" w:hAnsi="David"/>
              </w:rPr>
            </w:pPr>
            <w:r w:rsidRPr="002A0810">
              <w:rPr>
                <w:rFonts w:ascii="David" w:hAnsi="David"/>
                <w:rtl/>
              </w:rPr>
              <w:t>2.</w:t>
            </w:r>
          </w:p>
        </w:tc>
        <w:tc>
          <w:tcPr>
            <w:tcW w:w="7143" w:type="dxa"/>
            <w:gridSpan w:val="2"/>
          </w:tcPr>
          <w:p w14:paraId="4968A8D4" w14:textId="77777777" w:rsidR="002A0810" w:rsidRPr="002A0810" w:rsidRDefault="002A0810" w:rsidP="002A0810">
            <w:pPr>
              <w:pStyle w:val="TableBlock"/>
            </w:pPr>
            <w:r w:rsidRPr="002A0810">
              <w:rPr>
                <w:rtl/>
              </w:rPr>
              <w:t>(א)</w:t>
            </w:r>
            <w:r w:rsidRPr="002A0810">
              <w:rPr>
                <w:rtl/>
              </w:rPr>
              <w:tab/>
              <w:t>שר המשפטים יקים קרן לניהול רכוש בזיקה לטרור שחילטה המדינה; הרכוש שיצטבר בקרן יחולק בין קורבנות טרור שאין באפשרותם הסבירה לממש פסק דין חלוט, כולו או חלקו, המעניק להם סעד כספי נגד מעורבי טרור שפגעו בהם.</w:t>
            </w:r>
          </w:p>
        </w:tc>
      </w:tr>
      <w:tr w:rsidR="002A0810" w:rsidRPr="002A0810" w14:paraId="4353F145" w14:textId="77777777" w:rsidTr="002A0810">
        <w:trPr>
          <w:cantSplit/>
        </w:trPr>
        <w:tc>
          <w:tcPr>
            <w:tcW w:w="1871" w:type="dxa"/>
          </w:tcPr>
          <w:p w14:paraId="57D19F53" w14:textId="77777777" w:rsidR="002A0810" w:rsidRPr="002A0810" w:rsidRDefault="002A0810" w:rsidP="00893EA8">
            <w:pPr>
              <w:pStyle w:val="TableSideHeading"/>
              <w:keepLines w:val="0"/>
              <w:rPr>
                <w:rFonts w:ascii="David" w:hAnsi="David"/>
                <w:sz w:val="26"/>
                <w:rtl/>
              </w:rPr>
            </w:pPr>
          </w:p>
        </w:tc>
        <w:tc>
          <w:tcPr>
            <w:tcW w:w="624" w:type="dxa"/>
          </w:tcPr>
          <w:p w14:paraId="1FDA27BE" w14:textId="77777777" w:rsidR="002A0810" w:rsidRPr="002A0810" w:rsidRDefault="002A0810" w:rsidP="00893EA8">
            <w:pPr>
              <w:pStyle w:val="TableText"/>
              <w:rPr>
                <w:rFonts w:ascii="David" w:hAnsi="David"/>
                <w:rtl/>
              </w:rPr>
            </w:pPr>
          </w:p>
        </w:tc>
        <w:tc>
          <w:tcPr>
            <w:tcW w:w="7143" w:type="dxa"/>
            <w:gridSpan w:val="2"/>
          </w:tcPr>
          <w:p w14:paraId="0F336FC7" w14:textId="77777777" w:rsidR="002A0810" w:rsidRPr="002A0810" w:rsidRDefault="002A0810" w:rsidP="002A0810">
            <w:pPr>
              <w:pStyle w:val="TableBlock"/>
              <w:rPr>
                <w:rtl/>
              </w:rPr>
            </w:pPr>
            <w:r w:rsidRPr="002A0810">
              <w:rPr>
                <w:rtl/>
              </w:rPr>
              <w:t>(ב)</w:t>
            </w:r>
            <w:r w:rsidRPr="002A0810">
              <w:rPr>
                <w:rtl/>
              </w:rPr>
              <w:tab/>
              <w:t>הקרן תנוהל בידי האפוטרופוס הכללי ובהתאם להוראות חוק האפוטרופוס הכללי, התשל"ח–1978</w:t>
            </w:r>
            <w:r w:rsidRPr="002A0810">
              <w:rPr>
                <w:rFonts w:ascii="David" w:hAnsi="David"/>
                <w:sz w:val="26"/>
                <w:vertAlign w:val="superscript"/>
                <w:rtl/>
              </w:rPr>
              <w:footnoteReference w:id="15"/>
            </w:r>
            <w:r w:rsidRPr="002A0810">
              <w:rPr>
                <w:rtl/>
              </w:rPr>
              <w:t>.</w:t>
            </w:r>
          </w:p>
        </w:tc>
      </w:tr>
      <w:tr w:rsidR="002A0810" w:rsidRPr="002A0810" w14:paraId="3E92A431" w14:textId="77777777" w:rsidTr="002A0810">
        <w:trPr>
          <w:cantSplit/>
        </w:trPr>
        <w:tc>
          <w:tcPr>
            <w:tcW w:w="1871" w:type="dxa"/>
          </w:tcPr>
          <w:p w14:paraId="065BC4F4" w14:textId="77777777" w:rsidR="002A0810" w:rsidRPr="002A0810" w:rsidRDefault="002A0810" w:rsidP="00893EA8">
            <w:pPr>
              <w:pStyle w:val="TableSideHeading"/>
              <w:keepLines w:val="0"/>
              <w:rPr>
                <w:rFonts w:ascii="David" w:hAnsi="David"/>
                <w:sz w:val="26"/>
                <w:rtl/>
              </w:rPr>
            </w:pPr>
          </w:p>
        </w:tc>
        <w:tc>
          <w:tcPr>
            <w:tcW w:w="624" w:type="dxa"/>
          </w:tcPr>
          <w:p w14:paraId="099F72CD" w14:textId="77777777" w:rsidR="002A0810" w:rsidRPr="002A0810" w:rsidRDefault="002A0810" w:rsidP="00893EA8">
            <w:pPr>
              <w:pStyle w:val="TableText"/>
              <w:rPr>
                <w:rFonts w:ascii="David" w:hAnsi="David"/>
                <w:rtl/>
              </w:rPr>
            </w:pPr>
          </w:p>
        </w:tc>
        <w:tc>
          <w:tcPr>
            <w:tcW w:w="7143" w:type="dxa"/>
            <w:gridSpan w:val="2"/>
          </w:tcPr>
          <w:p w14:paraId="4503D1C1" w14:textId="77777777" w:rsidR="002A0810" w:rsidRPr="002A0810" w:rsidRDefault="002A0810" w:rsidP="002A0810">
            <w:pPr>
              <w:pStyle w:val="TableBlock"/>
              <w:rPr>
                <w:rtl/>
              </w:rPr>
            </w:pPr>
            <w:r w:rsidRPr="002A0810">
              <w:rPr>
                <w:rtl/>
              </w:rPr>
              <w:t>(ג)</w:t>
            </w:r>
            <w:r w:rsidRPr="002A0810">
              <w:rPr>
                <w:rtl/>
              </w:rPr>
              <w:tab/>
              <w:t>כספי הקרן יחולקו על פי החלטות ועדת הקרן, לפי הוראות סעיף 4.</w:t>
            </w:r>
          </w:p>
        </w:tc>
      </w:tr>
      <w:tr w:rsidR="002A0810" w:rsidRPr="002A0810" w14:paraId="5AD2D835" w14:textId="77777777" w:rsidTr="002A0810">
        <w:trPr>
          <w:cantSplit/>
        </w:trPr>
        <w:tc>
          <w:tcPr>
            <w:tcW w:w="1871" w:type="dxa"/>
          </w:tcPr>
          <w:p w14:paraId="1AB1C5CB" w14:textId="77777777" w:rsidR="002A0810" w:rsidRPr="002A0810" w:rsidRDefault="002A0810" w:rsidP="00893EA8">
            <w:pPr>
              <w:pStyle w:val="TableSideHeading"/>
              <w:keepLines w:val="0"/>
              <w:rPr>
                <w:rFonts w:ascii="David" w:hAnsi="David"/>
                <w:sz w:val="26"/>
                <w:rtl/>
              </w:rPr>
            </w:pPr>
            <w:r w:rsidRPr="002A0810">
              <w:rPr>
                <w:rFonts w:ascii="David" w:hAnsi="David"/>
                <w:sz w:val="26"/>
                <w:rtl/>
              </w:rPr>
              <w:t>ועדת הקרן</w:t>
            </w:r>
          </w:p>
        </w:tc>
        <w:tc>
          <w:tcPr>
            <w:tcW w:w="624" w:type="dxa"/>
          </w:tcPr>
          <w:p w14:paraId="30FDB5FE" w14:textId="77777777" w:rsidR="002A0810" w:rsidRPr="002A0810" w:rsidRDefault="002A0810" w:rsidP="00893EA8">
            <w:pPr>
              <w:pStyle w:val="TableText"/>
              <w:rPr>
                <w:rFonts w:ascii="David" w:hAnsi="David"/>
                <w:rtl/>
              </w:rPr>
            </w:pPr>
            <w:r w:rsidRPr="002A0810">
              <w:rPr>
                <w:rFonts w:ascii="David" w:hAnsi="David"/>
                <w:rtl/>
              </w:rPr>
              <w:t>3.</w:t>
            </w:r>
          </w:p>
        </w:tc>
        <w:tc>
          <w:tcPr>
            <w:tcW w:w="7143" w:type="dxa"/>
            <w:gridSpan w:val="2"/>
          </w:tcPr>
          <w:p w14:paraId="103BA26D" w14:textId="77777777" w:rsidR="002A0810" w:rsidRPr="002A0810" w:rsidRDefault="002A0810" w:rsidP="002A0810">
            <w:pPr>
              <w:pStyle w:val="TableBlock"/>
              <w:rPr>
                <w:rtl/>
              </w:rPr>
            </w:pPr>
            <w:r w:rsidRPr="002A0810">
              <w:rPr>
                <w:rtl/>
              </w:rPr>
              <w:t>(א)</w:t>
            </w:r>
            <w:r w:rsidRPr="002A0810">
              <w:rPr>
                <w:rtl/>
              </w:rPr>
              <w:tab/>
              <w:t>שר המשפטים ימנה את ועדת הקרן, ואלה יהיו חבריה:</w:t>
            </w:r>
          </w:p>
        </w:tc>
      </w:tr>
      <w:tr w:rsidR="002A0810" w:rsidRPr="002A0810" w14:paraId="79583C28" w14:textId="77777777" w:rsidTr="002A0810">
        <w:trPr>
          <w:cantSplit/>
        </w:trPr>
        <w:tc>
          <w:tcPr>
            <w:tcW w:w="1871" w:type="dxa"/>
          </w:tcPr>
          <w:p w14:paraId="65BD5453" w14:textId="77777777" w:rsidR="002A0810" w:rsidRPr="002A0810" w:rsidRDefault="002A0810" w:rsidP="00893EA8">
            <w:pPr>
              <w:pStyle w:val="TableSideHeading"/>
              <w:rPr>
                <w:rFonts w:ascii="David" w:hAnsi="David"/>
              </w:rPr>
            </w:pPr>
          </w:p>
        </w:tc>
        <w:tc>
          <w:tcPr>
            <w:tcW w:w="624" w:type="dxa"/>
          </w:tcPr>
          <w:p w14:paraId="2B58E3A6" w14:textId="77777777" w:rsidR="002A0810" w:rsidRPr="002A0810" w:rsidRDefault="002A0810" w:rsidP="00893EA8">
            <w:pPr>
              <w:pStyle w:val="TableText"/>
              <w:rPr>
                <w:rFonts w:ascii="David" w:hAnsi="David"/>
              </w:rPr>
            </w:pPr>
          </w:p>
        </w:tc>
        <w:tc>
          <w:tcPr>
            <w:tcW w:w="624" w:type="dxa"/>
          </w:tcPr>
          <w:p w14:paraId="0C221593" w14:textId="77777777" w:rsidR="002A0810" w:rsidRPr="002A0810" w:rsidRDefault="002A0810" w:rsidP="00893EA8">
            <w:pPr>
              <w:pStyle w:val="TableText"/>
              <w:rPr>
                <w:rFonts w:ascii="David" w:hAnsi="David"/>
              </w:rPr>
            </w:pPr>
          </w:p>
        </w:tc>
        <w:tc>
          <w:tcPr>
            <w:tcW w:w="6519" w:type="dxa"/>
          </w:tcPr>
          <w:p w14:paraId="12A259B5" w14:textId="77777777" w:rsidR="002A0810" w:rsidRPr="002A0810" w:rsidRDefault="002A0810" w:rsidP="002A0810">
            <w:pPr>
              <w:pStyle w:val="TableBlock"/>
              <w:rPr>
                <w:rFonts w:ascii="David" w:hAnsi="David"/>
              </w:rPr>
            </w:pPr>
            <w:r w:rsidRPr="002A0810">
              <w:rPr>
                <w:rFonts w:ascii="David" w:hAnsi="David"/>
                <w:rtl/>
              </w:rPr>
              <w:t>(1)</w:t>
            </w:r>
            <w:r w:rsidRPr="002A0810">
              <w:rPr>
                <w:rFonts w:ascii="David" w:hAnsi="David"/>
                <w:rtl/>
              </w:rPr>
              <w:tab/>
            </w:r>
            <w:r w:rsidRPr="002A0810">
              <w:rPr>
                <w:rFonts w:ascii="David" w:hAnsi="David"/>
                <w:sz w:val="26"/>
                <w:rtl/>
              </w:rPr>
              <w:t>אדם הכשיר לשמש שופט של בית משפט מחוזי, שאינו עובד המדינה, והוא יהיה יושב הראש;</w:t>
            </w:r>
          </w:p>
        </w:tc>
      </w:tr>
      <w:tr w:rsidR="002A0810" w:rsidRPr="002A0810" w14:paraId="7EE5CC8D" w14:textId="77777777" w:rsidTr="002A0810">
        <w:trPr>
          <w:cantSplit/>
        </w:trPr>
        <w:tc>
          <w:tcPr>
            <w:tcW w:w="1871" w:type="dxa"/>
          </w:tcPr>
          <w:p w14:paraId="4908CEB4" w14:textId="77777777" w:rsidR="002A0810" w:rsidRPr="002A0810" w:rsidRDefault="002A0810" w:rsidP="00893EA8">
            <w:pPr>
              <w:pStyle w:val="TableSideHeading"/>
              <w:rPr>
                <w:rFonts w:ascii="David" w:hAnsi="David"/>
              </w:rPr>
            </w:pPr>
          </w:p>
        </w:tc>
        <w:tc>
          <w:tcPr>
            <w:tcW w:w="624" w:type="dxa"/>
          </w:tcPr>
          <w:p w14:paraId="71EEB91D" w14:textId="77777777" w:rsidR="002A0810" w:rsidRPr="002A0810" w:rsidRDefault="002A0810" w:rsidP="00893EA8">
            <w:pPr>
              <w:pStyle w:val="TableText"/>
              <w:rPr>
                <w:rFonts w:ascii="David" w:hAnsi="David"/>
              </w:rPr>
            </w:pPr>
          </w:p>
        </w:tc>
        <w:tc>
          <w:tcPr>
            <w:tcW w:w="624" w:type="dxa"/>
          </w:tcPr>
          <w:p w14:paraId="6E4072B0" w14:textId="77777777" w:rsidR="002A0810" w:rsidRPr="002A0810" w:rsidRDefault="002A0810" w:rsidP="00893EA8">
            <w:pPr>
              <w:pStyle w:val="TableText"/>
              <w:rPr>
                <w:rFonts w:ascii="David" w:hAnsi="David"/>
              </w:rPr>
            </w:pPr>
          </w:p>
        </w:tc>
        <w:tc>
          <w:tcPr>
            <w:tcW w:w="6519" w:type="dxa"/>
          </w:tcPr>
          <w:p w14:paraId="397CAC2B" w14:textId="77777777" w:rsidR="002A0810" w:rsidRPr="002A0810" w:rsidRDefault="002A0810" w:rsidP="002A0810">
            <w:pPr>
              <w:pStyle w:val="TableBlock"/>
              <w:rPr>
                <w:rFonts w:ascii="David" w:hAnsi="David"/>
                <w:rtl/>
              </w:rPr>
            </w:pPr>
            <w:r w:rsidRPr="002A0810">
              <w:rPr>
                <w:rFonts w:ascii="David" w:hAnsi="David"/>
                <w:rtl/>
              </w:rPr>
              <w:t>(2)</w:t>
            </w:r>
            <w:r w:rsidRPr="002A0810">
              <w:rPr>
                <w:rFonts w:ascii="David" w:hAnsi="David"/>
                <w:rtl/>
              </w:rPr>
              <w:tab/>
              <w:t>נציג האפוטרופוס הכללי</w:t>
            </w:r>
            <w:r w:rsidRPr="002A0810">
              <w:rPr>
                <w:rFonts w:ascii="David" w:hAnsi="David"/>
                <w:sz w:val="26"/>
                <w:rtl/>
              </w:rPr>
              <w:t>;</w:t>
            </w:r>
          </w:p>
        </w:tc>
      </w:tr>
      <w:tr w:rsidR="002A0810" w:rsidRPr="002A0810" w14:paraId="6086AB4A" w14:textId="77777777" w:rsidTr="002A0810">
        <w:trPr>
          <w:cantSplit/>
        </w:trPr>
        <w:tc>
          <w:tcPr>
            <w:tcW w:w="1871" w:type="dxa"/>
          </w:tcPr>
          <w:p w14:paraId="50E542BF" w14:textId="77777777" w:rsidR="002A0810" w:rsidRPr="002A0810" w:rsidRDefault="002A0810" w:rsidP="00893EA8">
            <w:pPr>
              <w:pStyle w:val="TableSideHeading"/>
              <w:rPr>
                <w:rFonts w:ascii="David" w:hAnsi="David"/>
              </w:rPr>
            </w:pPr>
          </w:p>
        </w:tc>
        <w:tc>
          <w:tcPr>
            <w:tcW w:w="624" w:type="dxa"/>
          </w:tcPr>
          <w:p w14:paraId="063E673E" w14:textId="77777777" w:rsidR="002A0810" w:rsidRPr="002A0810" w:rsidRDefault="002A0810" w:rsidP="00893EA8">
            <w:pPr>
              <w:pStyle w:val="TableText"/>
              <w:rPr>
                <w:rFonts w:ascii="David" w:hAnsi="David"/>
              </w:rPr>
            </w:pPr>
          </w:p>
        </w:tc>
        <w:tc>
          <w:tcPr>
            <w:tcW w:w="624" w:type="dxa"/>
          </w:tcPr>
          <w:p w14:paraId="230B5E70" w14:textId="77777777" w:rsidR="002A0810" w:rsidRPr="002A0810" w:rsidRDefault="002A0810" w:rsidP="00893EA8">
            <w:pPr>
              <w:pStyle w:val="TableText"/>
              <w:rPr>
                <w:rFonts w:ascii="David" w:hAnsi="David"/>
              </w:rPr>
            </w:pPr>
          </w:p>
        </w:tc>
        <w:tc>
          <w:tcPr>
            <w:tcW w:w="6519" w:type="dxa"/>
          </w:tcPr>
          <w:p w14:paraId="0632A8E9" w14:textId="77777777" w:rsidR="002A0810" w:rsidRPr="002A0810" w:rsidRDefault="002A0810" w:rsidP="002A0810">
            <w:pPr>
              <w:pStyle w:val="TableBlock"/>
              <w:rPr>
                <w:rFonts w:ascii="David" w:hAnsi="David"/>
                <w:rtl/>
              </w:rPr>
            </w:pPr>
            <w:r w:rsidRPr="002A0810">
              <w:rPr>
                <w:rFonts w:ascii="David" w:hAnsi="David"/>
                <w:rtl/>
              </w:rPr>
              <w:t>(3)</w:t>
            </w:r>
            <w:r w:rsidRPr="002A0810">
              <w:rPr>
                <w:rFonts w:ascii="David" w:hAnsi="David"/>
                <w:rtl/>
              </w:rPr>
              <w:tab/>
              <w:t>נציג היועץ המשפטי לממשלה</w:t>
            </w:r>
            <w:r w:rsidRPr="002A0810">
              <w:rPr>
                <w:rFonts w:ascii="David" w:hAnsi="David"/>
                <w:sz w:val="26"/>
                <w:rtl/>
              </w:rPr>
              <w:t>;</w:t>
            </w:r>
          </w:p>
        </w:tc>
      </w:tr>
      <w:tr w:rsidR="002A0810" w:rsidRPr="002A0810" w14:paraId="67A48C3F" w14:textId="77777777" w:rsidTr="002A0810">
        <w:trPr>
          <w:cantSplit/>
        </w:trPr>
        <w:tc>
          <w:tcPr>
            <w:tcW w:w="1871" w:type="dxa"/>
          </w:tcPr>
          <w:p w14:paraId="29661C03" w14:textId="77777777" w:rsidR="002A0810" w:rsidRPr="002A0810" w:rsidRDefault="002A0810" w:rsidP="00893EA8">
            <w:pPr>
              <w:pStyle w:val="TableSideHeading"/>
              <w:rPr>
                <w:rFonts w:ascii="David" w:hAnsi="David"/>
              </w:rPr>
            </w:pPr>
          </w:p>
        </w:tc>
        <w:tc>
          <w:tcPr>
            <w:tcW w:w="624" w:type="dxa"/>
          </w:tcPr>
          <w:p w14:paraId="4D4D68AB" w14:textId="77777777" w:rsidR="002A0810" w:rsidRPr="002A0810" w:rsidRDefault="002A0810" w:rsidP="00893EA8">
            <w:pPr>
              <w:pStyle w:val="TableText"/>
              <w:rPr>
                <w:rFonts w:ascii="David" w:hAnsi="David"/>
              </w:rPr>
            </w:pPr>
          </w:p>
        </w:tc>
        <w:tc>
          <w:tcPr>
            <w:tcW w:w="624" w:type="dxa"/>
          </w:tcPr>
          <w:p w14:paraId="2DB55033" w14:textId="77777777" w:rsidR="002A0810" w:rsidRPr="002A0810" w:rsidRDefault="002A0810" w:rsidP="00893EA8">
            <w:pPr>
              <w:pStyle w:val="TableText"/>
              <w:rPr>
                <w:rFonts w:ascii="David" w:hAnsi="David"/>
              </w:rPr>
            </w:pPr>
          </w:p>
        </w:tc>
        <w:tc>
          <w:tcPr>
            <w:tcW w:w="6519" w:type="dxa"/>
          </w:tcPr>
          <w:p w14:paraId="1FD27378" w14:textId="77777777" w:rsidR="002A0810" w:rsidRPr="002A0810" w:rsidRDefault="002A0810" w:rsidP="002A0810">
            <w:pPr>
              <w:pStyle w:val="TableBlock"/>
              <w:rPr>
                <w:rFonts w:ascii="David" w:hAnsi="David"/>
                <w:rtl/>
              </w:rPr>
            </w:pPr>
            <w:r w:rsidRPr="002A0810">
              <w:rPr>
                <w:rFonts w:ascii="David" w:hAnsi="David"/>
                <w:rtl/>
              </w:rPr>
              <w:t>(4)</w:t>
            </w:r>
            <w:r w:rsidRPr="002A0810">
              <w:rPr>
                <w:rFonts w:ascii="David" w:hAnsi="David"/>
                <w:rtl/>
              </w:rPr>
              <w:tab/>
            </w:r>
            <w:r w:rsidRPr="002A0810">
              <w:rPr>
                <w:rFonts w:ascii="David" w:hAnsi="David"/>
                <w:sz w:val="26"/>
                <w:rtl/>
              </w:rPr>
              <w:t>שני נציגי ציבור שהינם בעלי זיקה לתחום חברתי-משפטי.</w:t>
            </w:r>
          </w:p>
        </w:tc>
      </w:tr>
      <w:tr w:rsidR="002A0810" w:rsidRPr="002A0810" w14:paraId="0E52F69F" w14:textId="77777777" w:rsidTr="002A0810">
        <w:trPr>
          <w:cantSplit/>
        </w:trPr>
        <w:tc>
          <w:tcPr>
            <w:tcW w:w="1871" w:type="dxa"/>
          </w:tcPr>
          <w:p w14:paraId="2EA53BEF" w14:textId="77777777" w:rsidR="002A0810" w:rsidRPr="002A0810" w:rsidRDefault="002A0810" w:rsidP="00893EA8">
            <w:pPr>
              <w:pStyle w:val="TableSideHeading"/>
              <w:rPr>
                <w:rFonts w:ascii="David" w:hAnsi="David"/>
              </w:rPr>
            </w:pPr>
          </w:p>
        </w:tc>
        <w:tc>
          <w:tcPr>
            <w:tcW w:w="624" w:type="dxa"/>
          </w:tcPr>
          <w:p w14:paraId="13F8FAA5" w14:textId="77777777" w:rsidR="002A0810" w:rsidRPr="002A0810" w:rsidRDefault="002A0810" w:rsidP="00893EA8">
            <w:pPr>
              <w:pStyle w:val="TableText"/>
              <w:rPr>
                <w:rFonts w:ascii="David" w:hAnsi="David"/>
              </w:rPr>
            </w:pPr>
          </w:p>
        </w:tc>
        <w:tc>
          <w:tcPr>
            <w:tcW w:w="7143" w:type="dxa"/>
            <w:gridSpan w:val="2"/>
          </w:tcPr>
          <w:p w14:paraId="51B455F8" w14:textId="77777777" w:rsidR="002A0810" w:rsidRPr="002A0810" w:rsidRDefault="002A0810" w:rsidP="002A0810">
            <w:pPr>
              <w:pStyle w:val="TableBlock"/>
            </w:pPr>
            <w:r w:rsidRPr="002A0810">
              <w:rPr>
                <w:rtl/>
              </w:rPr>
              <w:t>(ב)</w:t>
            </w:r>
            <w:r w:rsidRPr="002A0810">
              <w:tab/>
            </w:r>
            <w:r w:rsidRPr="002A0810">
              <w:rPr>
                <w:rtl/>
              </w:rPr>
              <w:t>המניין החוקי לפתיחת ישיבה של ועדת הקרן יהיה רוב חברי הוועדה.</w:t>
            </w:r>
          </w:p>
        </w:tc>
      </w:tr>
      <w:tr w:rsidR="002A0810" w:rsidRPr="002A0810" w14:paraId="45C3E9E7" w14:textId="77777777" w:rsidTr="002A0810">
        <w:trPr>
          <w:cantSplit/>
        </w:trPr>
        <w:tc>
          <w:tcPr>
            <w:tcW w:w="1871" w:type="dxa"/>
          </w:tcPr>
          <w:p w14:paraId="1FCBD7FA" w14:textId="77777777" w:rsidR="002A0810" w:rsidRPr="002A0810" w:rsidRDefault="002A0810" w:rsidP="00893EA8">
            <w:pPr>
              <w:pStyle w:val="TableSideHeading"/>
              <w:rPr>
                <w:rFonts w:ascii="David" w:hAnsi="David"/>
              </w:rPr>
            </w:pPr>
          </w:p>
        </w:tc>
        <w:tc>
          <w:tcPr>
            <w:tcW w:w="624" w:type="dxa"/>
          </w:tcPr>
          <w:p w14:paraId="6A295DB8" w14:textId="77777777" w:rsidR="002A0810" w:rsidRPr="002A0810" w:rsidRDefault="002A0810" w:rsidP="00893EA8">
            <w:pPr>
              <w:pStyle w:val="TableText"/>
              <w:rPr>
                <w:rFonts w:ascii="David" w:hAnsi="David"/>
              </w:rPr>
            </w:pPr>
          </w:p>
        </w:tc>
        <w:tc>
          <w:tcPr>
            <w:tcW w:w="7143" w:type="dxa"/>
            <w:gridSpan w:val="2"/>
          </w:tcPr>
          <w:p w14:paraId="4FFD5C1F" w14:textId="77777777" w:rsidR="002A0810" w:rsidRPr="002A0810" w:rsidRDefault="002A0810" w:rsidP="002A0810">
            <w:pPr>
              <w:pStyle w:val="TableBlock"/>
              <w:rPr>
                <w:rFonts w:ascii="David" w:hAnsi="David"/>
                <w:rtl/>
              </w:rPr>
            </w:pPr>
            <w:r w:rsidRPr="002A0810">
              <w:rPr>
                <w:rFonts w:ascii="David" w:hAnsi="David"/>
                <w:rtl/>
              </w:rPr>
              <w:t>(ג)</w:t>
            </w:r>
            <w:r w:rsidRPr="002A0810">
              <w:rPr>
                <w:rFonts w:ascii="David" w:hAnsi="David"/>
                <w:rtl/>
              </w:rPr>
              <w:tab/>
            </w:r>
            <w:r w:rsidRPr="002A0810">
              <w:rPr>
                <w:rFonts w:ascii="David" w:hAnsi="David"/>
                <w:sz w:val="26"/>
                <w:rtl/>
              </w:rPr>
              <w:t>לא ימונה או יכהן כחבר ועדה אדם העלול להימצא, במישרין או בעקיפין ובאופן תדיר, במצב של ניגוד עניינים בין תפקידו כחבר הוועדה לבין עניין אישי או תפקיד אחר שלו, בין אם במילוי תפקידו השני הוא בתמורה או לאו.</w:t>
            </w:r>
          </w:p>
        </w:tc>
      </w:tr>
      <w:tr w:rsidR="002A0810" w:rsidRPr="002A0810" w14:paraId="5F113F05" w14:textId="77777777" w:rsidTr="002A0810">
        <w:trPr>
          <w:cantSplit/>
        </w:trPr>
        <w:tc>
          <w:tcPr>
            <w:tcW w:w="1871" w:type="dxa"/>
          </w:tcPr>
          <w:p w14:paraId="07F11831" w14:textId="77777777" w:rsidR="002A0810" w:rsidRPr="002A0810" w:rsidRDefault="002A0810" w:rsidP="00893EA8">
            <w:pPr>
              <w:pStyle w:val="TableSideHeading"/>
              <w:rPr>
                <w:rFonts w:ascii="David" w:hAnsi="David"/>
              </w:rPr>
            </w:pPr>
          </w:p>
        </w:tc>
        <w:tc>
          <w:tcPr>
            <w:tcW w:w="624" w:type="dxa"/>
          </w:tcPr>
          <w:p w14:paraId="4739B80A" w14:textId="77777777" w:rsidR="002A0810" w:rsidRPr="002A0810" w:rsidRDefault="002A0810" w:rsidP="00893EA8">
            <w:pPr>
              <w:pStyle w:val="TableText"/>
              <w:rPr>
                <w:rFonts w:ascii="David" w:hAnsi="David"/>
              </w:rPr>
            </w:pPr>
          </w:p>
        </w:tc>
        <w:tc>
          <w:tcPr>
            <w:tcW w:w="7143" w:type="dxa"/>
            <w:gridSpan w:val="2"/>
          </w:tcPr>
          <w:p w14:paraId="0C561FDE" w14:textId="77777777" w:rsidR="002A0810" w:rsidRPr="002A0810" w:rsidRDefault="002A0810" w:rsidP="002A0810">
            <w:pPr>
              <w:pStyle w:val="TableBlock"/>
              <w:rPr>
                <w:rtl/>
              </w:rPr>
            </w:pPr>
            <w:r w:rsidRPr="002A0810">
              <w:rPr>
                <w:rtl/>
              </w:rPr>
              <w:t>(ד)</w:t>
            </w:r>
            <w:r w:rsidRPr="002A0810">
              <w:rPr>
                <w:rtl/>
              </w:rPr>
              <w:tab/>
              <w:t xml:space="preserve">בסעיף זה – </w:t>
            </w:r>
          </w:p>
        </w:tc>
      </w:tr>
      <w:tr w:rsidR="002A0810" w:rsidRPr="002A0810" w14:paraId="0C40C8C5" w14:textId="77777777" w:rsidTr="002A0810">
        <w:trPr>
          <w:cantSplit/>
        </w:trPr>
        <w:tc>
          <w:tcPr>
            <w:tcW w:w="1871" w:type="dxa"/>
          </w:tcPr>
          <w:p w14:paraId="33AB8593" w14:textId="77777777" w:rsidR="002A0810" w:rsidRPr="002A0810" w:rsidRDefault="002A0810" w:rsidP="00893EA8">
            <w:pPr>
              <w:pStyle w:val="TableSideHeading"/>
              <w:rPr>
                <w:rFonts w:ascii="David" w:hAnsi="David"/>
              </w:rPr>
            </w:pPr>
          </w:p>
        </w:tc>
        <w:tc>
          <w:tcPr>
            <w:tcW w:w="624" w:type="dxa"/>
          </w:tcPr>
          <w:p w14:paraId="56301B50" w14:textId="77777777" w:rsidR="002A0810" w:rsidRPr="002A0810" w:rsidRDefault="002A0810" w:rsidP="00893EA8">
            <w:pPr>
              <w:pStyle w:val="TableText"/>
              <w:rPr>
                <w:rFonts w:ascii="David" w:hAnsi="David"/>
              </w:rPr>
            </w:pPr>
          </w:p>
        </w:tc>
        <w:tc>
          <w:tcPr>
            <w:tcW w:w="624" w:type="dxa"/>
          </w:tcPr>
          <w:p w14:paraId="0E94ADC6" w14:textId="77777777" w:rsidR="002A0810" w:rsidRPr="002A0810" w:rsidRDefault="002A0810" w:rsidP="00893EA8">
            <w:pPr>
              <w:pStyle w:val="TableText"/>
              <w:rPr>
                <w:rFonts w:ascii="David" w:hAnsi="David"/>
              </w:rPr>
            </w:pPr>
          </w:p>
        </w:tc>
        <w:tc>
          <w:tcPr>
            <w:tcW w:w="6519" w:type="dxa"/>
          </w:tcPr>
          <w:p w14:paraId="78DB3302" w14:textId="77777777" w:rsidR="002A0810" w:rsidRPr="002A0810" w:rsidRDefault="002A0810" w:rsidP="002A0810">
            <w:pPr>
              <w:pStyle w:val="TableBlockOutdent"/>
              <w:rPr>
                <w:rFonts w:ascii="David" w:hAnsi="David"/>
              </w:rPr>
            </w:pPr>
            <w:r w:rsidRPr="002A0810">
              <w:rPr>
                <w:rFonts w:ascii="David" w:hAnsi="David"/>
                <w:rtl/>
              </w:rPr>
              <w:t xml:space="preserve">"עניין אישי" – </w:t>
            </w:r>
            <w:r w:rsidRPr="002A0810">
              <w:rPr>
                <w:rFonts w:ascii="David" w:hAnsi="David"/>
                <w:sz w:val="26"/>
                <w:rtl/>
              </w:rPr>
              <w:t>לרבות עניין אישי של קרובו או בעל עניין, לרבות בעל תפקיד בגוף שייעודו מתן שירות לנפגעי טרור;</w:t>
            </w:r>
          </w:p>
        </w:tc>
      </w:tr>
      <w:tr w:rsidR="002A0810" w:rsidRPr="002A0810" w14:paraId="3483AE05" w14:textId="77777777" w:rsidTr="002A0810">
        <w:trPr>
          <w:cantSplit/>
        </w:trPr>
        <w:tc>
          <w:tcPr>
            <w:tcW w:w="1871" w:type="dxa"/>
          </w:tcPr>
          <w:p w14:paraId="2C62D68E" w14:textId="77777777" w:rsidR="002A0810" w:rsidRPr="002A0810" w:rsidRDefault="002A0810" w:rsidP="00893EA8">
            <w:pPr>
              <w:pStyle w:val="TableSideHeading"/>
              <w:rPr>
                <w:rFonts w:ascii="David" w:hAnsi="David"/>
              </w:rPr>
            </w:pPr>
          </w:p>
        </w:tc>
        <w:tc>
          <w:tcPr>
            <w:tcW w:w="624" w:type="dxa"/>
          </w:tcPr>
          <w:p w14:paraId="66CDC6C6" w14:textId="77777777" w:rsidR="002A0810" w:rsidRPr="002A0810" w:rsidRDefault="002A0810" w:rsidP="00893EA8">
            <w:pPr>
              <w:pStyle w:val="TableText"/>
              <w:rPr>
                <w:rFonts w:ascii="David" w:hAnsi="David"/>
              </w:rPr>
            </w:pPr>
          </w:p>
        </w:tc>
        <w:tc>
          <w:tcPr>
            <w:tcW w:w="624" w:type="dxa"/>
          </w:tcPr>
          <w:p w14:paraId="7F4F74D0" w14:textId="77777777" w:rsidR="002A0810" w:rsidRPr="002A0810" w:rsidRDefault="002A0810" w:rsidP="00893EA8">
            <w:pPr>
              <w:pStyle w:val="TableText"/>
              <w:rPr>
                <w:rFonts w:ascii="David" w:hAnsi="David"/>
              </w:rPr>
            </w:pPr>
          </w:p>
        </w:tc>
        <w:tc>
          <w:tcPr>
            <w:tcW w:w="6519" w:type="dxa"/>
          </w:tcPr>
          <w:p w14:paraId="26415C6E" w14:textId="77777777" w:rsidR="002A0810" w:rsidRPr="002A0810" w:rsidRDefault="002A0810" w:rsidP="002A0810">
            <w:pPr>
              <w:pStyle w:val="TableBlockOutdent"/>
              <w:rPr>
                <w:rFonts w:ascii="David" w:hAnsi="David"/>
                <w:rtl/>
              </w:rPr>
            </w:pPr>
            <w:r w:rsidRPr="002A0810">
              <w:rPr>
                <w:rFonts w:ascii="David" w:hAnsi="David"/>
                <w:rtl/>
              </w:rPr>
              <w:t xml:space="preserve">"קרוב" – </w:t>
            </w:r>
            <w:r w:rsidRPr="002A0810">
              <w:rPr>
                <w:rFonts w:ascii="David" w:hAnsi="David"/>
                <w:sz w:val="26"/>
                <w:rtl/>
              </w:rPr>
              <w:t>בן או בת זוג, הורה, בן, בת ובני זוגם, אח או אחות וילדיהם, גיס, גיסה, דוד, דודה, חותן, חותנת, חם, חמות, חתן, כלה, נכד, נכדה וכן כל אדם אחר הסמוך על שולחנו של חבר וועדה;</w:t>
            </w:r>
          </w:p>
        </w:tc>
      </w:tr>
      <w:tr w:rsidR="002A0810" w:rsidRPr="002A0810" w14:paraId="0520E8A6" w14:textId="77777777" w:rsidTr="002A0810">
        <w:trPr>
          <w:cantSplit/>
        </w:trPr>
        <w:tc>
          <w:tcPr>
            <w:tcW w:w="1871" w:type="dxa"/>
          </w:tcPr>
          <w:p w14:paraId="3AB7C94A" w14:textId="77777777" w:rsidR="002A0810" w:rsidRPr="002A0810" w:rsidRDefault="002A0810" w:rsidP="00893EA8">
            <w:pPr>
              <w:pStyle w:val="TableSideHeading"/>
              <w:rPr>
                <w:rFonts w:ascii="David" w:hAnsi="David"/>
              </w:rPr>
            </w:pPr>
            <w:r w:rsidRPr="002A0810">
              <w:rPr>
                <w:rFonts w:ascii="David" w:hAnsi="David"/>
                <w:rtl/>
              </w:rPr>
              <w:t>עקרונות עבודת וועדת הקרן</w:t>
            </w:r>
          </w:p>
        </w:tc>
        <w:tc>
          <w:tcPr>
            <w:tcW w:w="624" w:type="dxa"/>
          </w:tcPr>
          <w:p w14:paraId="37B1DCB2" w14:textId="77777777" w:rsidR="002A0810" w:rsidRPr="002A0810" w:rsidRDefault="002A0810" w:rsidP="00893EA8">
            <w:pPr>
              <w:pStyle w:val="TableText"/>
              <w:rPr>
                <w:rFonts w:ascii="David" w:hAnsi="David"/>
              </w:rPr>
            </w:pPr>
            <w:r w:rsidRPr="002A0810">
              <w:rPr>
                <w:rFonts w:ascii="David" w:hAnsi="David"/>
                <w:rtl/>
              </w:rPr>
              <w:t xml:space="preserve">4. </w:t>
            </w:r>
          </w:p>
        </w:tc>
        <w:tc>
          <w:tcPr>
            <w:tcW w:w="7143" w:type="dxa"/>
            <w:gridSpan w:val="2"/>
          </w:tcPr>
          <w:p w14:paraId="3D6C7713" w14:textId="77777777" w:rsidR="002A0810" w:rsidRPr="002A0810" w:rsidRDefault="002A0810" w:rsidP="002A0810">
            <w:pPr>
              <w:pStyle w:val="TableBlock"/>
              <w:rPr>
                <w:rFonts w:ascii="David" w:hAnsi="David"/>
              </w:rPr>
            </w:pPr>
            <w:r w:rsidRPr="002A0810">
              <w:rPr>
                <w:rFonts w:ascii="David" w:hAnsi="David"/>
                <w:rtl/>
              </w:rPr>
              <w:t>(א)</w:t>
            </w:r>
            <w:r w:rsidRPr="002A0810">
              <w:rPr>
                <w:rFonts w:ascii="David" w:hAnsi="David"/>
                <w:rtl/>
              </w:rPr>
              <w:tab/>
            </w:r>
            <w:r w:rsidRPr="002A0810">
              <w:rPr>
                <w:rFonts w:ascii="David" w:hAnsi="David"/>
                <w:sz w:val="26"/>
                <w:rtl/>
              </w:rPr>
              <w:t>הוועדה תגבש, בהסכמת שר המשפטים ולאחר התייעצות עם האפוטרופוס הכללי, נוהל ובו מבחנים לחלוקת כספי הקרן.</w:t>
            </w:r>
          </w:p>
        </w:tc>
      </w:tr>
      <w:tr w:rsidR="002A0810" w:rsidRPr="002A0810" w14:paraId="33E4A3B9" w14:textId="77777777" w:rsidTr="002A0810">
        <w:trPr>
          <w:cantSplit/>
        </w:trPr>
        <w:tc>
          <w:tcPr>
            <w:tcW w:w="1871" w:type="dxa"/>
          </w:tcPr>
          <w:p w14:paraId="5A89EC7D" w14:textId="77777777" w:rsidR="002A0810" w:rsidRPr="002A0810" w:rsidDel="00D86EBE" w:rsidRDefault="002A0810" w:rsidP="00893EA8">
            <w:pPr>
              <w:pStyle w:val="TableSideHeading"/>
              <w:rPr>
                <w:rFonts w:ascii="David" w:hAnsi="David"/>
                <w:rtl/>
              </w:rPr>
            </w:pPr>
          </w:p>
        </w:tc>
        <w:tc>
          <w:tcPr>
            <w:tcW w:w="624" w:type="dxa"/>
          </w:tcPr>
          <w:p w14:paraId="78425C7C" w14:textId="77777777" w:rsidR="002A0810" w:rsidRPr="002A0810" w:rsidRDefault="002A0810" w:rsidP="00893EA8">
            <w:pPr>
              <w:pStyle w:val="TableText"/>
              <w:rPr>
                <w:rFonts w:ascii="David" w:hAnsi="David"/>
                <w:rtl/>
              </w:rPr>
            </w:pPr>
          </w:p>
        </w:tc>
        <w:tc>
          <w:tcPr>
            <w:tcW w:w="7143" w:type="dxa"/>
            <w:gridSpan w:val="2"/>
          </w:tcPr>
          <w:p w14:paraId="24E30286" w14:textId="77777777" w:rsidR="002A0810" w:rsidRPr="002A0810" w:rsidRDefault="002A0810" w:rsidP="002A0810">
            <w:pPr>
              <w:pStyle w:val="TableBlock"/>
              <w:rPr>
                <w:rFonts w:ascii="David" w:hAnsi="David"/>
                <w:rtl/>
              </w:rPr>
            </w:pPr>
            <w:r w:rsidRPr="002A0810">
              <w:rPr>
                <w:rFonts w:ascii="David" w:hAnsi="David"/>
                <w:rtl/>
              </w:rPr>
              <w:t>(ב)</w:t>
            </w:r>
            <w:r w:rsidRPr="002A0810">
              <w:rPr>
                <w:rFonts w:ascii="David" w:hAnsi="David"/>
                <w:rtl/>
              </w:rPr>
              <w:tab/>
              <w:t>הקרן תחלק את הכספים הצבורים בה אחת לשנתיים, אולם רשאית הוועדה לקבוע מועד חלוקה מוקדם יותר, אם סברה כי הצטבר בקרן סכום סביר לשם יישום מטרת הקרן</w:t>
            </w:r>
            <w:r w:rsidRPr="002A0810">
              <w:rPr>
                <w:rFonts w:ascii="David" w:hAnsi="David"/>
                <w:sz w:val="26"/>
                <w:rtl/>
              </w:rPr>
              <w:t>.</w:t>
            </w:r>
          </w:p>
        </w:tc>
      </w:tr>
      <w:tr w:rsidR="002A0810" w:rsidRPr="002A0810" w14:paraId="20B98EAB" w14:textId="77777777" w:rsidTr="002A0810">
        <w:trPr>
          <w:cantSplit/>
        </w:trPr>
        <w:tc>
          <w:tcPr>
            <w:tcW w:w="1871" w:type="dxa"/>
          </w:tcPr>
          <w:p w14:paraId="6569D043" w14:textId="77777777" w:rsidR="002A0810" w:rsidRPr="002A0810" w:rsidDel="00D86EBE" w:rsidRDefault="002A0810" w:rsidP="00893EA8">
            <w:pPr>
              <w:pStyle w:val="TableSideHeading"/>
              <w:rPr>
                <w:rFonts w:ascii="David" w:hAnsi="David"/>
                <w:rtl/>
              </w:rPr>
            </w:pPr>
          </w:p>
        </w:tc>
        <w:tc>
          <w:tcPr>
            <w:tcW w:w="624" w:type="dxa"/>
          </w:tcPr>
          <w:p w14:paraId="2767954D" w14:textId="77777777" w:rsidR="002A0810" w:rsidRPr="002A0810" w:rsidRDefault="002A0810" w:rsidP="00893EA8">
            <w:pPr>
              <w:pStyle w:val="TableText"/>
              <w:rPr>
                <w:rFonts w:ascii="David" w:hAnsi="David"/>
                <w:rtl/>
              </w:rPr>
            </w:pPr>
          </w:p>
        </w:tc>
        <w:tc>
          <w:tcPr>
            <w:tcW w:w="7143" w:type="dxa"/>
            <w:gridSpan w:val="2"/>
          </w:tcPr>
          <w:p w14:paraId="4BD76138" w14:textId="77777777" w:rsidR="002A0810" w:rsidRPr="002A0810" w:rsidRDefault="002A0810" w:rsidP="002A0810">
            <w:pPr>
              <w:pStyle w:val="TableBlock"/>
              <w:rPr>
                <w:rFonts w:ascii="David" w:hAnsi="David"/>
                <w:rtl/>
              </w:rPr>
            </w:pPr>
            <w:r w:rsidRPr="002A0810">
              <w:rPr>
                <w:rFonts w:ascii="David" w:hAnsi="David"/>
                <w:rtl/>
              </w:rPr>
              <w:t>(ג)</w:t>
            </w:r>
            <w:r w:rsidRPr="002A0810">
              <w:rPr>
                <w:rFonts w:ascii="David" w:hAnsi="David"/>
                <w:rtl/>
              </w:rPr>
              <w:tab/>
              <w:t xml:space="preserve">הוועדה תקבע סכום מקסימלי שהקרן תשלם לטובת יחיד זכאי וסכום מקסימלי שהקרן תשלם לטובת קבוצת זכאים שהינם קרובי משפחה; סכומים מקסימליים אלו יהוו את המפתח לחלוקת הכספים ותחשיביה. </w:t>
            </w:r>
          </w:p>
        </w:tc>
      </w:tr>
      <w:tr w:rsidR="002A0810" w:rsidRPr="002A0810" w14:paraId="190C8503" w14:textId="77777777" w:rsidTr="002A0810">
        <w:trPr>
          <w:cantSplit/>
        </w:trPr>
        <w:tc>
          <w:tcPr>
            <w:tcW w:w="1871" w:type="dxa"/>
          </w:tcPr>
          <w:p w14:paraId="09A2EA20" w14:textId="77777777" w:rsidR="002A0810" w:rsidRPr="002A0810" w:rsidDel="00D86EBE" w:rsidRDefault="002A0810" w:rsidP="00893EA8">
            <w:pPr>
              <w:pStyle w:val="TableSideHeading"/>
              <w:rPr>
                <w:rFonts w:ascii="David" w:hAnsi="David"/>
                <w:rtl/>
              </w:rPr>
            </w:pPr>
          </w:p>
        </w:tc>
        <w:tc>
          <w:tcPr>
            <w:tcW w:w="624" w:type="dxa"/>
          </w:tcPr>
          <w:p w14:paraId="49FC8359" w14:textId="77777777" w:rsidR="002A0810" w:rsidRPr="002A0810" w:rsidRDefault="002A0810" w:rsidP="00893EA8">
            <w:pPr>
              <w:pStyle w:val="TableText"/>
              <w:rPr>
                <w:rFonts w:ascii="David" w:hAnsi="David"/>
                <w:rtl/>
              </w:rPr>
            </w:pPr>
          </w:p>
        </w:tc>
        <w:tc>
          <w:tcPr>
            <w:tcW w:w="7143" w:type="dxa"/>
            <w:gridSpan w:val="2"/>
          </w:tcPr>
          <w:p w14:paraId="7747D03C" w14:textId="77777777" w:rsidR="002A0810" w:rsidRPr="002A0810" w:rsidRDefault="002A0810" w:rsidP="002A0810">
            <w:pPr>
              <w:pStyle w:val="TableBlock"/>
              <w:rPr>
                <w:rFonts w:ascii="David" w:hAnsi="David"/>
                <w:rtl/>
              </w:rPr>
            </w:pPr>
            <w:r w:rsidRPr="002A0810">
              <w:rPr>
                <w:rFonts w:ascii="David" w:hAnsi="David"/>
                <w:rtl/>
              </w:rPr>
              <w:t>(ד)</w:t>
            </w:r>
            <w:r w:rsidRPr="002A0810">
              <w:rPr>
                <w:rFonts w:ascii="David" w:hAnsi="David"/>
                <w:rtl/>
              </w:rPr>
              <w:tab/>
              <w:t>תשלום הקרן לזכאים יתבסס על סך הסעד הכספי הנקוב לטובתם בפסק דין או על הסך הכולל של הסעדים של זכאים שבידם יותר מפסק דין אחד, אולם בכל מקרה לא יעלה על סכום מקסימלי כאמור בסעיף (ג) לעיל.</w:t>
            </w:r>
          </w:p>
        </w:tc>
      </w:tr>
      <w:tr w:rsidR="002A0810" w:rsidRPr="002A0810" w14:paraId="489D989F" w14:textId="77777777" w:rsidTr="002A0810">
        <w:trPr>
          <w:cantSplit/>
        </w:trPr>
        <w:tc>
          <w:tcPr>
            <w:tcW w:w="1871" w:type="dxa"/>
          </w:tcPr>
          <w:p w14:paraId="10577745" w14:textId="77777777" w:rsidR="002A0810" w:rsidRPr="002A0810" w:rsidDel="00D86EBE" w:rsidRDefault="002A0810" w:rsidP="00893EA8">
            <w:pPr>
              <w:pStyle w:val="TableSideHeading"/>
              <w:rPr>
                <w:rFonts w:ascii="David" w:hAnsi="David"/>
                <w:rtl/>
              </w:rPr>
            </w:pPr>
          </w:p>
        </w:tc>
        <w:tc>
          <w:tcPr>
            <w:tcW w:w="624" w:type="dxa"/>
          </w:tcPr>
          <w:p w14:paraId="068747DE" w14:textId="77777777" w:rsidR="002A0810" w:rsidRPr="002A0810" w:rsidRDefault="002A0810" w:rsidP="00893EA8">
            <w:pPr>
              <w:pStyle w:val="TableText"/>
              <w:rPr>
                <w:rFonts w:ascii="David" w:hAnsi="David"/>
                <w:rtl/>
              </w:rPr>
            </w:pPr>
          </w:p>
        </w:tc>
        <w:tc>
          <w:tcPr>
            <w:tcW w:w="7143" w:type="dxa"/>
            <w:gridSpan w:val="2"/>
          </w:tcPr>
          <w:p w14:paraId="0EDCD32A" w14:textId="77777777" w:rsidR="002A0810" w:rsidRPr="002A0810" w:rsidRDefault="002A0810" w:rsidP="002A0810">
            <w:pPr>
              <w:pStyle w:val="TableBlock"/>
              <w:rPr>
                <w:rFonts w:ascii="David" w:hAnsi="David"/>
                <w:rtl/>
              </w:rPr>
            </w:pPr>
            <w:r w:rsidRPr="002A0810">
              <w:rPr>
                <w:rFonts w:ascii="David" w:hAnsi="David"/>
                <w:rtl/>
              </w:rPr>
              <w:t>(ה)</w:t>
            </w:r>
            <w:r w:rsidRPr="002A0810">
              <w:rPr>
                <w:rFonts w:ascii="David" w:hAnsi="David"/>
                <w:rtl/>
              </w:rPr>
              <w:tab/>
              <w:t>בכל מועד חלוקה, הוועדה תקבע את חלוקת הכספים על בסיס שיקולי גובה הכספים שהצטברו בקרן, כמות הזכאים לקבל כספים מן הקרן, גובה הסכומים המקסימליים לזכאים תוך הפחתת הסכומים שהקרן כבר שילמה למי מהם או שקיבלו ממקורות אחרים.</w:t>
            </w:r>
          </w:p>
        </w:tc>
      </w:tr>
      <w:tr w:rsidR="002A0810" w:rsidRPr="002A0810" w14:paraId="0444079D" w14:textId="77777777" w:rsidTr="002A0810">
        <w:trPr>
          <w:cantSplit/>
        </w:trPr>
        <w:tc>
          <w:tcPr>
            <w:tcW w:w="1871" w:type="dxa"/>
          </w:tcPr>
          <w:p w14:paraId="60F4E599" w14:textId="77777777" w:rsidR="002A0810" w:rsidRPr="002A0810" w:rsidRDefault="002A0810" w:rsidP="00893EA8">
            <w:pPr>
              <w:pStyle w:val="TableSideHeading"/>
              <w:rPr>
                <w:rFonts w:ascii="David" w:hAnsi="David"/>
              </w:rPr>
            </w:pPr>
            <w:r w:rsidRPr="002A0810">
              <w:rPr>
                <w:rFonts w:ascii="David" w:hAnsi="David"/>
                <w:rtl/>
              </w:rPr>
              <w:t>תיקון חוק המאבק בטרור</w:t>
            </w:r>
          </w:p>
        </w:tc>
        <w:tc>
          <w:tcPr>
            <w:tcW w:w="624" w:type="dxa"/>
          </w:tcPr>
          <w:p w14:paraId="2E19169E" w14:textId="77777777" w:rsidR="002A0810" w:rsidRPr="002A0810" w:rsidRDefault="002A0810" w:rsidP="00893EA8">
            <w:pPr>
              <w:pStyle w:val="TableText"/>
              <w:rPr>
                <w:rFonts w:ascii="David" w:hAnsi="David"/>
              </w:rPr>
            </w:pPr>
            <w:r w:rsidRPr="002A0810">
              <w:rPr>
                <w:rFonts w:ascii="David" w:hAnsi="David"/>
                <w:rtl/>
              </w:rPr>
              <w:t>5.</w:t>
            </w:r>
          </w:p>
        </w:tc>
        <w:tc>
          <w:tcPr>
            <w:tcW w:w="7143" w:type="dxa"/>
            <w:gridSpan w:val="2"/>
          </w:tcPr>
          <w:p w14:paraId="138584CA" w14:textId="77777777" w:rsidR="002A0810" w:rsidRPr="002A0810" w:rsidRDefault="002A0810" w:rsidP="002A0810">
            <w:pPr>
              <w:pStyle w:val="TableBlock"/>
              <w:rPr>
                <w:rFonts w:ascii="David" w:hAnsi="David"/>
              </w:rPr>
            </w:pPr>
            <w:r w:rsidRPr="002A0810">
              <w:rPr>
                <w:rFonts w:ascii="David" w:hAnsi="David"/>
                <w:sz w:val="26"/>
                <w:rtl/>
              </w:rPr>
              <w:t>בחוק המאבק בטרור, התשע"ו–2016, בסעיף 68, בסופו יבוא:</w:t>
            </w:r>
          </w:p>
        </w:tc>
      </w:tr>
      <w:tr w:rsidR="002A0810" w:rsidRPr="002A0810" w14:paraId="57E1890A" w14:textId="77777777" w:rsidTr="002A0810">
        <w:trPr>
          <w:cantSplit/>
        </w:trPr>
        <w:tc>
          <w:tcPr>
            <w:tcW w:w="1871" w:type="dxa"/>
          </w:tcPr>
          <w:p w14:paraId="40E4B76D" w14:textId="77777777" w:rsidR="002A0810" w:rsidRPr="002A0810" w:rsidRDefault="002A0810" w:rsidP="00893EA8">
            <w:pPr>
              <w:pStyle w:val="TableSideHeading"/>
              <w:rPr>
                <w:rFonts w:ascii="David" w:hAnsi="David"/>
              </w:rPr>
            </w:pPr>
          </w:p>
        </w:tc>
        <w:tc>
          <w:tcPr>
            <w:tcW w:w="624" w:type="dxa"/>
          </w:tcPr>
          <w:p w14:paraId="215D9C94" w14:textId="77777777" w:rsidR="002A0810" w:rsidRPr="002A0810" w:rsidRDefault="002A0810" w:rsidP="00893EA8">
            <w:pPr>
              <w:pStyle w:val="TableText"/>
              <w:rPr>
                <w:rFonts w:ascii="David" w:hAnsi="David"/>
              </w:rPr>
            </w:pPr>
          </w:p>
        </w:tc>
        <w:tc>
          <w:tcPr>
            <w:tcW w:w="7143" w:type="dxa"/>
            <w:gridSpan w:val="2"/>
          </w:tcPr>
          <w:p w14:paraId="1F4C9449" w14:textId="6842FB20" w:rsidR="002A0810" w:rsidRPr="002A0810" w:rsidRDefault="002A0810" w:rsidP="002A0810">
            <w:pPr>
              <w:pStyle w:val="TableBlock"/>
              <w:rPr>
                <w:rFonts w:ascii="David" w:hAnsi="David"/>
              </w:rPr>
            </w:pPr>
            <w:r w:rsidRPr="002A0810">
              <w:rPr>
                <w:rFonts w:ascii="David" w:hAnsi="David"/>
                <w:rtl/>
              </w:rPr>
              <w:t>"(ד)</w:t>
            </w:r>
            <w:r w:rsidRPr="002A0810">
              <w:rPr>
                <w:rFonts w:ascii="David" w:hAnsi="David"/>
                <w:rtl/>
              </w:rPr>
              <w:tab/>
              <w:t>כל רכוש שחילטה המדינה על פי פרק ה' לחוק זה, או תמורתו, וכן תשלומי קנסות לפי פרק ג׳ ועיצום כספי ששולם לפי סעיף 95 לחוק זה, יופקדו בקרן שהוקמה לפי חוק סיוע לקורבנות טרור במימוש פסקי-דין, התשפ"ב –2022</w:t>
            </w:r>
            <w:r w:rsidR="000739D8">
              <w:rPr>
                <w:rFonts w:ascii="David" w:hAnsi="David" w:hint="cs"/>
                <w:rtl/>
              </w:rPr>
              <w:t>"</w:t>
            </w:r>
            <w:r w:rsidRPr="002A0810">
              <w:rPr>
                <w:rFonts w:ascii="David" w:hAnsi="David"/>
                <w:rtl/>
              </w:rPr>
              <w:t>.</w:t>
            </w:r>
          </w:p>
        </w:tc>
      </w:tr>
      <w:tr w:rsidR="002A0810" w:rsidRPr="002A0810" w14:paraId="62A4E79C" w14:textId="77777777" w:rsidTr="002A0810">
        <w:trPr>
          <w:cantSplit/>
        </w:trPr>
        <w:tc>
          <w:tcPr>
            <w:tcW w:w="1871" w:type="dxa"/>
          </w:tcPr>
          <w:p w14:paraId="02531A48" w14:textId="77777777" w:rsidR="002A0810" w:rsidRPr="002A0810" w:rsidRDefault="002A0810" w:rsidP="00893EA8">
            <w:pPr>
              <w:pStyle w:val="TableSideHeading"/>
              <w:keepLines w:val="0"/>
              <w:rPr>
                <w:rFonts w:ascii="David" w:hAnsi="David"/>
                <w:sz w:val="26"/>
                <w:rtl/>
              </w:rPr>
            </w:pPr>
            <w:r w:rsidRPr="002A0810">
              <w:rPr>
                <w:rFonts w:ascii="David" w:hAnsi="David"/>
                <w:sz w:val="26"/>
                <w:rtl/>
              </w:rPr>
              <w:t xml:space="preserve">תיקון חוק </w:t>
            </w:r>
            <w:r w:rsidRPr="002A0810">
              <w:rPr>
                <w:rFonts w:ascii="David" w:hAnsi="David"/>
                <w:sz w:val="26"/>
                <w:rtl/>
              </w:rPr>
              <w:br/>
              <w:t>המאבק בתכנית הגרעין של איראן</w:t>
            </w:r>
          </w:p>
        </w:tc>
        <w:tc>
          <w:tcPr>
            <w:tcW w:w="624" w:type="dxa"/>
          </w:tcPr>
          <w:p w14:paraId="4923E0DF" w14:textId="77777777" w:rsidR="002A0810" w:rsidRPr="002A0810" w:rsidRDefault="002A0810" w:rsidP="00893EA8">
            <w:pPr>
              <w:pStyle w:val="TableText"/>
              <w:rPr>
                <w:rFonts w:ascii="David" w:hAnsi="David"/>
              </w:rPr>
            </w:pPr>
            <w:r w:rsidRPr="002A0810">
              <w:rPr>
                <w:rFonts w:ascii="David" w:hAnsi="David"/>
                <w:rtl/>
              </w:rPr>
              <w:t>6.</w:t>
            </w:r>
          </w:p>
        </w:tc>
        <w:tc>
          <w:tcPr>
            <w:tcW w:w="7143" w:type="dxa"/>
            <w:gridSpan w:val="2"/>
          </w:tcPr>
          <w:p w14:paraId="0076A502" w14:textId="77777777" w:rsidR="002A0810" w:rsidRPr="002A0810" w:rsidRDefault="002A0810" w:rsidP="002A0810">
            <w:pPr>
              <w:pStyle w:val="TableBlock"/>
              <w:rPr>
                <w:rFonts w:ascii="David" w:hAnsi="David"/>
              </w:rPr>
            </w:pPr>
            <w:r w:rsidRPr="002A0810">
              <w:rPr>
                <w:rFonts w:ascii="David" w:hAnsi="David"/>
                <w:rtl/>
              </w:rPr>
              <w:t>בחוק המאבק בתכנית הגרעין של איראן, התשע"ב</w:t>
            </w:r>
            <w:r w:rsidRPr="002A0810">
              <w:rPr>
                <w:rFonts w:ascii="David" w:hAnsi="David"/>
                <w:sz w:val="26"/>
                <w:rtl/>
              </w:rPr>
              <w:t>–</w:t>
            </w:r>
            <w:r w:rsidRPr="002A0810">
              <w:rPr>
                <w:rFonts w:ascii="David" w:hAnsi="David"/>
                <w:rtl/>
              </w:rPr>
              <w:t xml:space="preserve">2012 </w:t>
            </w:r>
            <w:r w:rsidRPr="002A0810">
              <w:rPr>
                <w:rFonts w:ascii="David" w:hAnsi="David"/>
                <w:sz w:val="26"/>
                <w:rtl/>
              </w:rPr>
              <w:t>–</w:t>
            </w:r>
          </w:p>
        </w:tc>
      </w:tr>
      <w:tr w:rsidR="002A0810" w:rsidRPr="002A0810" w14:paraId="3E387FEF" w14:textId="77777777" w:rsidTr="002A0810">
        <w:trPr>
          <w:cantSplit/>
        </w:trPr>
        <w:tc>
          <w:tcPr>
            <w:tcW w:w="1871" w:type="dxa"/>
          </w:tcPr>
          <w:p w14:paraId="6B563A1D" w14:textId="77777777" w:rsidR="002A0810" w:rsidRPr="002A0810" w:rsidRDefault="002A0810" w:rsidP="00893EA8">
            <w:pPr>
              <w:pStyle w:val="TableSideHeading"/>
              <w:rPr>
                <w:rFonts w:ascii="David" w:hAnsi="David"/>
              </w:rPr>
            </w:pPr>
          </w:p>
        </w:tc>
        <w:tc>
          <w:tcPr>
            <w:tcW w:w="624" w:type="dxa"/>
          </w:tcPr>
          <w:p w14:paraId="66006C29" w14:textId="77777777" w:rsidR="002A0810" w:rsidRPr="002A0810" w:rsidRDefault="002A0810" w:rsidP="00893EA8">
            <w:pPr>
              <w:pStyle w:val="TableText"/>
              <w:rPr>
                <w:rFonts w:ascii="David" w:hAnsi="David"/>
              </w:rPr>
            </w:pPr>
          </w:p>
        </w:tc>
        <w:tc>
          <w:tcPr>
            <w:tcW w:w="7143" w:type="dxa"/>
            <w:gridSpan w:val="2"/>
          </w:tcPr>
          <w:p w14:paraId="39424407" w14:textId="77777777" w:rsidR="002A0810" w:rsidRPr="002A0810" w:rsidRDefault="002A0810" w:rsidP="002A0810">
            <w:pPr>
              <w:pStyle w:val="TableBlock"/>
              <w:rPr>
                <w:rFonts w:ascii="David" w:hAnsi="David"/>
              </w:rPr>
            </w:pPr>
            <w:r w:rsidRPr="002A0810">
              <w:rPr>
                <w:rFonts w:ascii="David" w:hAnsi="David"/>
                <w:sz w:val="26"/>
                <w:rtl/>
              </w:rPr>
              <w:t>(1)</w:t>
            </w:r>
            <w:r w:rsidRPr="002A0810">
              <w:rPr>
                <w:rFonts w:ascii="David" w:hAnsi="David"/>
                <w:sz w:val="26"/>
                <w:rtl/>
              </w:rPr>
              <w:tab/>
              <w:t xml:space="preserve">בסעיף 31, בסופו יבוא: </w:t>
            </w:r>
          </w:p>
        </w:tc>
      </w:tr>
      <w:tr w:rsidR="002A0810" w:rsidRPr="002A0810" w14:paraId="04BC97C3" w14:textId="77777777" w:rsidTr="002A0810">
        <w:trPr>
          <w:cantSplit/>
        </w:trPr>
        <w:tc>
          <w:tcPr>
            <w:tcW w:w="1871" w:type="dxa"/>
          </w:tcPr>
          <w:p w14:paraId="1890C0EE" w14:textId="77777777" w:rsidR="002A0810" w:rsidRPr="002A0810" w:rsidRDefault="002A0810" w:rsidP="00893EA8">
            <w:pPr>
              <w:pStyle w:val="TableSideHeading"/>
              <w:rPr>
                <w:rFonts w:ascii="David" w:hAnsi="David"/>
              </w:rPr>
            </w:pPr>
          </w:p>
        </w:tc>
        <w:tc>
          <w:tcPr>
            <w:tcW w:w="624" w:type="dxa"/>
          </w:tcPr>
          <w:p w14:paraId="04461A6B" w14:textId="77777777" w:rsidR="002A0810" w:rsidRPr="002A0810" w:rsidRDefault="002A0810" w:rsidP="00893EA8">
            <w:pPr>
              <w:pStyle w:val="TableText"/>
              <w:rPr>
                <w:rFonts w:ascii="David" w:hAnsi="David"/>
              </w:rPr>
            </w:pPr>
          </w:p>
        </w:tc>
        <w:tc>
          <w:tcPr>
            <w:tcW w:w="624" w:type="dxa"/>
          </w:tcPr>
          <w:p w14:paraId="107037F1" w14:textId="77777777" w:rsidR="002A0810" w:rsidRPr="002A0810" w:rsidRDefault="002A0810" w:rsidP="00893EA8">
            <w:pPr>
              <w:pStyle w:val="TableText"/>
              <w:rPr>
                <w:rFonts w:ascii="David" w:hAnsi="David"/>
              </w:rPr>
            </w:pPr>
          </w:p>
        </w:tc>
        <w:tc>
          <w:tcPr>
            <w:tcW w:w="6519" w:type="dxa"/>
          </w:tcPr>
          <w:p w14:paraId="3C1ECD73" w14:textId="77777777" w:rsidR="002A0810" w:rsidRPr="002A0810" w:rsidRDefault="002A0810" w:rsidP="002A0810">
            <w:pPr>
              <w:pStyle w:val="TableBlock"/>
              <w:rPr>
                <w:rFonts w:ascii="David" w:hAnsi="David"/>
              </w:rPr>
            </w:pPr>
            <w:r w:rsidRPr="002A0810">
              <w:rPr>
                <w:rFonts w:ascii="David" w:hAnsi="David"/>
                <w:sz w:val="26"/>
                <w:rtl/>
              </w:rPr>
              <w:t>"(ג)</w:t>
            </w:r>
            <w:r w:rsidRPr="002A0810">
              <w:rPr>
                <w:rFonts w:ascii="David" w:hAnsi="David"/>
                <w:sz w:val="26"/>
                <w:rtl/>
              </w:rPr>
              <w:tab/>
              <w:t>רכוש שחולט או תמורתו יופקדו בקרן שהוקמה לפי חוק קרן סיוע לקורבנות טרור במימוש פסקי-דין, התשפ"ב–2022 (בסעיף זה ובסעיף 32 – הקרן).";</w:t>
            </w:r>
          </w:p>
        </w:tc>
      </w:tr>
      <w:tr w:rsidR="002A0810" w:rsidRPr="002A0810" w14:paraId="770CF2B4" w14:textId="77777777" w:rsidTr="002A0810">
        <w:trPr>
          <w:cantSplit/>
        </w:trPr>
        <w:tc>
          <w:tcPr>
            <w:tcW w:w="1871" w:type="dxa"/>
          </w:tcPr>
          <w:p w14:paraId="5216C54B" w14:textId="77777777" w:rsidR="002A0810" w:rsidRPr="002A0810" w:rsidRDefault="002A0810" w:rsidP="00893EA8">
            <w:pPr>
              <w:pStyle w:val="TableSideHeading"/>
              <w:rPr>
                <w:rFonts w:ascii="David" w:hAnsi="David"/>
              </w:rPr>
            </w:pPr>
          </w:p>
        </w:tc>
        <w:tc>
          <w:tcPr>
            <w:tcW w:w="624" w:type="dxa"/>
          </w:tcPr>
          <w:p w14:paraId="4E9BA397" w14:textId="77777777" w:rsidR="002A0810" w:rsidRPr="002A0810" w:rsidRDefault="002A0810" w:rsidP="00893EA8">
            <w:pPr>
              <w:pStyle w:val="TableText"/>
              <w:rPr>
                <w:rFonts w:ascii="David" w:hAnsi="David"/>
              </w:rPr>
            </w:pPr>
          </w:p>
        </w:tc>
        <w:tc>
          <w:tcPr>
            <w:tcW w:w="7143" w:type="dxa"/>
            <w:gridSpan w:val="2"/>
          </w:tcPr>
          <w:p w14:paraId="43DFAD6C" w14:textId="77777777" w:rsidR="002A0810" w:rsidRPr="002A0810" w:rsidRDefault="002A0810" w:rsidP="002A0810">
            <w:pPr>
              <w:pStyle w:val="TableBlock"/>
              <w:rPr>
                <w:rFonts w:ascii="David" w:hAnsi="David"/>
                <w:sz w:val="26"/>
                <w:rtl/>
              </w:rPr>
            </w:pPr>
            <w:r w:rsidRPr="002A0810">
              <w:rPr>
                <w:rFonts w:ascii="David" w:hAnsi="David"/>
                <w:sz w:val="26"/>
                <w:rtl/>
              </w:rPr>
              <w:t>(2)</w:t>
            </w:r>
            <w:r w:rsidRPr="002A0810">
              <w:rPr>
                <w:rFonts w:ascii="David" w:hAnsi="David"/>
                <w:sz w:val="26"/>
                <w:rtl/>
              </w:rPr>
              <w:tab/>
              <w:t>בסעיף 32, בסופו יבוא:</w:t>
            </w:r>
          </w:p>
        </w:tc>
      </w:tr>
      <w:tr w:rsidR="002A0810" w:rsidRPr="002A0810" w14:paraId="4EECF991" w14:textId="77777777" w:rsidTr="002A0810">
        <w:trPr>
          <w:cantSplit/>
        </w:trPr>
        <w:tc>
          <w:tcPr>
            <w:tcW w:w="1871" w:type="dxa"/>
          </w:tcPr>
          <w:p w14:paraId="46C7E7DD" w14:textId="77777777" w:rsidR="002A0810" w:rsidRPr="002A0810" w:rsidRDefault="002A0810" w:rsidP="00893EA8">
            <w:pPr>
              <w:pStyle w:val="TableSideHeading"/>
              <w:rPr>
                <w:rFonts w:ascii="David" w:hAnsi="David"/>
              </w:rPr>
            </w:pPr>
          </w:p>
        </w:tc>
        <w:tc>
          <w:tcPr>
            <w:tcW w:w="624" w:type="dxa"/>
          </w:tcPr>
          <w:p w14:paraId="7E16E884" w14:textId="77777777" w:rsidR="002A0810" w:rsidRPr="002A0810" w:rsidRDefault="002A0810" w:rsidP="00893EA8">
            <w:pPr>
              <w:pStyle w:val="TableText"/>
              <w:rPr>
                <w:rFonts w:ascii="David" w:hAnsi="David"/>
              </w:rPr>
            </w:pPr>
          </w:p>
        </w:tc>
        <w:tc>
          <w:tcPr>
            <w:tcW w:w="624" w:type="dxa"/>
          </w:tcPr>
          <w:p w14:paraId="4FE30AFC" w14:textId="77777777" w:rsidR="002A0810" w:rsidRPr="002A0810" w:rsidRDefault="002A0810" w:rsidP="00893EA8">
            <w:pPr>
              <w:pStyle w:val="TableText"/>
              <w:rPr>
                <w:rFonts w:ascii="David" w:hAnsi="David"/>
              </w:rPr>
            </w:pPr>
          </w:p>
        </w:tc>
        <w:tc>
          <w:tcPr>
            <w:tcW w:w="6519" w:type="dxa"/>
          </w:tcPr>
          <w:p w14:paraId="54294947" w14:textId="77777777" w:rsidR="002A0810" w:rsidRPr="002A0810" w:rsidRDefault="002A0810" w:rsidP="002A0810">
            <w:pPr>
              <w:pStyle w:val="TableBlock"/>
              <w:rPr>
                <w:rFonts w:ascii="David" w:hAnsi="David"/>
              </w:rPr>
            </w:pPr>
            <w:r w:rsidRPr="002A0810">
              <w:rPr>
                <w:rFonts w:ascii="David" w:hAnsi="David"/>
                <w:rtl/>
              </w:rPr>
              <w:t>"(ג)</w:t>
            </w:r>
            <w:r w:rsidRPr="002A0810">
              <w:rPr>
                <w:rFonts w:ascii="David" w:hAnsi="David"/>
                <w:rtl/>
              </w:rPr>
              <w:tab/>
              <w:t>רכוש שחולט או תמורתו יופקדו בקרן".</w:t>
            </w:r>
          </w:p>
        </w:tc>
      </w:tr>
      <w:tr w:rsidR="002A0810" w:rsidRPr="002A0810" w14:paraId="307CBD4E" w14:textId="77777777" w:rsidTr="002A0810">
        <w:trPr>
          <w:cantSplit/>
        </w:trPr>
        <w:tc>
          <w:tcPr>
            <w:tcW w:w="1871" w:type="dxa"/>
          </w:tcPr>
          <w:p w14:paraId="742F022B" w14:textId="77777777" w:rsidR="002A0810" w:rsidRPr="002A0810" w:rsidRDefault="002A0810" w:rsidP="00893EA8">
            <w:pPr>
              <w:pStyle w:val="TableSideHeading"/>
              <w:keepLines w:val="0"/>
              <w:rPr>
                <w:rFonts w:ascii="David" w:hAnsi="David"/>
                <w:sz w:val="26"/>
                <w:rtl/>
              </w:rPr>
            </w:pPr>
            <w:r w:rsidRPr="002A0810">
              <w:rPr>
                <w:rFonts w:ascii="David" w:hAnsi="David"/>
                <w:sz w:val="26"/>
                <w:rtl/>
              </w:rPr>
              <w:t xml:space="preserve">תיקון חוק </w:t>
            </w:r>
            <w:r w:rsidRPr="002A0810">
              <w:rPr>
                <w:rFonts w:ascii="David" w:hAnsi="David"/>
                <w:sz w:val="26"/>
                <w:rtl/>
              </w:rPr>
              <w:br/>
              <w:t xml:space="preserve">למניעת הפצה </w:t>
            </w:r>
            <w:r w:rsidRPr="002A0810">
              <w:rPr>
                <w:rFonts w:ascii="David" w:hAnsi="David"/>
                <w:sz w:val="26"/>
                <w:rtl/>
              </w:rPr>
              <w:br/>
              <w:t>ומימון של נשק להשמדה המונית</w:t>
            </w:r>
          </w:p>
        </w:tc>
        <w:tc>
          <w:tcPr>
            <w:tcW w:w="624" w:type="dxa"/>
          </w:tcPr>
          <w:p w14:paraId="3F50F03B" w14:textId="31322648" w:rsidR="002A0810" w:rsidRPr="002A0810" w:rsidRDefault="002A0810" w:rsidP="002A0810">
            <w:pPr>
              <w:pStyle w:val="TableText"/>
              <w:rPr>
                <w:rFonts w:ascii="David" w:hAnsi="David"/>
              </w:rPr>
            </w:pPr>
            <w:r w:rsidRPr="002A0810">
              <w:rPr>
                <w:rFonts w:ascii="David" w:hAnsi="David"/>
                <w:rtl/>
              </w:rPr>
              <w:t>6.</w:t>
            </w:r>
            <w:r>
              <w:rPr>
                <w:rFonts w:ascii="David" w:hAnsi="David"/>
              </w:rPr>
              <w:t xml:space="preserve"> </w:t>
            </w:r>
            <w:r w:rsidRPr="002A0810">
              <w:rPr>
                <w:rFonts w:ascii="David" w:hAnsi="David"/>
              </w:rPr>
              <w:t xml:space="preserve"> </w:t>
            </w:r>
          </w:p>
        </w:tc>
        <w:tc>
          <w:tcPr>
            <w:tcW w:w="7143" w:type="dxa"/>
            <w:gridSpan w:val="2"/>
          </w:tcPr>
          <w:p w14:paraId="1F1CD74F" w14:textId="77777777" w:rsidR="002A0810" w:rsidRPr="002A0810" w:rsidRDefault="002A0810" w:rsidP="002A0810">
            <w:pPr>
              <w:pStyle w:val="TableBlock"/>
              <w:rPr>
                <w:rtl/>
              </w:rPr>
            </w:pPr>
            <w:r w:rsidRPr="002A0810">
              <w:rPr>
                <w:rtl/>
              </w:rPr>
              <w:t>בחוק למניעת הפצה ומימון של נשק להשמדה המונית, התשע"ח–2018, בסעיף 20, בסופו יבוא:</w:t>
            </w:r>
          </w:p>
        </w:tc>
      </w:tr>
      <w:tr w:rsidR="002A0810" w:rsidRPr="002A0810" w14:paraId="26FB2841" w14:textId="77777777" w:rsidTr="002A0810">
        <w:trPr>
          <w:cantSplit/>
        </w:trPr>
        <w:tc>
          <w:tcPr>
            <w:tcW w:w="1871" w:type="dxa"/>
          </w:tcPr>
          <w:p w14:paraId="3C771761" w14:textId="77777777" w:rsidR="002A0810" w:rsidRPr="002A0810" w:rsidRDefault="002A0810" w:rsidP="00893EA8">
            <w:pPr>
              <w:pStyle w:val="TableSideHeading"/>
              <w:rPr>
                <w:rFonts w:ascii="David" w:hAnsi="David"/>
              </w:rPr>
            </w:pPr>
          </w:p>
        </w:tc>
        <w:tc>
          <w:tcPr>
            <w:tcW w:w="624" w:type="dxa"/>
          </w:tcPr>
          <w:p w14:paraId="3FC8A700" w14:textId="77777777" w:rsidR="002A0810" w:rsidRPr="002A0810" w:rsidRDefault="002A0810" w:rsidP="00893EA8">
            <w:pPr>
              <w:pStyle w:val="TableText"/>
              <w:rPr>
                <w:rFonts w:ascii="David" w:hAnsi="David"/>
              </w:rPr>
            </w:pPr>
          </w:p>
        </w:tc>
        <w:tc>
          <w:tcPr>
            <w:tcW w:w="7143" w:type="dxa"/>
            <w:gridSpan w:val="2"/>
          </w:tcPr>
          <w:p w14:paraId="0FBB7EC6" w14:textId="77777777" w:rsidR="002A0810" w:rsidRPr="002A0810" w:rsidRDefault="002A0810" w:rsidP="002A0810">
            <w:pPr>
              <w:pStyle w:val="TableBlock"/>
              <w:rPr>
                <w:rtl/>
              </w:rPr>
            </w:pPr>
            <w:r w:rsidRPr="002A0810">
              <w:rPr>
                <w:rtl/>
              </w:rPr>
              <w:t>"(ד)</w:t>
            </w:r>
            <w:r w:rsidRPr="002A0810">
              <w:rPr>
                <w:rtl/>
              </w:rPr>
              <w:tab/>
              <w:t>רכוש שחולט או תמורתו יופקדו בקרן שהוקמה לפי חוק קרן סיוע לקורבנות טרור במימוש פסקי-דין, התשפ"ב–2022".</w:t>
            </w:r>
          </w:p>
        </w:tc>
      </w:tr>
      <w:tr w:rsidR="002A0810" w:rsidRPr="002A0810" w14:paraId="1C4AA8A1" w14:textId="77777777" w:rsidTr="002A0810">
        <w:trPr>
          <w:cantSplit/>
        </w:trPr>
        <w:tc>
          <w:tcPr>
            <w:tcW w:w="1871" w:type="dxa"/>
          </w:tcPr>
          <w:p w14:paraId="0C44138B" w14:textId="77777777" w:rsidR="002A0810" w:rsidRPr="002A0810" w:rsidRDefault="002A0810" w:rsidP="00893EA8">
            <w:pPr>
              <w:pStyle w:val="TableSideHeading"/>
              <w:keepLines w:val="0"/>
              <w:rPr>
                <w:rFonts w:ascii="David" w:hAnsi="David"/>
                <w:sz w:val="26"/>
                <w:rtl/>
              </w:rPr>
            </w:pPr>
            <w:r w:rsidRPr="002A0810">
              <w:rPr>
                <w:rFonts w:ascii="David" w:hAnsi="David"/>
                <w:sz w:val="26"/>
                <w:rtl/>
              </w:rPr>
              <w:t xml:space="preserve">תיקון פקודת </w:t>
            </w:r>
            <w:r w:rsidRPr="002A0810">
              <w:rPr>
                <w:rFonts w:ascii="David" w:hAnsi="David"/>
                <w:sz w:val="26"/>
                <w:rtl/>
              </w:rPr>
              <w:br/>
              <w:t xml:space="preserve">המסחר עם </w:t>
            </w:r>
            <w:r w:rsidRPr="002A0810">
              <w:rPr>
                <w:rFonts w:ascii="David" w:hAnsi="David"/>
                <w:sz w:val="26"/>
                <w:rtl/>
              </w:rPr>
              <w:br/>
              <w:t>האויב</w:t>
            </w:r>
          </w:p>
        </w:tc>
        <w:tc>
          <w:tcPr>
            <w:tcW w:w="624" w:type="dxa"/>
          </w:tcPr>
          <w:p w14:paraId="2AAE6B60" w14:textId="77777777" w:rsidR="002A0810" w:rsidRPr="002A0810" w:rsidRDefault="002A0810" w:rsidP="00893EA8">
            <w:pPr>
              <w:pStyle w:val="TableText"/>
              <w:rPr>
                <w:rFonts w:ascii="David" w:hAnsi="David"/>
              </w:rPr>
            </w:pPr>
            <w:r w:rsidRPr="002A0810">
              <w:rPr>
                <w:rFonts w:ascii="David" w:hAnsi="David"/>
                <w:rtl/>
              </w:rPr>
              <w:t>7.</w:t>
            </w:r>
          </w:p>
        </w:tc>
        <w:tc>
          <w:tcPr>
            <w:tcW w:w="7143" w:type="dxa"/>
            <w:gridSpan w:val="2"/>
          </w:tcPr>
          <w:p w14:paraId="005A1E57" w14:textId="77777777" w:rsidR="002A0810" w:rsidRPr="002A0810" w:rsidRDefault="002A0810" w:rsidP="002A0810">
            <w:pPr>
              <w:pStyle w:val="TableBlock"/>
              <w:rPr>
                <w:rFonts w:ascii="David" w:hAnsi="David"/>
                <w:sz w:val="26"/>
                <w:rtl/>
              </w:rPr>
            </w:pPr>
            <w:r w:rsidRPr="002A0810">
              <w:rPr>
                <w:rFonts w:ascii="David" w:hAnsi="David"/>
                <w:sz w:val="26"/>
                <w:rtl/>
              </w:rPr>
              <w:t>בפקודת המסחר עם האויב –</w:t>
            </w:r>
          </w:p>
        </w:tc>
      </w:tr>
      <w:tr w:rsidR="002A0810" w:rsidRPr="002A0810" w14:paraId="45517207" w14:textId="77777777" w:rsidTr="002A0810">
        <w:trPr>
          <w:cantSplit/>
        </w:trPr>
        <w:tc>
          <w:tcPr>
            <w:tcW w:w="1871" w:type="dxa"/>
          </w:tcPr>
          <w:p w14:paraId="7733E4BB" w14:textId="77777777" w:rsidR="002A0810" w:rsidRPr="002A0810" w:rsidRDefault="002A0810" w:rsidP="00893EA8">
            <w:pPr>
              <w:pStyle w:val="TableSideHeading"/>
              <w:rPr>
                <w:rFonts w:ascii="David" w:hAnsi="David"/>
              </w:rPr>
            </w:pPr>
          </w:p>
        </w:tc>
        <w:tc>
          <w:tcPr>
            <w:tcW w:w="624" w:type="dxa"/>
          </w:tcPr>
          <w:p w14:paraId="1CDAC3A9" w14:textId="77777777" w:rsidR="002A0810" w:rsidRPr="002A0810" w:rsidRDefault="002A0810" w:rsidP="00893EA8">
            <w:pPr>
              <w:pStyle w:val="TableText"/>
              <w:rPr>
                <w:rFonts w:ascii="David" w:hAnsi="David"/>
              </w:rPr>
            </w:pPr>
          </w:p>
        </w:tc>
        <w:tc>
          <w:tcPr>
            <w:tcW w:w="7143" w:type="dxa"/>
            <w:gridSpan w:val="2"/>
          </w:tcPr>
          <w:p w14:paraId="0F90E943" w14:textId="52D48734" w:rsidR="002A0810" w:rsidRPr="002A0810" w:rsidRDefault="00A02E41" w:rsidP="00A02E41">
            <w:pPr>
              <w:pStyle w:val="TableBlock"/>
              <w:rPr>
                <w:rFonts w:ascii="David" w:hAnsi="David"/>
              </w:rPr>
            </w:pPr>
            <w:r>
              <w:rPr>
                <w:rFonts w:ascii="David" w:hAnsi="David"/>
                <w:sz w:val="26"/>
                <w:rtl/>
              </w:rPr>
              <w:t>(1)</w:t>
            </w:r>
            <w:r>
              <w:rPr>
                <w:rFonts w:ascii="David" w:hAnsi="David"/>
                <w:sz w:val="26"/>
                <w:rtl/>
              </w:rPr>
              <w:tab/>
              <w:t>בסעיף 3(1), בסיפ</w:t>
            </w:r>
            <w:r>
              <w:rPr>
                <w:rFonts w:ascii="David" w:hAnsi="David" w:hint="cs"/>
                <w:sz w:val="26"/>
                <w:rtl/>
              </w:rPr>
              <w:t>א</w:t>
            </w:r>
            <w:r w:rsidR="002A0810" w:rsidRPr="002A0810">
              <w:rPr>
                <w:rFonts w:ascii="David" w:hAnsi="David"/>
                <w:sz w:val="26"/>
                <w:rtl/>
              </w:rPr>
              <w:t>, בסופה יבוא: "קנס ששולם או כספים שהוחרמו יופקדו בקרן שהוקמה לפי חוק קרן סיוע לקורבנות טרור במימוש פסקי-דין, התשפ"ב–2022 (להלן – הקרן).";</w:t>
            </w:r>
          </w:p>
        </w:tc>
      </w:tr>
      <w:tr w:rsidR="002A0810" w:rsidRPr="002A0810" w14:paraId="12B2DA3C" w14:textId="77777777" w:rsidTr="002A0810">
        <w:trPr>
          <w:cantSplit/>
        </w:trPr>
        <w:tc>
          <w:tcPr>
            <w:tcW w:w="1871" w:type="dxa"/>
          </w:tcPr>
          <w:p w14:paraId="60904358" w14:textId="77777777" w:rsidR="002A0810" w:rsidRPr="002A0810" w:rsidRDefault="002A0810" w:rsidP="00893EA8">
            <w:pPr>
              <w:pStyle w:val="TableSideHeading"/>
              <w:rPr>
                <w:rFonts w:ascii="David" w:hAnsi="David"/>
              </w:rPr>
            </w:pPr>
          </w:p>
        </w:tc>
        <w:tc>
          <w:tcPr>
            <w:tcW w:w="624" w:type="dxa"/>
          </w:tcPr>
          <w:p w14:paraId="197467C7" w14:textId="77777777" w:rsidR="002A0810" w:rsidRPr="002A0810" w:rsidRDefault="002A0810" w:rsidP="00893EA8">
            <w:pPr>
              <w:pStyle w:val="TableText"/>
              <w:rPr>
                <w:rFonts w:ascii="David" w:hAnsi="David"/>
              </w:rPr>
            </w:pPr>
          </w:p>
        </w:tc>
        <w:tc>
          <w:tcPr>
            <w:tcW w:w="7143" w:type="dxa"/>
            <w:gridSpan w:val="2"/>
          </w:tcPr>
          <w:p w14:paraId="21BE0AD9" w14:textId="77777777" w:rsidR="002A0810" w:rsidRPr="002A0810" w:rsidRDefault="002A0810" w:rsidP="002A0810">
            <w:pPr>
              <w:pStyle w:val="TableBlock"/>
              <w:rPr>
                <w:rFonts w:ascii="David" w:hAnsi="David"/>
                <w:sz w:val="26"/>
                <w:rtl/>
              </w:rPr>
            </w:pPr>
            <w:r w:rsidRPr="002A0810">
              <w:rPr>
                <w:rFonts w:ascii="David" w:hAnsi="David"/>
                <w:sz w:val="26"/>
                <w:rtl/>
              </w:rPr>
              <w:t>(2)</w:t>
            </w:r>
            <w:r w:rsidRPr="002A0810">
              <w:rPr>
                <w:rFonts w:ascii="David" w:hAnsi="David"/>
                <w:sz w:val="26"/>
                <w:rtl/>
              </w:rPr>
              <w:tab/>
              <w:t>בסעיף 5ג, בסופו יבוא:</w:t>
            </w:r>
          </w:p>
        </w:tc>
      </w:tr>
      <w:tr w:rsidR="002A0810" w:rsidRPr="002A0810" w14:paraId="2D8DD13D" w14:textId="77777777" w:rsidTr="002A0810">
        <w:trPr>
          <w:cantSplit/>
        </w:trPr>
        <w:tc>
          <w:tcPr>
            <w:tcW w:w="1871" w:type="dxa"/>
          </w:tcPr>
          <w:p w14:paraId="726AFA7F" w14:textId="77777777" w:rsidR="002A0810" w:rsidRPr="002A0810" w:rsidRDefault="002A0810" w:rsidP="00893EA8">
            <w:pPr>
              <w:pStyle w:val="TableSideHeading"/>
              <w:rPr>
                <w:rFonts w:ascii="David" w:hAnsi="David"/>
              </w:rPr>
            </w:pPr>
          </w:p>
        </w:tc>
        <w:tc>
          <w:tcPr>
            <w:tcW w:w="624" w:type="dxa"/>
          </w:tcPr>
          <w:p w14:paraId="0D18DE04" w14:textId="77777777" w:rsidR="002A0810" w:rsidRPr="002A0810" w:rsidRDefault="002A0810" w:rsidP="00893EA8">
            <w:pPr>
              <w:pStyle w:val="TableText"/>
              <w:rPr>
                <w:rFonts w:ascii="David" w:hAnsi="David"/>
              </w:rPr>
            </w:pPr>
          </w:p>
        </w:tc>
        <w:tc>
          <w:tcPr>
            <w:tcW w:w="624" w:type="dxa"/>
          </w:tcPr>
          <w:p w14:paraId="0E09E6F2" w14:textId="77777777" w:rsidR="002A0810" w:rsidRPr="002A0810" w:rsidRDefault="002A0810" w:rsidP="00893EA8">
            <w:pPr>
              <w:pStyle w:val="TableText"/>
              <w:rPr>
                <w:rFonts w:ascii="David" w:hAnsi="David"/>
              </w:rPr>
            </w:pPr>
          </w:p>
        </w:tc>
        <w:tc>
          <w:tcPr>
            <w:tcW w:w="6519" w:type="dxa"/>
          </w:tcPr>
          <w:p w14:paraId="2CED7AD4" w14:textId="77777777" w:rsidR="002A0810" w:rsidRPr="002A0810" w:rsidRDefault="002A0810" w:rsidP="002A0810">
            <w:pPr>
              <w:pStyle w:val="TableBlock"/>
              <w:rPr>
                <w:rFonts w:ascii="David" w:hAnsi="David"/>
              </w:rPr>
            </w:pPr>
            <w:r w:rsidRPr="002A0810">
              <w:rPr>
                <w:rFonts w:ascii="David" w:hAnsi="David"/>
                <w:rtl/>
              </w:rPr>
              <w:t>"(ח)</w:t>
            </w:r>
            <w:r w:rsidRPr="002A0810">
              <w:rPr>
                <w:rFonts w:ascii="David" w:hAnsi="David"/>
                <w:rtl/>
              </w:rPr>
              <w:tab/>
              <w:t>סכום העיצום הכספי ששולם יופקד בקרן.";</w:t>
            </w:r>
          </w:p>
        </w:tc>
      </w:tr>
      <w:tr w:rsidR="002A0810" w:rsidRPr="002A0810" w14:paraId="10DB08C7" w14:textId="77777777" w:rsidTr="002A0810">
        <w:trPr>
          <w:cantSplit/>
        </w:trPr>
        <w:tc>
          <w:tcPr>
            <w:tcW w:w="1871" w:type="dxa"/>
          </w:tcPr>
          <w:p w14:paraId="34A0C9CF" w14:textId="77777777" w:rsidR="002A0810" w:rsidRPr="002A0810" w:rsidRDefault="002A0810" w:rsidP="00893EA8">
            <w:pPr>
              <w:pStyle w:val="TableSideHeading"/>
              <w:rPr>
                <w:rFonts w:ascii="David" w:hAnsi="David"/>
              </w:rPr>
            </w:pPr>
          </w:p>
        </w:tc>
        <w:tc>
          <w:tcPr>
            <w:tcW w:w="624" w:type="dxa"/>
          </w:tcPr>
          <w:p w14:paraId="176AC9F7" w14:textId="77777777" w:rsidR="002A0810" w:rsidRPr="002A0810" w:rsidRDefault="002A0810" w:rsidP="00893EA8">
            <w:pPr>
              <w:pStyle w:val="TableText"/>
              <w:rPr>
                <w:rFonts w:ascii="David" w:hAnsi="David"/>
              </w:rPr>
            </w:pPr>
          </w:p>
        </w:tc>
        <w:tc>
          <w:tcPr>
            <w:tcW w:w="7143" w:type="dxa"/>
            <w:gridSpan w:val="2"/>
          </w:tcPr>
          <w:p w14:paraId="76D2D24F" w14:textId="77777777" w:rsidR="002A0810" w:rsidRPr="002A0810" w:rsidRDefault="002A0810" w:rsidP="002A0810">
            <w:pPr>
              <w:pStyle w:val="TableBlock"/>
              <w:rPr>
                <w:rFonts w:ascii="David" w:hAnsi="David"/>
                <w:sz w:val="26"/>
                <w:rtl/>
              </w:rPr>
            </w:pPr>
            <w:r w:rsidRPr="002A0810">
              <w:rPr>
                <w:rFonts w:ascii="David" w:hAnsi="David"/>
                <w:sz w:val="26"/>
                <w:rtl/>
              </w:rPr>
              <w:t>(3)</w:t>
            </w:r>
            <w:r w:rsidRPr="002A0810">
              <w:rPr>
                <w:rFonts w:ascii="David" w:hAnsi="David"/>
                <w:sz w:val="26"/>
                <w:rtl/>
              </w:rPr>
              <w:tab/>
              <w:t>בסעיף 9(10) במקום הקטע שבין "רשאי שר האוצר" ועד "להעביר מרשות לרשות", יבוא: "שר האוצר יורה להעביר לאפוטרופוס הכללי ולהפקיד בקרן";</w:t>
            </w:r>
          </w:p>
        </w:tc>
      </w:tr>
      <w:tr w:rsidR="002A0810" w:rsidRPr="002A0810" w14:paraId="72D487AC" w14:textId="77777777" w:rsidTr="002A0810">
        <w:trPr>
          <w:cantSplit/>
        </w:trPr>
        <w:tc>
          <w:tcPr>
            <w:tcW w:w="1871" w:type="dxa"/>
          </w:tcPr>
          <w:p w14:paraId="3DEC794F" w14:textId="55C78223" w:rsidR="002A0810" w:rsidRPr="002A0810" w:rsidRDefault="000739D8" w:rsidP="00893EA8">
            <w:pPr>
              <w:pStyle w:val="TableSideHeading"/>
              <w:rPr>
                <w:rFonts w:ascii="David" w:hAnsi="David"/>
                <w:rtl/>
              </w:rPr>
            </w:pPr>
            <w:r>
              <w:rPr>
                <w:rFonts w:ascii="David" w:hAnsi="David" w:hint="cs"/>
                <w:rtl/>
              </w:rPr>
              <w:t>תחולת הוראות באזור</w:t>
            </w:r>
          </w:p>
        </w:tc>
        <w:tc>
          <w:tcPr>
            <w:tcW w:w="624" w:type="dxa"/>
          </w:tcPr>
          <w:p w14:paraId="33F69C53" w14:textId="77777777" w:rsidR="002A0810" w:rsidRPr="002A0810" w:rsidRDefault="002A0810" w:rsidP="00893EA8">
            <w:pPr>
              <w:pStyle w:val="TableText"/>
              <w:rPr>
                <w:rFonts w:ascii="David" w:hAnsi="David"/>
                <w:rtl/>
              </w:rPr>
            </w:pPr>
            <w:r w:rsidRPr="002A0810">
              <w:rPr>
                <w:rFonts w:ascii="David" w:hAnsi="David"/>
                <w:rtl/>
              </w:rPr>
              <w:t>8.</w:t>
            </w:r>
          </w:p>
        </w:tc>
        <w:tc>
          <w:tcPr>
            <w:tcW w:w="7143" w:type="dxa"/>
            <w:gridSpan w:val="2"/>
          </w:tcPr>
          <w:p w14:paraId="16D7E0B7" w14:textId="77777777" w:rsidR="002A0810" w:rsidRPr="002A0810" w:rsidRDefault="002A0810" w:rsidP="002A0810">
            <w:pPr>
              <w:pStyle w:val="TableBlock"/>
              <w:rPr>
                <w:rFonts w:ascii="David" w:hAnsi="David"/>
                <w:sz w:val="26"/>
                <w:rtl/>
              </w:rPr>
            </w:pPr>
            <w:r w:rsidRPr="002A0810">
              <w:rPr>
                <w:rFonts w:ascii="David" w:hAnsi="David"/>
                <w:sz w:val="26"/>
                <w:rtl/>
              </w:rPr>
              <w:t>שר הביטחון יורה למפקד כוחות צבא הגנה לישראל באזור, כהגדרתו בתוספת לחוק להארכת תוקפן של תקנות שעת חירום (יהודה והשומרון וחבל עזה – שיפוט בעבירות ועזרה משפטית), התשכ"ח–1967, לתקן את צו בדבר הוראת ביטחון [נוסח משולב] (יהודה ושומרון)(מס' 1651), התש"ע–2009, כך שייקבע בו כי רכוש שחולט לפי סעיף 65 לצו האמור, או תמורתו, וכן קנסות ששולמו לפי סעיף 173 לצו, יופקדו בקרן שהוקמה לפי חוק זה.</w:t>
            </w:r>
          </w:p>
        </w:tc>
      </w:tr>
      <w:tr w:rsidR="002A0810" w:rsidRPr="002A0810" w14:paraId="0C05A0C7" w14:textId="77777777" w:rsidTr="002A0810">
        <w:trPr>
          <w:cantSplit/>
        </w:trPr>
        <w:tc>
          <w:tcPr>
            <w:tcW w:w="1871" w:type="dxa"/>
          </w:tcPr>
          <w:p w14:paraId="0044800E" w14:textId="722A3D8D" w:rsidR="002A0810" w:rsidRPr="002A0810" w:rsidRDefault="002A0810" w:rsidP="002A0810">
            <w:pPr>
              <w:pStyle w:val="TableSideHeading"/>
              <w:rPr>
                <w:rFonts w:ascii="David" w:hAnsi="David"/>
              </w:rPr>
            </w:pPr>
            <w:r w:rsidRPr="002A0810">
              <w:rPr>
                <w:rFonts w:ascii="David" w:hAnsi="David"/>
                <w:rtl/>
              </w:rPr>
              <w:t>ביצוע  ותקנות</w:t>
            </w:r>
            <w:r>
              <w:rPr>
                <w:rFonts w:ascii="David" w:hAnsi="David"/>
              </w:rPr>
              <w:t xml:space="preserve"> </w:t>
            </w:r>
          </w:p>
        </w:tc>
        <w:tc>
          <w:tcPr>
            <w:tcW w:w="624" w:type="dxa"/>
          </w:tcPr>
          <w:p w14:paraId="5EF14824" w14:textId="77777777" w:rsidR="002A0810" w:rsidRPr="002A0810" w:rsidRDefault="002A0810" w:rsidP="00893EA8">
            <w:pPr>
              <w:pStyle w:val="TableText"/>
              <w:rPr>
                <w:rFonts w:ascii="David" w:hAnsi="David"/>
              </w:rPr>
            </w:pPr>
            <w:r w:rsidRPr="002A0810">
              <w:rPr>
                <w:rFonts w:ascii="David" w:hAnsi="David"/>
                <w:rtl/>
              </w:rPr>
              <w:t>9.</w:t>
            </w:r>
          </w:p>
        </w:tc>
        <w:tc>
          <w:tcPr>
            <w:tcW w:w="7143" w:type="dxa"/>
            <w:gridSpan w:val="2"/>
          </w:tcPr>
          <w:p w14:paraId="6969699D" w14:textId="56B3D233" w:rsidR="002A0810" w:rsidRPr="002A0810" w:rsidRDefault="002A0810" w:rsidP="00A02E41">
            <w:pPr>
              <w:pStyle w:val="TableBlock"/>
              <w:rPr>
                <w:rFonts w:ascii="David" w:hAnsi="David"/>
              </w:rPr>
            </w:pPr>
            <w:r w:rsidRPr="002A0810">
              <w:rPr>
                <w:rFonts w:ascii="David" w:hAnsi="David"/>
                <w:sz w:val="26"/>
                <w:rtl/>
              </w:rPr>
              <w:t xml:space="preserve">שר המשפטים ממונה על ביצועו של חוק זה, והוא רשאי, בהסכמת שר האוצר ובאישור ועדת </w:t>
            </w:r>
            <w:r w:rsidR="000739D8">
              <w:rPr>
                <w:rFonts w:ascii="David" w:hAnsi="David" w:hint="cs"/>
                <w:sz w:val="26"/>
                <w:rtl/>
              </w:rPr>
              <w:t>ה</w:t>
            </w:r>
            <w:r w:rsidRPr="002A0810">
              <w:rPr>
                <w:rFonts w:ascii="David" w:hAnsi="David"/>
                <w:sz w:val="26"/>
                <w:rtl/>
              </w:rPr>
              <w:t>חוץ ו</w:t>
            </w:r>
            <w:r w:rsidR="000739D8">
              <w:rPr>
                <w:rFonts w:ascii="David" w:hAnsi="David" w:hint="cs"/>
                <w:sz w:val="26"/>
                <w:rtl/>
              </w:rPr>
              <w:t>ה</w:t>
            </w:r>
            <w:r w:rsidRPr="002A0810">
              <w:rPr>
                <w:rFonts w:ascii="David" w:hAnsi="David"/>
                <w:sz w:val="26"/>
                <w:rtl/>
              </w:rPr>
              <w:t>ב</w:t>
            </w:r>
            <w:r w:rsidR="000739D8">
              <w:rPr>
                <w:rFonts w:ascii="David" w:hAnsi="David" w:hint="cs"/>
                <w:sz w:val="26"/>
                <w:rtl/>
              </w:rPr>
              <w:t>י</w:t>
            </w:r>
            <w:r w:rsidRPr="002A0810">
              <w:rPr>
                <w:rFonts w:ascii="David" w:hAnsi="David"/>
                <w:sz w:val="26"/>
                <w:rtl/>
              </w:rPr>
              <w:t>טחון של הכנסת, להתקין תקנות לביצועו.</w:t>
            </w:r>
          </w:p>
        </w:tc>
      </w:tr>
      <w:tr w:rsidR="002A0810" w:rsidRPr="002A0810" w14:paraId="2141C00B" w14:textId="77777777" w:rsidTr="002A0810">
        <w:trPr>
          <w:cantSplit/>
        </w:trPr>
        <w:tc>
          <w:tcPr>
            <w:tcW w:w="1871" w:type="dxa"/>
          </w:tcPr>
          <w:p w14:paraId="4EF5A59E" w14:textId="77777777" w:rsidR="002A0810" w:rsidRPr="002A0810" w:rsidDel="00141FF1" w:rsidRDefault="002A0810" w:rsidP="00893EA8">
            <w:pPr>
              <w:pStyle w:val="TableSideHeading"/>
              <w:rPr>
                <w:rFonts w:ascii="David" w:hAnsi="David"/>
                <w:rtl/>
              </w:rPr>
            </w:pPr>
            <w:r w:rsidRPr="002A0810">
              <w:rPr>
                <w:rFonts w:ascii="David" w:hAnsi="David"/>
                <w:rtl/>
              </w:rPr>
              <w:t>תחילה</w:t>
            </w:r>
          </w:p>
        </w:tc>
        <w:tc>
          <w:tcPr>
            <w:tcW w:w="624" w:type="dxa"/>
          </w:tcPr>
          <w:p w14:paraId="40DF887F" w14:textId="77777777" w:rsidR="002A0810" w:rsidRPr="002A0810" w:rsidDel="00141FF1" w:rsidRDefault="002A0810" w:rsidP="00893EA8">
            <w:pPr>
              <w:pStyle w:val="TableText"/>
              <w:rPr>
                <w:rFonts w:ascii="David" w:hAnsi="David"/>
                <w:rtl/>
              </w:rPr>
            </w:pPr>
            <w:r w:rsidRPr="002A0810">
              <w:rPr>
                <w:rFonts w:ascii="David" w:hAnsi="David"/>
                <w:rtl/>
              </w:rPr>
              <w:t>10.</w:t>
            </w:r>
          </w:p>
        </w:tc>
        <w:tc>
          <w:tcPr>
            <w:tcW w:w="7143" w:type="dxa"/>
            <w:gridSpan w:val="2"/>
          </w:tcPr>
          <w:p w14:paraId="5A8451C4" w14:textId="77777777" w:rsidR="002A0810" w:rsidRPr="002A0810" w:rsidRDefault="002A0810" w:rsidP="002A0810">
            <w:pPr>
              <w:pStyle w:val="TableBlock"/>
              <w:rPr>
                <w:rFonts w:ascii="David" w:hAnsi="David"/>
                <w:sz w:val="26"/>
                <w:rtl/>
              </w:rPr>
            </w:pPr>
            <w:r w:rsidRPr="002A0810">
              <w:rPr>
                <w:rFonts w:ascii="David" w:hAnsi="David"/>
                <w:sz w:val="26"/>
                <w:rtl/>
              </w:rPr>
              <w:t>הקרן לפי סעיף 2 תוקם בתוך שלושה חודשים מיום פרסומו של חוק זה.</w:t>
            </w:r>
          </w:p>
        </w:tc>
      </w:tr>
    </w:tbl>
    <w:p w14:paraId="1AE1983C" w14:textId="04E1A77F" w:rsidR="002A0810" w:rsidRDefault="002A0810" w:rsidP="002A0810">
      <w:pPr>
        <w:pStyle w:val="HeadDivreiHesber"/>
        <w:rPr>
          <w:rFonts w:ascii="David" w:hAnsi="David"/>
          <w:rtl/>
        </w:rPr>
      </w:pPr>
    </w:p>
    <w:p w14:paraId="7B9F37CB" w14:textId="732DD0E2" w:rsidR="002A0810" w:rsidRPr="002A0810" w:rsidRDefault="002A0810" w:rsidP="002A0810">
      <w:pPr>
        <w:pStyle w:val="HeadDivreiHesber"/>
        <w:rPr>
          <w:rFonts w:ascii="David" w:hAnsi="David"/>
          <w:rtl/>
        </w:rPr>
      </w:pPr>
      <w:r w:rsidRPr="002A0810">
        <w:rPr>
          <w:rFonts w:ascii="David" w:hAnsi="David"/>
          <w:rtl/>
        </w:rPr>
        <w:t>דברי הסבר</w:t>
      </w:r>
    </w:p>
    <w:p w14:paraId="262C5199" w14:textId="77777777" w:rsidR="002A0810" w:rsidRPr="002967E9" w:rsidRDefault="002A0810" w:rsidP="002967E9">
      <w:pPr>
        <w:pStyle w:val="Hesber1st"/>
        <w:tabs>
          <w:tab w:val="clear" w:pos="680"/>
          <w:tab w:val="left" w:pos="1020"/>
        </w:tabs>
        <w:rPr>
          <w:rtl/>
        </w:rPr>
      </w:pPr>
      <w:r w:rsidRPr="002967E9">
        <w:rPr>
          <w:rtl/>
        </w:rPr>
        <w:t xml:space="preserve">הצעת חוק זו נועדה לשנות את המצב </w:t>
      </w:r>
      <w:bookmarkStart w:id="6" w:name="_GoBack"/>
      <w:bookmarkEnd w:id="6"/>
      <w:r w:rsidRPr="002967E9">
        <w:rPr>
          <w:rtl/>
        </w:rPr>
        <w:t>בו, מחד גיסא, קורבנות טרור מתקשים לגבות פיצויים אשר בתי-משפט בישראל חייבו את מעורבי הטרור אשר פגעו בהם, לשלם להם (בהליך פלילי או אזרחי). ומאידך גיסא, גם אם מדינת ישראל מעקלת כספים ורכוש של מעורבי טרור אשר בית המשפט קבע כי עליהם לשלם פיצויים לקורבנות הטרור, אין חוק המאפשר להעביר לקורבנות אלו את הכספים והרכוש שהמדינה חילטה.</w:t>
      </w:r>
    </w:p>
    <w:p w14:paraId="0D430EF6" w14:textId="77777777" w:rsidR="002A0810" w:rsidRPr="002967E9" w:rsidRDefault="002A0810" w:rsidP="002967E9">
      <w:pPr>
        <w:pStyle w:val="Hesber"/>
        <w:rPr>
          <w:rtl/>
        </w:rPr>
      </w:pPr>
      <w:r w:rsidRPr="002967E9">
        <w:rPr>
          <w:rtl/>
        </w:rPr>
        <w:t xml:space="preserve">הקושי בגביית פיצויים עליהם פסק בית המשפט לטובתם, מונע מחלק נכבד מקורבנות הטרור מלהגיש תביעות נזיקין נגד מעורבי הטרור אשר פגעו בהם. בכך, המדינה מאבדת אמצעי מאבק זול ויעיל בטרור, המסייע בצמצום טרור עתידי, הן לפגיעה במשאביהם של ארגוני טרור והן באמצעות ההרתעה </w:t>
      </w:r>
      <w:r w:rsidRPr="002967E9">
        <w:rPr>
          <w:rtl/>
        </w:rPr>
        <w:lastRenderedPageBreak/>
        <w:t>האישית-כלכלית והכללית שהיא מייצרת נגד פעילי טרור.</w:t>
      </w:r>
    </w:p>
    <w:p w14:paraId="60A1A591" w14:textId="77777777" w:rsidR="002A0810" w:rsidRPr="002967E9" w:rsidRDefault="002A0810" w:rsidP="002967E9">
      <w:pPr>
        <w:pStyle w:val="Hesber"/>
      </w:pPr>
      <w:r w:rsidRPr="002967E9">
        <w:rPr>
          <w:rtl/>
        </w:rPr>
        <w:t xml:space="preserve"> כך, לדוגמה, ב-25.07.2019 משרד הביטחון כתב לבא כוחו של מר נתן מאיר כי חרף הסעד לפיצוי כספי שבית המשפט פסק לטובת משפחתו, עקב רציחתה של אשתו דפנה בידי מחבל, אי אפשר להעביר לו את הכספים שמשפחת המחבל קיבלה בתמורה לרצח ואשר המדינה חילטה אותם היות ו: "לא קיימת בדין סמכות המאפשרת למשרד הביטחון להעביר כספים שנתפסו במסגרת פעילות צבאית למשפחות של נפגעי טרור... ".</w:t>
      </w:r>
    </w:p>
    <w:p w14:paraId="3459A057" w14:textId="77777777" w:rsidR="002A0810" w:rsidRPr="002967E9" w:rsidRDefault="002A0810" w:rsidP="002967E9">
      <w:pPr>
        <w:pStyle w:val="Hesber"/>
        <w:rPr>
          <w:rtl/>
        </w:rPr>
      </w:pPr>
      <w:r w:rsidRPr="002967E9">
        <w:rPr>
          <w:rtl/>
        </w:rPr>
        <w:t>כתוצאה מהיעדר חוק, קיימת מאין תחרות סמויה בין המדינה לבין קורבנות הטרור, מי יעקל ראשון את רכוש מעורבי הטרור אשר פגעו בהם – המדינה או קורבן הטרור אשר בידו פסק דין המחייב את מעורב הטרור לשלם לו פיצויים.</w:t>
      </w:r>
    </w:p>
    <w:p w14:paraId="6D68FC53" w14:textId="77777777" w:rsidR="002A0810" w:rsidRPr="002967E9" w:rsidRDefault="002A0810" w:rsidP="002967E9">
      <w:pPr>
        <w:pStyle w:val="Hesber"/>
        <w:rPr>
          <w:rtl/>
        </w:rPr>
      </w:pPr>
      <w:r w:rsidRPr="002967E9">
        <w:rPr>
          <w:rtl/>
        </w:rPr>
        <w:t>על כן, לפי הצעת החוק מוצע להקים קרן אליה תעביר המדינה את כל הכספים והרכוש אותם היא מחלטת ומעקלת בזיקה לטרור. הכסף אשר יצטבר בקרן, יחולק אחת לתקופה ולפי מפתח וקריטריונים מוגדרים מראש, בין קורבנות הטרור המחזיקים בידיהם בפסקי הדין אשר נקבעו בהליך פלילי או אזרחי, ומחייבים את מעורבי הטרור לשלם לאותם קורבנות את הפיצוי.</w:t>
      </w:r>
    </w:p>
    <w:p w14:paraId="6FA4EA5F" w14:textId="77777777" w:rsidR="002A0810" w:rsidRPr="002967E9" w:rsidRDefault="002A0810" w:rsidP="002967E9">
      <w:pPr>
        <w:pStyle w:val="Hesber"/>
        <w:rPr>
          <w:rtl/>
        </w:rPr>
      </w:pPr>
      <w:r w:rsidRPr="002967E9">
        <w:rPr>
          <w:rtl/>
        </w:rPr>
        <w:t>חשוב להדגיש, שגם אם הקרן תסייע רק במימוש חלקי של הפיצויים, עדיין יהיה בכך כדי להגביר את כמות התביעות שיגישו קורבנות הטרור. בכך, יינתן בידי הקורבנות כלי משמעותי על מנת להפוך מחסרי אונים ל-'לוחמים' באלו שפגעו בהם, תוך שניתן לזקוף לזכותם הכרה בתרומתם לצמצום טרור בעתיד.</w:t>
      </w:r>
    </w:p>
    <w:p w14:paraId="24C01FD8" w14:textId="77777777" w:rsidR="002A0810" w:rsidRPr="002967E9" w:rsidRDefault="002A0810" w:rsidP="002967E9">
      <w:pPr>
        <w:pStyle w:val="Hesber"/>
        <w:rPr>
          <w:rtl/>
        </w:rPr>
      </w:pPr>
      <w:r w:rsidRPr="002967E9">
        <w:rPr>
          <w:rtl/>
        </w:rPr>
        <w:t xml:space="preserve">עקרונות חלוקת כספי הקרן בהצעת חוק זו מבוססים על קרן דומה, שהקים הממשל האמריקאי בשנת 2016 הנקראת </w:t>
      </w:r>
      <w:r w:rsidRPr="002967E9">
        <w:t>U.S. Victims of State Sponsored Terrorism Fund (USVSST)</w:t>
      </w:r>
      <w:r w:rsidRPr="002967E9">
        <w:rPr>
          <w:rtl/>
        </w:rPr>
        <w:t>, ונועדה לסייע לקורבנות טרור במימוש פסקי-דין שניתנו על-ידי בתי-משפט אמריקאים, ואשר פסקו לטובתם סעדים לפיצוי כספי כנגד מעורבי טרור.</w:t>
      </w:r>
    </w:p>
    <w:p w14:paraId="79927982" w14:textId="77777777" w:rsidR="002A0810" w:rsidRPr="002967E9" w:rsidRDefault="002A0810" w:rsidP="002967E9">
      <w:pPr>
        <w:pStyle w:val="Hesber"/>
        <w:rPr>
          <w:rtl/>
        </w:rPr>
      </w:pPr>
      <w:r w:rsidRPr="002967E9">
        <w:rPr>
          <w:rtl/>
        </w:rPr>
        <w:t xml:space="preserve">מפתח תחשיבי הקרן האמריקאית, מבוסס על ההנחה שהיקף הכספים המצטבר בה לא יספיק לשלם לכל קורבנות הטרור את מלוא גובה הפיצוי הכספי אשר נפסקו לטובתם על-ידי בתי הדין. על כן, הקרן מגבילה את גובה הסכום שתשלם לכל קורבן טרור, כך שתסייע להם במימוש פסק-הדין, גם אם בחלקו. גובה הסכומים המקסימאליים שתקבע וועדת הקרן שתוקם במסגרת הצעת חוק זו בישראל, יהא מותאם לערך הריאלי של רכוש בזיקה לטרור המצטבר בקרן בישראל. </w:t>
      </w:r>
    </w:p>
    <w:p w14:paraId="034C5A7B" w14:textId="77777777" w:rsidR="002A0810" w:rsidRPr="002967E9" w:rsidRDefault="002A0810" w:rsidP="002967E9">
      <w:pPr>
        <w:pStyle w:val="Hesber"/>
        <w:rPr>
          <w:rtl/>
        </w:rPr>
      </w:pPr>
      <w:r w:rsidRPr="002967E9">
        <w:rPr>
          <w:rtl/>
        </w:rPr>
        <w:t xml:space="preserve">הצעת החוק נכתבה בסיוע עמותת "מגן לנפגעי טרור". </w:t>
      </w:r>
    </w:p>
    <w:p w14:paraId="34DB4103" w14:textId="5FF04130" w:rsidR="00904591" w:rsidRPr="002A0810" w:rsidRDefault="00904591" w:rsidP="00960393">
      <w:pPr>
        <w:pStyle w:val="David"/>
        <w:ind w:left="3544"/>
        <w:rPr>
          <w:rtl/>
        </w:rPr>
      </w:pPr>
    </w:p>
    <w:p w14:paraId="1B5876C0" w14:textId="77777777" w:rsidR="008A305F" w:rsidRDefault="002967E9">
      <w:pPr>
        <w:jc w:val="left"/>
      </w:pPr>
      <w:bookmarkStart w:id="7" w:name="selectedDocDateB"/>
      <w:bookmarkEnd w:id="7"/>
      <w:r>
        <w:rPr>
          <w:rFonts w:eastAsia="David" w:hint="cs"/>
          <w:sz w:val="26"/>
          <w:szCs w:val="26"/>
          <w:rtl/>
        </w:rPr>
        <w:t>--------------------------------</w:t>
      </w:r>
    </w:p>
    <w:p w14:paraId="2BD057E7" w14:textId="77777777" w:rsidR="008A305F" w:rsidRDefault="002967E9">
      <w:pPr>
        <w:jc w:val="left"/>
      </w:pPr>
      <w:r>
        <w:rPr>
          <w:rFonts w:eastAsia="David" w:hint="cs"/>
          <w:sz w:val="26"/>
          <w:szCs w:val="26"/>
          <w:rtl/>
        </w:rPr>
        <w:t>הוגשה ליו"ר הכנסת והסגנים</w:t>
      </w:r>
    </w:p>
    <w:p w14:paraId="72C8FC93" w14:textId="77777777" w:rsidR="008A305F" w:rsidRDefault="002967E9">
      <w:pPr>
        <w:jc w:val="left"/>
      </w:pPr>
      <w:r>
        <w:rPr>
          <w:rFonts w:eastAsia="David" w:hint="cs"/>
          <w:sz w:val="26"/>
          <w:szCs w:val="26"/>
          <w:rtl/>
        </w:rPr>
        <w:t>והונחה על שולחן הכנסת ביום</w:t>
      </w:r>
    </w:p>
    <w:p w14:paraId="238E946E" w14:textId="77777777" w:rsidR="008A305F" w:rsidRDefault="002967E9">
      <w:pPr>
        <w:jc w:val="left"/>
      </w:pPr>
      <w:r>
        <w:rPr>
          <w:rFonts w:eastAsia="David" w:hint="cs"/>
          <w:sz w:val="26"/>
          <w:szCs w:val="26"/>
          <w:rtl/>
        </w:rPr>
        <w:t xml:space="preserve">ו' באדר א' התשפ"ב (07.02.2022) </w:t>
      </w:r>
    </w:p>
    <w:p w14:paraId="640E802F" w14:textId="77777777" w:rsidR="008A305F" w:rsidRDefault="008A305F">
      <w:pPr>
        <w:spacing w:line="276" w:lineRule="auto"/>
        <w:jc w:val="left"/>
      </w:pPr>
    </w:p>
    <w:sectPr w:rsidR="008A305F" w:rsidSect="002A0810">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61D7" w14:textId="3E035871"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2967E9">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74C0" w14:textId="77777777" w:rsidR="00D142D3" w:rsidRDefault="00D142D3" w:rsidP="002A0810">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07607D20" w14:textId="77777777" w:rsidR="002A0810" w:rsidRDefault="002A0810" w:rsidP="002A0810">
      <w:pPr>
        <w:pStyle w:val="a4"/>
        <w:rPr>
          <w:rtl/>
        </w:rPr>
      </w:pPr>
      <w:r>
        <w:rPr>
          <w:rStyle w:val="a6"/>
        </w:rPr>
        <w:footnoteRef/>
      </w:r>
      <w:r>
        <w:rPr>
          <w:rtl/>
        </w:rPr>
        <w:t xml:space="preserve"> </w:t>
      </w:r>
      <w:r>
        <w:rPr>
          <w:rFonts w:hint="cs"/>
          <w:rtl/>
        </w:rPr>
        <w:t>ס"ח התשכ"ח, עמ' 20</w:t>
      </w:r>
    </w:p>
  </w:footnote>
  <w:footnote w:id="3">
    <w:p w14:paraId="1BACF418" w14:textId="77777777" w:rsidR="002A0810" w:rsidRDefault="002A0810" w:rsidP="002A0810">
      <w:pPr>
        <w:pStyle w:val="a4"/>
        <w:rPr>
          <w:rtl/>
        </w:rPr>
      </w:pPr>
      <w:r>
        <w:rPr>
          <w:rStyle w:val="a6"/>
        </w:rPr>
        <w:footnoteRef/>
      </w:r>
      <w:r>
        <w:rPr>
          <w:rtl/>
        </w:rPr>
        <w:t xml:space="preserve"> </w:t>
      </w:r>
      <w:r>
        <w:rPr>
          <w:rFonts w:hint="cs"/>
          <w:rtl/>
        </w:rPr>
        <w:t>ע"ר מס' 1446, עמ' (ע) 968</w:t>
      </w:r>
    </w:p>
  </w:footnote>
  <w:footnote w:id="4">
    <w:p w14:paraId="551CEA6D" w14:textId="77777777" w:rsidR="002A0810" w:rsidRDefault="002A0810" w:rsidP="002A0810">
      <w:pPr>
        <w:pStyle w:val="a4"/>
        <w:rPr>
          <w:rtl/>
        </w:rPr>
      </w:pPr>
      <w:r>
        <w:rPr>
          <w:rStyle w:val="a6"/>
        </w:rPr>
        <w:footnoteRef/>
      </w:r>
      <w:r>
        <w:rPr>
          <w:rtl/>
        </w:rPr>
        <w:t xml:space="preserve"> </w:t>
      </w:r>
      <w:r>
        <w:rPr>
          <w:rFonts w:hint="cs"/>
          <w:rtl/>
        </w:rPr>
        <w:t xml:space="preserve">ס"ח התשע"ו, עמ' </w:t>
      </w:r>
      <w:r w:rsidRPr="00014F00">
        <w:rPr>
          <w:rtl/>
        </w:rPr>
        <w:t>898</w:t>
      </w:r>
    </w:p>
  </w:footnote>
  <w:footnote w:id="5">
    <w:p w14:paraId="515A29CB" w14:textId="77777777" w:rsidR="002A0810" w:rsidRDefault="002A0810" w:rsidP="002A0810">
      <w:pPr>
        <w:pStyle w:val="a4"/>
        <w:rPr>
          <w:rtl/>
        </w:rPr>
      </w:pPr>
      <w:r>
        <w:rPr>
          <w:rStyle w:val="a6"/>
        </w:rPr>
        <w:footnoteRef/>
      </w:r>
      <w:r>
        <w:rPr>
          <w:rtl/>
        </w:rPr>
        <w:t xml:space="preserve"> </w:t>
      </w:r>
      <w:r>
        <w:rPr>
          <w:rFonts w:hint="cs"/>
          <w:rtl/>
        </w:rPr>
        <w:t>ע"ר מס' 24, עמ' 73</w:t>
      </w:r>
    </w:p>
  </w:footnote>
  <w:footnote w:id="6">
    <w:p w14:paraId="0B02348E" w14:textId="77777777" w:rsidR="002A0810" w:rsidRDefault="002A0810" w:rsidP="002A0810">
      <w:pPr>
        <w:pStyle w:val="a4"/>
        <w:rPr>
          <w:rtl/>
        </w:rPr>
      </w:pPr>
      <w:r>
        <w:rPr>
          <w:rStyle w:val="a6"/>
        </w:rPr>
        <w:footnoteRef/>
      </w:r>
      <w:r>
        <w:rPr>
          <w:rtl/>
        </w:rPr>
        <w:t xml:space="preserve"> </w:t>
      </w:r>
      <w:r>
        <w:rPr>
          <w:rFonts w:hint="cs"/>
          <w:rtl/>
        </w:rPr>
        <w:t>ס"ח התשס"ה, עמ' 76</w:t>
      </w:r>
    </w:p>
  </w:footnote>
  <w:footnote w:id="7">
    <w:p w14:paraId="7288AB1C" w14:textId="77777777" w:rsidR="008A788C" w:rsidRDefault="008A788C" w:rsidP="008A788C">
      <w:pPr>
        <w:pStyle w:val="a4"/>
      </w:pPr>
      <w:r>
        <w:rPr>
          <w:rStyle w:val="a6"/>
        </w:rPr>
        <w:footnoteRef/>
      </w:r>
      <w:r>
        <w:rPr>
          <w:rtl/>
        </w:rPr>
        <w:t xml:space="preserve"> קובץ המנשרים מס' 23</w:t>
      </w:r>
      <w:r>
        <w:rPr>
          <w:rFonts w:hint="cs"/>
          <w:rtl/>
        </w:rPr>
        <w:t>4</w:t>
      </w:r>
      <w:r w:rsidRPr="00EB038C">
        <w:rPr>
          <w:rtl/>
        </w:rPr>
        <w:t xml:space="preserve"> עמ' 5902</w:t>
      </w:r>
    </w:p>
  </w:footnote>
  <w:footnote w:id="8">
    <w:p w14:paraId="6EA6DCF6" w14:textId="62BBFE87" w:rsidR="002A0810" w:rsidRDefault="002A0810" w:rsidP="002A0810">
      <w:pPr>
        <w:pStyle w:val="a4"/>
      </w:pPr>
      <w:r>
        <w:rPr>
          <w:rStyle w:val="a6"/>
        </w:rPr>
        <w:footnoteRef/>
      </w:r>
      <w:r>
        <w:rPr>
          <w:rtl/>
        </w:rPr>
        <w:t xml:space="preserve"> </w:t>
      </w:r>
      <w:r w:rsidRPr="00EB038C">
        <w:rPr>
          <w:rtl/>
        </w:rPr>
        <w:t xml:space="preserve">ס"ח </w:t>
      </w:r>
      <w:r>
        <w:rPr>
          <w:rFonts w:hint="cs"/>
          <w:rtl/>
        </w:rPr>
        <w:t>ה</w:t>
      </w:r>
      <w:r w:rsidRPr="00EB038C">
        <w:rPr>
          <w:rtl/>
        </w:rPr>
        <w:t>תש"ל עמ' 126</w:t>
      </w:r>
    </w:p>
  </w:footnote>
  <w:footnote w:id="9">
    <w:p w14:paraId="1277BE1C" w14:textId="1F0E0681" w:rsidR="002A0810" w:rsidRDefault="002A0810" w:rsidP="002A0810">
      <w:pPr>
        <w:pStyle w:val="a4"/>
      </w:pPr>
      <w:r>
        <w:rPr>
          <w:rStyle w:val="a6"/>
        </w:rPr>
        <w:footnoteRef/>
      </w:r>
      <w:r>
        <w:rPr>
          <w:rtl/>
        </w:rPr>
        <w:t xml:space="preserve"> </w:t>
      </w:r>
      <w:r w:rsidRPr="00A81A3C">
        <w:rPr>
          <w:rtl/>
        </w:rPr>
        <w:t xml:space="preserve">ס"ח </w:t>
      </w:r>
      <w:r>
        <w:rPr>
          <w:rFonts w:hint="cs"/>
          <w:rtl/>
        </w:rPr>
        <w:t>ה</w:t>
      </w:r>
      <w:r w:rsidRPr="00A81A3C">
        <w:rPr>
          <w:rtl/>
        </w:rPr>
        <w:t>תשכ"א עמ' 192</w:t>
      </w:r>
    </w:p>
  </w:footnote>
  <w:footnote w:id="10">
    <w:p w14:paraId="16C4EBA7" w14:textId="4F3CE907" w:rsidR="002A0810" w:rsidRDefault="002A0810" w:rsidP="002A0810">
      <w:pPr>
        <w:pStyle w:val="a4"/>
      </w:pPr>
      <w:r>
        <w:rPr>
          <w:rStyle w:val="a6"/>
        </w:rPr>
        <w:footnoteRef/>
      </w:r>
      <w:r>
        <w:rPr>
          <w:rtl/>
        </w:rPr>
        <w:t xml:space="preserve"> </w:t>
      </w:r>
      <w:r w:rsidRPr="00EB038C">
        <w:rPr>
          <w:rtl/>
        </w:rPr>
        <w:t xml:space="preserve">ס"ח </w:t>
      </w:r>
      <w:r>
        <w:rPr>
          <w:rFonts w:hint="cs"/>
          <w:rtl/>
        </w:rPr>
        <w:t>ה</w:t>
      </w:r>
      <w:r w:rsidRPr="00EB038C">
        <w:rPr>
          <w:rtl/>
        </w:rPr>
        <w:t>תשע"ב עמ' 634</w:t>
      </w:r>
    </w:p>
  </w:footnote>
  <w:footnote w:id="11">
    <w:p w14:paraId="1B9110FB" w14:textId="5A36E6C8" w:rsidR="002A0810" w:rsidRDefault="002A0810" w:rsidP="002A0810">
      <w:pPr>
        <w:pStyle w:val="a4"/>
      </w:pPr>
      <w:r>
        <w:rPr>
          <w:rStyle w:val="a6"/>
        </w:rPr>
        <w:footnoteRef/>
      </w:r>
      <w:r>
        <w:rPr>
          <w:rtl/>
        </w:rPr>
        <w:t xml:space="preserve"> </w:t>
      </w:r>
      <w:r w:rsidRPr="00EB038C">
        <w:rPr>
          <w:rtl/>
        </w:rPr>
        <w:t xml:space="preserve">ס"ח </w:t>
      </w:r>
      <w:r>
        <w:rPr>
          <w:rFonts w:hint="cs"/>
          <w:rtl/>
        </w:rPr>
        <w:t>ה</w:t>
      </w:r>
      <w:r w:rsidRPr="00EB038C">
        <w:rPr>
          <w:rtl/>
        </w:rPr>
        <w:t>תשע"ח עמ' 232</w:t>
      </w:r>
    </w:p>
  </w:footnote>
  <w:footnote w:id="12">
    <w:p w14:paraId="27452036" w14:textId="77777777" w:rsidR="002A0810" w:rsidRDefault="002A0810" w:rsidP="002A0810">
      <w:pPr>
        <w:pStyle w:val="a4"/>
      </w:pPr>
      <w:r>
        <w:rPr>
          <w:rStyle w:val="a6"/>
        </w:rPr>
        <w:footnoteRef/>
      </w:r>
      <w:r>
        <w:rPr>
          <w:rtl/>
        </w:rPr>
        <w:t xml:space="preserve"> </w:t>
      </w:r>
      <w:r w:rsidRPr="003C37F3">
        <w:rPr>
          <w:rtl/>
        </w:rPr>
        <w:t>ע"ר מס' 923 עמ' (ע) 79, (א) 95.</w:t>
      </w:r>
    </w:p>
  </w:footnote>
  <w:footnote w:id="13">
    <w:p w14:paraId="21F185D8" w14:textId="77777777" w:rsidR="002A0810" w:rsidRDefault="002A0810" w:rsidP="002A0810">
      <w:pPr>
        <w:pStyle w:val="a4"/>
      </w:pPr>
      <w:r>
        <w:rPr>
          <w:rStyle w:val="a6"/>
        </w:rPr>
        <w:footnoteRef/>
      </w:r>
      <w:r>
        <w:rPr>
          <w:rtl/>
        </w:rPr>
        <w:t xml:space="preserve"> קובץ המנשרים מס' 23</w:t>
      </w:r>
      <w:r>
        <w:rPr>
          <w:rFonts w:hint="cs"/>
          <w:rtl/>
        </w:rPr>
        <w:t>4</w:t>
      </w:r>
      <w:r w:rsidRPr="00EB038C">
        <w:rPr>
          <w:rtl/>
        </w:rPr>
        <w:t xml:space="preserve"> עמ' 5902</w:t>
      </w:r>
    </w:p>
  </w:footnote>
  <w:footnote w:id="14">
    <w:p w14:paraId="49A87B39" w14:textId="24BE92C0" w:rsidR="002A0810" w:rsidRDefault="002A0810" w:rsidP="002A0810">
      <w:pPr>
        <w:pStyle w:val="a4"/>
      </w:pPr>
      <w:r>
        <w:rPr>
          <w:rStyle w:val="a6"/>
        </w:rPr>
        <w:footnoteRef/>
      </w:r>
      <w:r>
        <w:rPr>
          <w:rtl/>
        </w:rPr>
        <w:t xml:space="preserve"> </w:t>
      </w:r>
      <w:r>
        <w:rPr>
          <w:rFonts w:hint="cs"/>
          <w:rtl/>
        </w:rPr>
        <w:t xml:space="preserve">ס"ח </w:t>
      </w:r>
      <w:r w:rsidR="00A02E41">
        <w:rPr>
          <w:rFonts w:hint="cs"/>
          <w:rtl/>
        </w:rPr>
        <w:t>ה</w:t>
      </w:r>
      <w:r>
        <w:rPr>
          <w:rFonts w:hint="cs"/>
          <w:rtl/>
        </w:rPr>
        <w:t xml:space="preserve">תשע"ו, עמ' </w:t>
      </w:r>
      <w:r w:rsidRPr="00014F00">
        <w:rPr>
          <w:rtl/>
        </w:rPr>
        <w:t>898</w:t>
      </w:r>
    </w:p>
  </w:footnote>
  <w:footnote w:id="15">
    <w:p w14:paraId="5F8C05AF" w14:textId="0A2C92D2" w:rsidR="002A0810" w:rsidRDefault="002A0810" w:rsidP="002A0810">
      <w:pPr>
        <w:pStyle w:val="a4"/>
      </w:pPr>
      <w:r>
        <w:rPr>
          <w:rStyle w:val="a6"/>
        </w:rPr>
        <w:footnoteRef/>
      </w:r>
      <w:r>
        <w:rPr>
          <w:rtl/>
        </w:rPr>
        <w:t xml:space="preserve"> </w:t>
      </w:r>
      <w:r w:rsidRPr="003C37F3">
        <w:rPr>
          <w:rtl/>
        </w:rPr>
        <w:t xml:space="preserve">ס"ח </w:t>
      </w:r>
      <w:r>
        <w:rPr>
          <w:rFonts w:hint="cs"/>
          <w:rtl/>
        </w:rPr>
        <w:t>ה</w:t>
      </w:r>
      <w:r w:rsidRPr="003C37F3">
        <w:rPr>
          <w:rtl/>
        </w:rPr>
        <w:t>תשל"ח עמ'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90A4381"/>
    <w:multiLevelType w:val="hybridMultilevel"/>
    <w:tmpl w:val="BDC0F022"/>
    <w:lvl w:ilvl="0" w:tplc="F5EE49D6">
      <w:start w:val="1"/>
      <w:numFmt w:val="hebrew1"/>
      <w:lvlRestart w:val="0"/>
      <w:lvlText w:val="(%1)"/>
      <w:lvlJc w:val="left"/>
      <w:pPr>
        <w:tabs>
          <w:tab w:val="num" w:pos="624"/>
        </w:tabs>
        <w:ind w:left="0" w:firstLine="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AC376A"/>
    <w:multiLevelType w:val="hybridMultilevel"/>
    <w:tmpl w:val="3B1859B4"/>
    <w:lvl w:ilvl="0" w:tplc="F326A048">
      <w:start w:val="1"/>
      <w:numFmt w:val="decimal"/>
      <w:lvlRestart w:val="0"/>
      <w:lvlText w:val="(%1)"/>
      <w:lvlJc w:val="left"/>
      <w:pPr>
        <w:tabs>
          <w:tab w:val="num" w:pos="1107"/>
        </w:tabs>
        <w:ind w:left="483" w:firstLine="0"/>
      </w:p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15" w15:restartNumberingAfterBreak="0">
    <w:nsid w:val="46486B44"/>
    <w:multiLevelType w:val="hybridMultilevel"/>
    <w:tmpl w:val="A2F4112A"/>
    <w:lvl w:ilvl="0" w:tplc="CFD6FE4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81391"/>
    <w:multiLevelType w:val="hybridMultilevel"/>
    <w:tmpl w:val="76A046B6"/>
    <w:lvl w:ilvl="0" w:tplc="BD38828A">
      <w:start w:val="1"/>
      <w:numFmt w:val="hebrew1"/>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A712353"/>
    <w:multiLevelType w:val="hybridMultilevel"/>
    <w:tmpl w:val="C61E07AC"/>
    <w:lvl w:ilvl="0" w:tplc="96B87C02">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2"/>
  </w:num>
  <w:num w:numId="14">
    <w:abstractNumId w:val="20"/>
  </w:num>
  <w:num w:numId="15">
    <w:abstractNumId w:val="11"/>
  </w:num>
  <w:num w:numId="16">
    <w:abstractNumId w:val="14"/>
  </w:num>
  <w:num w:numId="17">
    <w:abstractNumId w:val="16"/>
  </w:num>
  <w:num w:numId="18">
    <w:abstractNumId w:val="21"/>
  </w:num>
  <w:num w:numId="19">
    <w:abstractNumId w:val="15"/>
  </w:num>
  <w:num w:numId="20">
    <w:abstractNumId w:val="17"/>
  </w:num>
  <w:num w:numId="21">
    <w:abstractNumId w:val="17"/>
    <w:lvlOverride w:ilvl="0">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39D8"/>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967E9"/>
    <w:rsid w:val="002A0810"/>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305F"/>
    <w:rsid w:val="008A6870"/>
    <w:rsid w:val="008A788C"/>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0393"/>
    <w:rsid w:val="00966D06"/>
    <w:rsid w:val="00982412"/>
    <w:rsid w:val="00983A8D"/>
    <w:rsid w:val="009A0DB8"/>
    <w:rsid w:val="009A7257"/>
    <w:rsid w:val="009D6E0A"/>
    <w:rsid w:val="009E1E33"/>
    <w:rsid w:val="00A02E41"/>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1B4F"/>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D61B51E4-F5CD-4B46-A64C-3648625EE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810"/>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2A0810"/>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2A0810"/>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2A0810"/>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2A0810"/>
    <w:pPr>
      <w:numPr>
        <w:numId w:val="23"/>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2A0810"/>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2A0810"/>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2A0810"/>
    <w:rPr>
      <w:sz w:val="36"/>
      <w:szCs w:val="52"/>
    </w:rPr>
  </w:style>
  <w:style w:type="paragraph" w:customStyle="1" w:styleId="Cover3-Haknesset">
    <w:name w:val="Cover 3-Haknesset"/>
    <w:basedOn w:val="Cover1-Reshumot"/>
    <w:rsid w:val="002A0810"/>
    <w:rPr>
      <w:b/>
      <w:bCs/>
      <w:spacing w:val="60"/>
    </w:rPr>
  </w:style>
  <w:style w:type="paragraph" w:customStyle="1" w:styleId="Cover4-Date">
    <w:name w:val="Cover 4-Date"/>
    <w:basedOn w:val="a"/>
    <w:rsid w:val="002A0810"/>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2A0810"/>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2A0810"/>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2A0810"/>
    <w:pPr>
      <w:spacing w:before="120" w:after="120"/>
    </w:pPr>
    <w:rPr>
      <w:color w:val="FF0000"/>
      <w:w w:val="80"/>
    </w:rPr>
  </w:style>
  <w:style w:type="paragraph" w:styleId="a3">
    <w:name w:val="endnote text"/>
    <w:basedOn w:val="a"/>
    <w:semiHidden/>
    <w:rsid w:val="002A0810"/>
    <w:pPr>
      <w:ind w:left="227" w:hanging="227"/>
    </w:pPr>
    <w:rPr>
      <w:sz w:val="14"/>
      <w:szCs w:val="22"/>
    </w:rPr>
  </w:style>
  <w:style w:type="paragraph" w:customStyle="1" w:styleId="TableText">
    <w:name w:val="Table Text"/>
    <w:basedOn w:val="a"/>
    <w:rsid w:val="002A0810"/>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2A0810"/>
    <w:pPr>
      <w:outlineLvl w:val="2"/>
    </w:pPr>
  </w:style>
  <w:style w:type="paragraph" w:customStyle="1" w:styleId="TableBlock">
    <w:name w:val="Table Block"/>
    <w:basedOn w:val="TableText"/>
    <w:rsid w:val="002A0810"/>
    <w:pPr>
      <w:jc w:val="both"/>
    </w:pPr>
  </w:style>
  <w:style w:type="paragraph" w:customStyle="1" w:styleId="TableHead">
    <w:name w:val="Table Head"/>
    <w:basedOn w:val="TableText"/>
    <w:rsid w:val="002A0810"/>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2A0810"/>
    <w:pPr>
      <w:outlineLvl w:val="9"/>
    </w:pPr>
  </w:style>
  <w:style w:type="paragraph" w:customStyle="1" w:styleId="Hesber">
    <w:name w:val="Hesber"/>
    <w:basedOn w:val="a"/>
    <w:rsid w:val="002A0810"/>
    <w:pPr>
      <w:snapToGrid w:val="0"/>
      <w:ind w:left="0" w:firstLine="340"/>
    </w:pPr>
    <w:rPr>
      <w:rFonts w:ascii="Arial" w:eastAsia="Arial Unicode MS" w:hAnsi="Arial"/>
      <w:snapToGrid w:val="0"/>
      <w:sz w:val="20"/>
      <w:szCs w:val="26"/>
    </w:rPr>
  </w:style>
  <w:style w:type="paragraph" w:styleId="a4">
    <w:name w:val="footnote text"/>
    <w:basedOn w:val="a"/>
    <w:link w:val="a5"/>
    <w:autoRedefine/>
    <w:semiHidden/>
    <w:rsid w:val="002A0810"/>
    <w:pPr>
      <w:snapToGrid w:val="0"/>
      <w:spacing w:line="240" w:lineRule="auto"/>
      <w:ind w:left="0"/>
      <w:jc w:val="left"/>
    </w:pPr>
    <w:rPr>
      <w:rFonts w:ascii="Arial" w:eastAsia="Arial Unicode MS" w:hAnsi="Arial"/>
      <w:snapToGrid w:val="0"/>
      <w:sz w:val="14"/>
      <w:szCs w:val="20"/>
    </w:rPr>
  </w:style>
  <w:style w:type="character" w:styleId="a6">
    <w:name w:val="footnote reference"/>
    <w:aliases w:val="Footnote Reference"/>
    <w:basedOn w:val="a0"/>
    <w:semiHidden/>
    <w:rsid w:val="002A0810"/>
    <w:rPr>
      <w:vertAlign w:val="superscript"/>
    </w:rPr>
  </w:style>
  <w:style w:type="paragraph" w:customStyle="1" w:styleId="HesberHeading">
    <w:name w:val="Hesber Heading"/>
    <w:basedOn w:val="Hesber"/>
    <w:rsid w:val="002A0810"/>
    <w:pPr>
      <w:tabs>
        <w:tab w:val="left" w:pos="624"/>
        <w:tab w:val="left" w:pos="1247"/>
      </w:tabs>
    </w:pPr>
    <w:rPr>
      <w:b/>
      <w:bCs/>
    </w:rPr>
  </w:style>
  <w:style w:type="paragraph" w:customStyle="1" w:styleId="HesberWriters">
    <w:name w:val="Hesber Writers"/>
    <w:basedOn w:val="Hesber"/>
    <w:rsid w:val="002A0810"/>
    <w:pPr>
      <w:spacing w:before="120" w:after="120"/>
      <w:ind w:left="1418"/>
      <w:jc w:val="right"/>
    </w:pPr>
    <w:rPr>
      <w:b/>
      <w:bCs/>
    </w:rPr>
  </w:style>
  <w:style w:type="paragraph" w:customStyle="1" w:styleId="Hesber1st">
    <w:name w:val="Hesber 1st"/>
    <w:basedOn w:val="Hesber"/>
    <w:rsid w:val="002A0810"/>
    <w:pPr>
      <w:tabs>
        <w:tab w:val="left" w:pos="680"/>
        <w:tab w:val="left" w:pos="1020"/>
      </w:tabs>
      <w:ind w:firstLine="0"/>
    </w:pPr>
  </w:style>
  <w:style w:type="character" w:styleId="a7">
    <w:name w:val="endnote reference"/>
    <w:basedOn w:val="a0"/>
    <w:semiHidden/>
    <w:rsid w:val="002A0810"/>
    <w:rPr>
      <w:vertAlign w:val="superscript"/>
    </w:rPr>
  </w:style>
  <w:style w:type="paragraph" w:customStyle="1" w:styleId="TableBlockOutdent">
    <w:name w:val="Table BlockOutdent"/>
    <w:basedOn w:val="TableBlock"/>
    <w:rsid w:val="002A0810"/>
    <w:pPr>
      <w:ind w:left="624" w:hanging="624"/>
    </w:pPr>
  </w:style>
  <w:style w:type="paragraph" w:styleId="a8">
    <w:name w:val="header"/>
    <w:basedOn w:val="a"/>
    <w:rsid w:val="002A0810"/>
    <w:pPr>
      <w:tabs>
        <w:tab w:val="center" w:pos="4153"/>
        <w:tab w:val="right" w:pos="8306"/>
      </w:tabs>
    </w:pPr>
  </w:style>
  <w:style w:type="paragraph" w:styleId="a9">
    <w:name w:val="footer"/>
    <w:basedOn w:val="a"/>
    <w:rsid w:val="002A0810"/>
    <w:pPr>
      <w:tabs>
        <w:tab w:val="center" w:pos="4153"/>
        <w:tab w:val="right" w:pos="8306"/>
      </w:tabs>
    </w:pPr>
  </w:style>
  <w:style w:type="paragraph" w:customStyle="1" w:styleId="HeadDivreiHesber">
    <w:name w:val="Head DivreiHesber"/>
    <w:basedOn w:val="a"/>
    <w:rsid w:val="002A0810"/>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2A0810"/>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2A0810"/>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paragraph" w:styleId="ae">
    <w:name w:val="List Paragraph"/>
    <w:basedOn w:val="a"/>
    <w:uiPriority w:val="34"/>
    <w:qFormat/>
    <w:rsid w:val="002A0810"/>
    <w:pPr>
      <w:widowControl/>
      <w:spacing w:line="259" w:lineRule="auto"/>
    </w:pPr>
    <w:rPr>
      <w:rFonts w:asciiTheme="minorHAnsi" w:hAnsiTheme="minorHAnsi"/>
      <w:sz w:val="22"/>
    </w:rPr>
  </w:style>
  <w:style w:type="table" w:styleId="af">
    <w:name w:val="Table Grid"/>
    <w:basedOn w:val="a1"/>
    <w:rsid w:val="002A0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טקסט הערת שוליים תו"/>
    <w:basedOn w:val="a0"/>
    <w:link w:val="a4"/>
    <w:semiHidden/>
    <w:rsid w:val="002A0810"/>
    <w:rPr>
      <w:rFonts w:ascii="Arial" w:eastAsia="Arial Unicode MS" w:hAnsi="Arial" w:cs="David"/>
      <w:snapToGrid w:val="0"/>
      <w:sz w:val="14"/>
    </w:rPr>
  </w:style>
  <w:style w:type="character" w:customStyle="1" w:styleId="10">
    <w:name w:val="כותרת 1 תו"/>
    <w:basedOn w:val="a0"/>
    <w:link w:val="1"/>
    <w:uiPriority w:val="9"/>
    <w:rsid w:val="002A0810"/>
    <w:rPr>
      <w:rFonts w:asciiTheme="majorHAnsi" w:eastAsiaTheme="majorEastAsia" w:hAnsiTheme="majorHAnsi" w:cs="David"/>
      <w:bCs/>
      <w:sz w:val="32"/>
      <w:szCs w:val="36"/>
    </w:rPr>
  </w:style>
  <w:style w:type="character" w:customStyle="1" w:styleId="20">
    <w:name w:val="כותרת 2 תו"/>
    <w:basedOn w:val="a0"/>
    <w:link w:val="2"/>
    <w:rsid w:val="002A0810"/>
    <w:rPr>
      <w:rFonts w:asciiTheme="majorHAnsi" w:eastAsiaTheme="majorEastAsia" w:hAnsiTheme="majorHAnsi" w:cs="David"/>
      <w:bCs/>
      <w:sz w:val="26"/>
      <w:szCs w:val="36"/>
      <w:u w:val="single"/>
    </w:rPr>
  </w:style>
  <w:style w:type="character" w:customStyle="1" w:styleId="30">
    <w:name w:val="כותרת 3 תו"/>
    <w:basedOn w:val="a0"/>
    <w:link w:val="3"/>
    <w:rsid w:val="002A0810"/>
    <w:rPr>
      <w:rFonts w:asciiTheme="majorHAnsi" w:eastAsiaTheme="majorEastAsia" w:hAnsiTheme="majorHAnsi" w:cs="David"/>
      <w:sz w:val="24"/>
      <w:szCs w:val="28"/>
      <w:u w:val="double"/>
    </w:rPr>
  </w:style>
  <w:style w:type="character" w:customStyle="1" w:styleId="40">
    <w:name w:val="כותרת 4 תו"/>
    <w:basedOn w:val="a0"/>
    <w:link w:val="4"/>
    <w:uiPriority w:val="9"/>
    <w:rsid w:val="002A0810"/>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2A0810"/>
    <w:rPr>
      <w:rFonts w:ascii="David" w:eastAsiaTheme="minorHAnsi" w:hAnsi="David" w:cs="David"/>
      <w:color w:val="000000" w:themeColor="text1"/>
      <w:sz w:val="24"/>
      <w:szCs w:val="24"/>
    </w:rPr>
  </w:style>
  <w:style w:type="paragraph" w:styleId="af0">
    <w:name w:val="TOC Heading"/>
    <w:basedOn w:val="1"/>
    <w:next w:val="a"/>
    <w:uiPriority w:val="39"/>
    <w:unhideWhenUsed/>
    <w:qFormat/>
    <w:rsid w:val="002A0810"/>
    <w:pPr>
      <w:widowControl/>
      <w:spacing w:before="120" w:after="120"/>
      <w:outlineLvl w:val="9"/>
    </w:pPr>
    <w:rPr>
      <w:rtl/>
      <w:cs/>
    </w:rPr>
  </w:style>
  <w:style w:type="paragraph" w:styleId="TOC1">
    <w:name w:val="toc 1"/>
    <w:basedOn w:val="a"/>
    <w:next w:val="a"/>
    <w:autoRedefine/>
    <w:uiPriority w:val="39"/>
    <w:unhideWhenUsed/>
    <w:rsid w:val="002A0810"/>
    <w:pPr>
      <w:tabs>
        <w:tab w:val="right" w:leader="dot" w:pos="9629"/>
      </w:tabs>
      <w:spacing w:after="100"/>
    </w:pPr>
    <w:rPr>
      <w:bCs/>
      <w:szCs w:val="22"/>
    </w:rPr>
  </w:style>
  <w:style w:type="paragraph" w:styleId="TOC2">
    <w:name w:val="toc 2"/>
    <w:basedOn w:val="a"/>
    <w:next w:val="a"/>
    <w:uiPriority w:val="39"/>
    <w:unhideWhenUsed/>
    <w:rsid w:val="002A0810"/>
    <w:pPr>
      <w:tabs>
        <w:tab w:val="right" w:leader="dot" w:pos="9628"/>
      </w:tabs>
      <w:spacing w:after="100"/>
    </w:pPr>
    <w:rPr>
      <w:szCs w:val="22"/>
    </w:rPr>
  </w:style>
  <w:style w:type="character" w:styleId="Hyperlink">
    <w:name w:val="Hyperlink"/>
    <w:basedOn w:val="a0"/>
    <w:uiPriority w:val="99"/>
    <w:unhideWhenUsed/>
    <w:rsid w:val="002A0810"/>
    <w:rPr>
      <w:color w:val="0000FF" w:themeColor="hyperlink"/>
      <w:u w:val="single"/>
    </w:rPr>
  </w:style>
  <w:style w:type="paragraph" w:styleId="TOC3">
    <w:name w:val="toc 3"/>
    <w:basedOn w:val="a"/>
    <w:next w:val="a"/>
    <w:uiPriority w:val="39"/>
    <w:unhideWhenUsed/>
    <w:rsid w:val="002A0810"/>
    <w:pPr>
      <w:numPr>
        <w:numId w:val="26"/>
      </w:numPr>
      <w:tabs>
        <w:tab w:val="right" w:leader="dot" w:pos="9629"/>
      </w:tabs>
      <w:spacing w:after="100"/>
      <w:ind w:left="811" w:hanging="357"/>
    </w:pPr>
    <w:rPr>
      <w:szCs w:val="22"/>
    </w:rPr>
  </w:style>
  <w:style w:type="paragraph" w:styleId="TOC4">
    <w:name w:val="toc 4"/>
    <w:basedOn w:val="a"/>
    <w:next w:val="a"/>
    <w:autoRedefine/>
    <w:unhideWhenUsed/>
    <w:qFormat/>
    <w:rsid w:val="002A0810"/>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2A0810"/>
    <w:pPr>
      <w:tabs>
        <w:tab w:val="right" w:leader="dot" w:pos="9628"/>
      </w:tabs>
      <w:spacing w:after="100"/>
      <w:ind w:left="567"/>
    </w:pPr>
    <w:rPr>
      <w:szCs w:val="22"/>
    </w:rPr>
  </w:style>
  <w:style w:type="paragraph" w:styleId="TOC6">
    <w:name w:val="toc 6"/>
    <w:basedOn w:val="a"/>
    <w:next w:val="a"/>
    <w:autoRedefine/>
    <w:semiHidden/>
    <w:unhideWhenUsed/>
    <w:rsid w:val="002A0810"/>
    <w:pPr>
      <w:spacing w:after="100"/>
      <w:ind w:left="850"/>
    </w:pPr>
  </w:style>
  <w:style w:type="paragraph" w:styleId="TOC7">
    <w:name w:val="toc 7"/>
    <w:basedOn w:val="a"/>
    <w:next w:val="a"/>
    <w:autoRedefine/>
    <w:semiHidden/>
    <w:unhideWhenUsed/>
    <w:rsid w:val="002A0810"/>
    <w:pPr>
      <w:spacing w:after="100"/>
      <w:ind w:left="1020"/>
    </w:pPr>
  </w:style>
  <w:style w:type="paragraph" w:styleId="TOC8">
    <w:name w:val="toc 8"/>
    <w:basedOn w:val="a"/>
    <w:next w:val="a"/>
    <w:autoRedefine/>
    <w:semiHidden/>
    <w:unhideWhenUsed/>
    <w:rsid w:val="002A0810"/>
    <w:pPr>
      <w:spacing w:after="100"/>
      <w:ind w:left="1190"/>
    </w:pPr>
  </w:style>
  <w:style w:type="paragraph" w:styleId="TOC9">
    <w:name w:val="toc 9"/>
    <w:basedOn w:val="a"/>
    <w:next w:val="a"/>
    <w:autoRedefine/>
    <w:semiHidden/>
    <w:unhideWhenUsed/>
    <w:rsid w:val="002A0810"/>
    <w:pPr>
      <w:spacing w:after="100"/>
      <w:ind w:left="1360"/>
    </w:pPr>
  </w:style>
  <w:style w:type="paragraph" w:customStyle="1" w:styleId="TableHead2">
    <w:name w:val="Table Head2"/>
    <w:basedOn w:val="TableHead"/>
    <w:qFormat/>
    <w:rsid w:val="002A0810"/>
    <w:pPr>
      <w:outlineLvl w:val="9"/>
    </w:pPr>
  </w:style>
  <w:style w:type="paragraph" w:customStyle="1" w:styleId="TableSideHeading2">
    <w:name w:val="Table SideHeading2"/>
    <w:basedOn w:val="TableSideHeading"/>
    <w:autoRedefine/>
    <w:qFormat/>
    <w:rsid w:val="002A0810"/>
    <w:pPr>
      <w:keepLines w:val="0"/>
      <w:outlineLvl w:val="9"/>
    </w:pPr>
  </w:style>
  <w:style w:type="paragraph" w:customStyle="1" w:styleId="0">
    <w:name w:val="סגנון שורה ראשונה:  0  ס''מ"/>
    <w:basedOn w:val="2"/>
    <w:rsid w:val="002A0810"/>
    <w:rPr>
      <w:rFonts w:eastAsia="Times New Roman"/>
    </w:rPr>
  </w:style>
  <w:style w:type="table" w:styleId="11">
    <w:name w:val="Plain Table 1"/>
    <w:basedOn w:val="a1"/>
    <w:uiPriority w:val="41"/>
    <w:rsid w:val="002A081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2A08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1">
    <w:name w:val="טבלת חקיקה"/>
    <w:basedOn w:val="a1"/>
    <w:uiPriority w:val="99"/>
    <w:rsid w:val="002A0810"/>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2A0810"/>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5A08EB9-9BEC-41B8-999C-43D24C043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722B2648-9F59-4663-87E2-679F5D4E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6</Pages>
  <Words>1519</Words>
  <Characters>7595</Characters>
  <Application>Microsoft Office Word</Application>
  <DocSecurity>0</DocSecurity>
  <Lines>63</Lines>
  <Paragraphs>18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2013-07-04T08:25:00Z</cp:lastPrinted>
  <dcterms:created xsi:type="dcterms:W3CDTF">2015-04-20T09:58:00Z</dcterms:created>
  <dcterms:modified xsi:type="dcterms:W3CDTF">2022-02-03T09:50:00Z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2167971</vt:r8>
  </property>
</Properties>
</file>