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2169115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A" w14:textId="27A2ACFD" w:rsidR="00E13C27" w:rsidRPr="00CF1AA2" w:rsidRDefault="008F6665" w:rsidP="00095F6B">
      <w:pPr>
        <w:pStyle w:val="David"/>
        <w:spacing w:before="102"/>
        <w:ind w:left="3544"/>
        <w:rPr>
          <w:b/>
          <w:bCs/>
          <w:sz w:val="16"/>
          <w:szCs w:val="16"/>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מירי מרים רגב</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7D7E7BF"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095F6B">
        <w:rPr>
          <w:rtl/>
        </w:rPr>
        <w:tab/>
      </w:r>
      <w:bookmarkStart w:id="7" w:name="_GoBack"/>
      <w:bookmarkEnd w:id="7"/>
      <w:r>
        <w:rPr>
          <w:rFonts w:hint="cs"/>
          <w:rtl/>
        </w:rPr>
        <w:t>פ/3230/24</w:t>
      </w:r>
      <w:bookmarkEnd w:id="6"/>
    </w:p>
    <w:p w14:paraId="7F6961AC" w14:textId="77777777" w:rsidR="00E13C27" w:rsidRDefault="00E13C27" w:rsidP="00E13C27">
      <w:pPr>
        <w:ind w:left="2880" w:firstLine="720"/>
        <w:rPr>
          <w:sz w:val="26"/>
          <w:szCs w:val="26"/>
          <w:rtl/>
        </w:rPr>
      </w:pPr>
    </w:p>
    <w:p w14:paraId="7F6961CA" w14:textId="4357250C" w:rsidR="002D1EE3" w:rsidRDefault="00A443CF" w:rsidP="00513413">
      <w:pPr>
        <w:pStyle w:val="HeadHatzaotHok"/>
        <w:rPr>
          <w:rtl/>
        </w:rPr>
      </w:pPr>
      <w:bookmarkStart w:id="8" w:name="LGS_Subject"/>
      <w:r>
        <w:rPr>
          <w:rFonts w:hint="cs"/>
          <w:rtl/>
        </w:rPr>
        <w:t>הצעת חוק רשות מקרקעי ישראל (תיקון – שימוש בקרקע חקלאית לייצור אנרגיה מתחדשת ביישובי עדיפות לאומית), התשפ"ב–2022</w:t>
      </w:r>
      <w:bookmarkEnd w:id="8"/>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5744FC" w:rsidRPr="00F86F89" w14:paraId="7EBF9201" w14:textId="77777777" w:rsidTr="00095F6B">
        <w:trPr>
          <w:cantSplit/>
        </w:trPr>
        <w:tc>
          <w:tcPr>
            <w:tcW w:w="1871" w:type="dxa"/>
          </w:tcPr>
          <w:p w14:paraId="35C8D956" w14:textId="77777777" w:rsidR="005744FC" w:rsidRPr="00095F6B" w:rsidRDefault="005744FC" w:rsidP="00095F6B">
            <w:pPr>
              <w:pStyle w:val="TableSideHeading"/>
              <w:outlineLvl w:val="9"/>
              <w:rPr>
                <w:rtl/>
              </w:rPr>
            </w:pPr>
            <w:r w:rsidRPr="00095F6B">
              <w:rPr>
                <w:rFonts w:hint="cs"/>
                <w:rtl/>
              </w:rPr>
              <w:t>הוספת סעיף 4כג</w:t>
            </w:r>
          </w:p>
        </w:tc>
        <w:tc>
          <w:tcPr>
            <w:tcW w:w="624" w:type="dxa"/>
          </w:tcPr>
          <w:p w14:paraId="75468617" w14:textId="77777777" w:rsidR="005744FC" w:rsidRDefault="005744FC" w:rsidP="00CC37AA">
            <w:pPr>
              <w:pStyle w:val="TableText"/>
              <w:keepLines w:val="0"/>
              <w:spacing w:after="120"/>
              <w:rPr>
                <w:rtl/>
              </w:rPr>
            </w:pPr>
            <w:r>
              <w:rPr>
                <w:rFonts w:hint="cs"/>
                <w:rtl/>
              </w:rPr>
              <w:t>1.</w:t>
            </w:r>
          </w:p>
        </w:tc>
        <w:tc>
          <w:tcPr>
            <w:tcW w:w="7143" w:type="dxa"/>
            <w:gridSpan w:val="5"/>
          </w:tcPr>
          <w:p w14:paraId="2D9315FF" w14:textId="77777777" w:rsidR="005744FC" w:rsidRPr="00F86F89" w:rsidRDefault="005744FC" w:rsidP="00095F6B">
            <w:pPr>
              <w:pStyle w:val="TableBlock"/>
              <w:tabs>
                <w:tab w:val="left" w:pos="624"/>
                <w:tab w:val="left" w:pos="1247"/>
              </w:tabs>
              <w:rPr>
                <w:rtl/>
              </w:rPr>
            </w:pPr>
            <w:r>
              <w:rPr>
                <w:rFonts w:hint="cs"/>
                <w:sz w:val="26"/>
                <w:rtl/>
              </w:rPr>
              <w:t>בחוק רשות מקרקעי ישראל, התש"ך</w:t>
            </w:r>
            <w:r>
              <w:rPr>
                <w:rFonts w:hint="eastAsia"/>
                <w:sz w:val="26"/>
                <w:rtl/>
              </w:rPr>
              <w:t>–</w:t>
            </w:r>
            <w:r>
              <w:rPr>
                <w:rFonts w:hint="cs"/>
                <w:sz w:val="26"/>
                <w:rtl/>
              </w:rPr>
              <w:t>1960</w:t>
            </w:r>
            <w:r w:rsidRPr="00095F6B">
              <w:rPr>
                <w:rStyle w:val="a6"/>
                <w:rFonts w:ascii="David" w:hAnsi="David"/>
                <w:sz w:val="26"/>
                <w:rtl/>
              </w:rPr>
              <w:footnoteReference w:id="2"/>
            </w:r>
            <w:r>
              <w:rPr>
                <w:rFonts w:hint="cs"/>
                <w:sz w:val="26"/>
                <w:rtl/>
              </w:rPr>
              <w:t>, אחרי סעיף 4כב יבוא:</w:t>
            </w:r>
          </w:p>
        </w:tc>
      </w:tr>
      <w:tr w:rsidR="005744FC" w14:paraId="5856EB06" w14:textId="77777777" w:rsidTr="00095F6B">
        <w:trPr>
          <w:cantSplit/>
        </w:trPr>
        <w:tc>
          <w:tcPr>
            <w:tcW w:w="1871" w:type="dxa"/>
          </w:tcPr>
          <w:p w14:paraId="16511D50" w14:textId="77777777" w:rsidR="005744FC" w:rsidRDefault="005744FC" w:rsidP="00CC37AA">
            <w:pPr>
              <w:pStyle w:val="TableSideHeading"/>
              <w:keepLines w:val="0"/>
            </w:pPr>
          </w:p>
        </w:tc>
        <w:tc>
          <w:tcPr>
            <w:tcW w:w="624" w:type="dxa"/>
          </w:tcPr>
          <w:p w14:paraId="40DE3DBC" w14:textId="77777777" w:rsidR="005744FC" w:rsidRDefault="005744FC" w:rsidP="00CC37AA">
            <w:pPr>
              <w:pStyle w:val="TableText"/>
              <w:keepLines w:val="0"/>
            </w:pPr>
          </w:p>
        </w:tc>
        <w:tc>
          <w:tcPr>
            <w:tcW w:w="1872" w:type="dxa"/>
            <w:gridSpan w:val="3"/>
          </w:tcPr>
          <w:p w14:paraId="28F32D90" w14:textId="77777777" w:rsidR="005744FC" w:rsidRDefault="005744FC" w:rsidP="00CC37AA">
            <w:pPr>
              <w:pStyle w:val="TableInnerSideHeading"/>
            </w:pPr>
            <w:r>
              <w:rPr>
                <w:rFonts w:hint="cs"/>
                <w:sz w:val="26"/>
                <w:shd w:val="clear" w:color="auto" w:fill="FFFFFF"/>
                <w:rtl/>
              </w:rPr>
              <w:t>"הקצאת קרקע בתחומי יישוב חקלאי הנמצא באזור עדיפות לאומית לייצור חשמל מאנרגיה מתחדשת</w:t>
            </w:r>
          </w:p>
        </w:tc>
        <w:tc>
          <w:tcPr>
            <w:tcW w:w="624" w:type="dxa"/>
          </w:tcPr>
          <w:p w14:paraId="1427C61B" w14:textId="77777777" w:rsidR="005744FC" w:rsidRDefault="005744FC" w:rsidP="00CC37AA">
            <w:pPr>
              <w:pStyle w:val="TableText"/>
            </w:pPr>
            <w:r>
              <w:rPr>
                <w:rFonts w:hint="cs"/>
                <w:rtl/>
              </w:rPr>
              <w:t>4כג.</w:t>
            </w:r>
          </w:p>
        </w:tc>
        <w:tc>
          <w:tcPr>
            <w:tcW w:w="4647" w:type="dxa"/>
          </w:tcPr>
          <w:p w14:paraId="54E7B6A6" w14:textId="77777777" w:rsidR="005744FC" w:rsidRDefault="005744FC" w:rsidP="00095F6B">
            <w:pPr>
              <w:pStyle w:val="TableBlock"/>
              <w:tabs>
                <w:tab w:val="left" w:pos="624"/>
                <w:tab w:val="left" w:pos="1247"/>
              </w:tabs>
            </w:pPr>
            <w:r>
              <w:rPr>
                <w:rFonts w:hint="cs"/>
                <w:rtl/>
              </w:rPr>
              <w:t>(א)</w:t>
            </w:r>
            <w:r>
              <w:rPr>
                <w:rtl/>
              </w:rPr>
              <w:tab/>
            </w:r>
            <w:r w:rsidRPr="00EC1AD2">
              <w:rPr>
                <w:rtl/>
              </w:rPr>
              <w:t>יישוב חקלאי</w:t>
            </w:r>
            <w:r>
              <w:rPr>
                <w:rFonts w:hint="cs"/>
                <w:rtl/>
              </w:rPr>
              <w:t>,</w:t>
            </w:r>
            <w:r w:rsidRPr="00EC1AD2">
              <w:rPr>
                <w:rtl/>
              </w:rPr>
              <w:t xml:space="preserve"> </w:t>
            </w:r>
            <w:r>
              <w:rPr>
                <w:rFonts w:hint="cs"/>
                <w:rtl/>
              </w:rPr>
              <w:t>הנמצא באזור</w:t>
            </w:r>
            <w:r w:rsidRPr="00EC1AD2">
              <w:rPr>
                <w:rtl/>
              </w:rPr>
              <w:t xml:space="preserve"> עדיפות לאומית</w:t>
            </w:r>
            <w:r>
              <w:rPr>
                <w:rFonts w:hint="cs"/>
                <w:rtl/>
              </w:rPr>
              <w:t>,</w:t>
            </w:r>
            <w:r w:rsidRPr="00EC1AD2">
              <w:rPr>
                <w:rtl/>
              </w:rPr>
              <w:t xml:space="preserve"> </w:t>
            </w:r>
            <w:r>
              <w:rPr>
                <w:rFonts w:hint="cs"/>
                <w:rtl/>
              </w:rPr>
              <w:t>רשאי</w:t>
            </w:r>
            <w:r w:rsidRPr="00EC1AD2">
              <w:rPr>
                <w:rtl/>
              </w:rPr>
              <w:t xml:space="preserve"> להשתמש במקרקעין שהוחכרו לו</w:t>
            </w:r>
            <w:r>
              <w:rPr>
                <w:rFonts w:hint="cs"/>
                <w:rtl/>
              </w:rPr>
              <w:t>,</w:t>
            </w:r>
            <w:r w:rsidRPr="00EC1AD2">
              <w:rPr>
                <w:rtl/>
              </w:rPr>
              <w:t xml:space="preserve"> </w:t>
            </w:r>
            <w:r>
              <w:rPr>
                <w:rFonts w:hint="cs"/>
                <w:rtl/>
              </w:rPr>
              <w:t>על ידי</w:t>
            </w:r>
            <w:r w:rsidRPr="00EC1AD2">
              <w:rPr>
                <w:rtl/>
              </w:rPr>
              <w:t xml:space="preserve"> </w:t>
            </w:r>
            <w:r>
              <w:rPr>
                <w:rFonts w:hint="cs"/>
                <w:rtl/>
              </w:rPr>
              <w:t>ה</w:t>
            </w:r>
            <w:r w:rsidRPr="00EC1AD2">
              <w:rPr>
                <w:rtl/>
              </w:rPr>
              <w:t>רשות</w:t>
            </w:r>
            <w:r>
              <w:rPr>
                <w:rFonts w:hint="cs"/>
                <w:rtl/>
              </w:rPr>
              <w:t>,</w:t>
            </w:r>
            <w:r w:rsidRPr="00EC1AD2">
              <w:rPr>
                <w:rtl/>
              </w:rPr>
              <w:t xml:space="preserve"> לייצור חשמל ממקורות אנרגיה מתחדשת, </w:t>
            </w:r>
            <w:r>
              <w:rPr>
                <w:rFonts w:hint="cs"/>
                <w:rtl/>
              </w:rPr>
              <w:t>ב</w:t>
            </w:r>
            <w:r w:rsidRPr="00EC1AD2">
              <w:rPr>
                <w:rtl/>
              </w:rPr>
              <w:t>שטח של</w:t>
            </w:r>
            <w:r>
              <w:rPr>
                <w:rFonts w:hint="cs"/>
                <w:rtl/>
              </w:rPr>
              <w:t>א עולה על</w:t>
            </w:r>
            <w:r w:rsidRPr="00EC1AD2">
              <w:rPr>
                <w:rtl/>
              </w:rPr>
              <w:t xml:space="preserve"> 1,000 דונם</w:t>
            </w:r>
            <w:r>
              <w:rPr>
                <w:rFonts w:hint="cs"/>
                <w:rtl/>
              </w:rPr>
              <w:t>;</w:t>
            </w:r>
            <w:r w:rsidRPr="00EC1AD2">
              <w:rPr>
                <w:rtl/>
              </w:rPr>
              <w:t xml:space="preserve">  שימוש כאמור לא ייחשב במניין שטחי התעסוקה ביישוב לפי </w:t>
            </w:r>
            <w:r>
              <w:rPr>
                <w:rFonts w:hint="cs"/>
                <w:rtl/>
              </w:rPr>
              <w:t xml:space="preserve">הוראות </w:t>
            </w:r>
            <w:r w:rsidRPr="00EC1AD2">
              <w:rPr>
                <w:rtl/>
              </w:rPr>
              <w:t>חוק</w:t>
            </w:r>
            <w:r>
              <w:rPr>
                <w:rFonts w:hint="cs"/>
                <w:rtl/>
              </w:rPr>
              <w:t xml:space="preserve"> זה</w:t>
            </w:r>
            <w:r w:rsidRPr="00EC1AD2">
              <w:rPr>
                <w:rtl/>
              </w:rPr>
              <w:t>.</w:t>
            </w:r>
          </w:p>
        </w:tc>
      </w:tr>
      <w:tr w:rsidR="005744FC" w14:paraId="5E5A009E" w14:textId="77777777" w:rsidTr="00095F6B">
        <w:trPr>
          <w:cantSplit/>
        </w:trPr>
        <w:tc>
          <w:tcPr>
            <w:tcW w:w="1871" w:type="dxa"/>
          </w:tcPr>
          <w:p w14:paraId="19833487" w14:textId="77777777" w:rsidR="005744FC" w:rsidRDefault="005744FC" w:rsidP="00CC37AA">
            <w:pPr>
              <w:pStyle w:val="TableSideHeading"/>
            </w:pPr>
          </w:p>
        </w:tc>
        <w:tc>
          <w:tcPr>
            <w:tcW w:w="624" w:type="dxa"/>
          </w:tcPr>
          <w:p w14:paraId="5982CF5F" w14:textId="77777777" w:rsidR="005744FC" w:rsidRDefault="005744FC" w:rsidP="00CC37AA">
            <w:pPr>
              <w:pStyle w:val="TableText"/>
            </w:pPr>
          </w:p>
        </w:tc>
        <w:tc>
          <w:tcPr>
            <w:tcW w:w="624" w:type="dxa"/>
          </w:tcPr>
          <w:p w14:paraId="0A5A4F6C" w14:textId="77777777" w:rsidR="005744FC" w:rsidRDefault="005744FC" w:rsidP="00CC37AA">
            <w:pPr>
              <w:pStyle w:val="TableText"/>
            </w:pPr>
          </w:p>
        </w:tc>
        <w:tc>
          <w:tcPr>
            <w:tcW w:w="624" w:type="dxa"/>
          </w:tcPr>
          <w:p w14:paraId="45A5A8E4" w14:textId="77777777" w:rsidR="005744FC" w:rsidRDefault="005744FC" w:rsidP="00CC37AA">
            <w:pPr>
              <w:pStyle w:val="TableText"/>
            </w:pPr>
          </w:p>
        </w:tc>
        <w:tc>
          <w:tcPr>
            <w:tcW w:w="624" w:type="dxa"/>
          </w:tcPr>
          <w:p w14:paraId="7F4D17AE" w14:textId="77777777" w:rsidR="005744FC" w:rsidRDefault="005744FC" w:rsidP="00CC37AA">
            <w:pPr>
              <w:pStyle w:val="TableText"/>
            </w:pPr>
          </w:p>
        </w:tc>
        <w:tc>
          <w:tcPr>
            <w:tcW w:w="624" w:type="dxa"/>
          </w:tcPr>
          <w:p w14:paraId="4B925AC8" w14:textId="77777777" w:rsidR="005744FC" w:rsidRDefault="005744FC" w:rsidP="00CC37AA">
            <w:pPr>
              <w:pStyle w:val="TableText"/>
            </w:pPr>
          </w:p>
        </w:tc>
        <w:tc>
          <w:tcPr>
            <w:tcW w:w="4647" w:type="dxa"/>
          </w:tcPr>
          <w:p w14:paraId="48B18C23" w14:textId="77777777" w:rsidR="005744FC" w:rsidRDefault="005744FC" w:rsidP="00095F6B">
            <w:pPr>
              <w:pStyle w:val="TableBlock"/>
              <w:tabs>
                <w:tab w:val="left" w:pos="624"/>
                <w:tab w:val="left" w:pos="1247"/>
              </w:tabs>
            </w:pPr>
            <w:r>
              <w:rPr>
                <w:rFonts w:hint="cs"/>
                <w:rtl/>
              </w:rPr>
              <w:t>(ב)</w:t>
            </w:r>
            <w:r>
              <w:rPr>
                <w:rtl/>
              </w:rPr>
              <w:tab/>
            </w:r>
            <w:r>
              <w:rPr>
                <w:rFonts w:hint="cs"/>
                <w:rtl/>
              </w:rPr>
              <w:t xml:space="preserve">בסעיף זה </w:t>
            </w:r>
            <w:r>
              <w:rPr>
                <w:rFonts w:hint="eastAsia"/>
                <w:rtl/>
              </w:rPr>
              <w:t>–</w:t>
            </w:r>
            <w:r>
              <w:rPr>
                <w:rFonts w:hint="cs"/>
                <w:rtl/>
              </w:rPr>
              <w:t xml:space="preserve"> </w:t>
            </w:r>
          </w:p>
        </w:tc>
      </w:tr>
      <w:tr w:rsidR="005744FC" w14:paraId="34BFE72E" w14:textId="77777777" w:rsidTr="00095F6B">
        <w:trPr>
          <w:cantSplit/>
        </w:trPr>
        <w:tc>
          <w:tcPr>
            <w:tcW w:w="1871" w:type="dxa"/>
          </w:tcPr>
          <w:p w14:paraId="3DD68870" w14:textId="77777777" w:rsidR="005744FC" w:rsidRDefault="005744FC" w:rsidP="00CC37AA">
            <w:pPr>
              <w:pStyle w:val="TableSideHeading"/>
            </w:pPr>
          </w:p>
        </w:tc>
        <w:tc>
          <w:tcPr>
            <w:tcW w:w="624" w:type="dxa"/>
          </w:tcPr>
          <w:p w14:paraId="6A3CFEC3" w14:textId="77777777" w:rsidR="005744FC" w:rsidRDefault="005744FC" w:rsidP="00CC37AA">
            <w:pPr>
              <w:pStyle w:val="TableText"/>
            </w:pPr>
          </w:p>
        </w:tc>
        <w:tc>
          <w:tcPr>
            <w:tcW w:w="624" w:type="dxa"/>
          </w:tcPr>
          <w:p w14:paraId="41066305" w14:textId="77777777" w:rsidR="005744FC" w:rsidRDefault="005744FC" w:rsidP="00CC37AA">
            <w:pPr>
              <w:pStyle w:val="TableText"/>
            </w:pPr>
          </w:p>
        </w:tc>
        <w:tc>
          <w:tcPr>
            <w:tcW w:w="624" w:type="dxa"/>
          </w:tcPr>
          <w:p w14:paraId="2D118B0A" w14:textId="77777777" w:rsidR="005744FC" w:rsidRDefault="005744FC" w:rsidP="00CC37AA">
            <w:pPr>
              <w:pStyle w:val="TableText"/>
            </w:pPr>
          </w:p>
        </w:tc>
        <w:tc>
          <w:tcPr>
            <w:tcW w:w="624" w:type="dxa"/>
          </w:tcPr>
          <w:p w14:paraId="150FB868" w14:textId="77777777" w:rsidR="005744FC" w:rsidRDefault="005744FC" w:rsidP="00CC37AA">
            <w:pPr>
              <w:pStyle w:val="TableText"/>
            </w:pPr>
          </w:p>
        </w:tc>
        <w:tc>
          <w:tcPr>
            <w:tcW w:w="624" w:type="dxa"/>
          </w:tcPr>
          <w:p w14:paraId="172222FC" w14:textId="77777777" w:rsidR="005744FC" w:rsidRDefault="005744FC" w:rsidP="00CC37AA">
            <w:pPr>
              <w:pStyle w:val="TableText"/>
            </w:pPr>
          </w:p>
        </w:tc>
        <w:tc>
          <w:tcPr>
            <w:tcW w:w="4647" w:type="dxa"/>
          </w:tcPr>
          <w:p w14:paraId="13A4CFAD" w14:textId="77777777" w:rsidR="005744FC" w:rsidRDefault="005744FC" w:rsidP="00095F6B">
            <w:pPr>
              <w:pStyle w:val="TableBlockOutdent"/>
              <w:tabs>
                <w:tab w:val="left" w:pos="624"/>
                <w:tab w:val="left" w:pos="1247"/>
              </w:tabs>
              <w:rPr>
                <w:rtl/>
              </w:rPr>
            </w:pPr>
            <w:r>
              <w:rPr>
                <w:rFonts w:hint="cs"/>
                <w:rtl/>
              </w:rPr>
              <w:t xml:space="preserve">"יישוב חקלאי" </w:t>
            </w:r>
            <w:r>
              <w:rPr>
                <w:rFonts w:hint="eastAsia"/>
                <w:rtl/>
              </w:rPr>
              <w:t>–</w:t>
            </w:r>
            <w:r>
              <w:rPr>
                <w:rFonts w:hint="cs"/>
                <w:rtl/>
              </w:rPr>
              <w:t xml:space="preserve"> כהגדרתו בסעיף 4כ;</w:t>
            </w:r>
          </w:p>
        </w:tc>
      </w:tr>
      <w:tr w:rsidR="005744FC" w14:paraId="3201940D" w14:textId="77777777" w:rsidTr="00095F6B">
        <w:trPr>
          <w:cantSplit/>
        </w:trPr>
        <w:tc>
          <w:tcPr>
            <w:tcW w:w="1871" w:type="dxa"/>
          </w:tcPr>
          <w:p w14:paraId="4114A68E" w14:textId="77777777" w:rsidR="005744FC" w:rsidRDefault="005744FC" w:rsidP="00CC37AA">
            <w:pPr>
              <w:pStyle w:val="TableSideHeading"/>
            </w:pPr>
          </w:p>
        </w:tc>
        <w:tc>
          <w:tcPr>
            <w:tcW w:w="624" w:type="dxa"/>
          </w:tcPr>
          <w:p w14:paraId="50465D11" w14:textId="77777777" w:rsidR="005744FC" w:rsidRDefault="005744FC" w:rsidP="00CC37AA">
            <w:pPr>
              <w:pStyle w:val="TableText"/>
            </w:pPr>
          </w:p>
        </w:tc>
        <w:tc>
          <w:tcPr>
            <w:tcW w:w="624" w:type="dxa"/>
          </w:tcPr>
          <w:p w14:paraId="366D39F5" w14:textId="77777777" w:rsidR="005744FC" w:rsidRDefault="005744FC" w:rsidP="00CC37AA">
            <w:pPr>
              <w:pStyle w:val="TableText"/>
            </w:pPr>
          </w:p>
        </w:tc>
        <w:tc>
          <w:tcPr>
            <w:tcW w:w="624" w:type="dxa"/>
          </w:tcPr>
          <w:p w14:paraId="17552B3F" w14:textId="77777777" w:rsidR="005744FC" w:rsidRDefault="005744FC" w:rsidP="00CC37AA">
            <w:pPr>
              <w:pStyle w:val="TableText"/>
            </w:pPr>
          </w:p>
        </w:tc>
        <w:tc>
          <w:tcPr>
            <w:tcW w:w="624" w:type="dxa"/>
          </w:tcPr>
          <w:p w14:paraId="3968CF0D" w14:textId="77777777" w:rsidR="005744FC" w:rsidRDefault="005744FC" w:rsidP="00CC37AA">
            <w:pPr>
              <w:pStyle w:val="TableText"/>
            </w:pPr>
          </w:p>
        </w:tc>
        <w:tc>
          <w:tcPr>
            <w:tcW w:w="624" w:type="dxa"/>
          </w:tcPr>
          <w:p w14:paraId="04DC0449" w14:textId="77777777" w:rsidR="005744FC" w:rsidRDefault="005744FC" w:rsidP="00CC37AA">
            <w:pPr>
              <w:pStyle w:val="TableText"/>
            </w:pPr>
          </w:p>
        </w:tc>
        <w:tc>
          <w:tcPr>
            <w:tcW w:w="4647" w:type="dxa"/>
          </w:tcPr>
          <w:p w14:paraId="079D20D7" w14:textId="77777777" w:rsidR="005744FC" w:rsidRPr="000A7978" w:rsidRDefault="005744FC" w:rsidP="00095F6B">
            <w:pPr>
              <w:pStyle w:val="TableBlockOutdent"/>
              <w:tabs>
                <w:tab w:val="left" w:pos="624"/>
                <w:tab w:val="left" w:pos="1247"/>
              </w:tabs>
              <w:rPr>
                <w:rtl/>
              </w:rPr>
            </w:pPr>
            <w:r w:rsidRPr="00EC1AD2">
              <w:rPr>
                <w:rtl/>
              </w:rPr>
              <w:t>"</w:t>
            </w:r>
            <w:r>
              <w:rPr>
                <w:rFonts w:hint="cs"/>
                <w:rtl/>
              </w:rPr>
              <w:t>אזור</w:t>
            </w:r>
            <w:r w:rsidRPr="00EC1AD2">
              <w:rPr>
                <w:rtl/>
              </w:rPr>
              <w:t xml:space="preserve"> </w:t>
            </w:r>
            <w:r w:rsidRPr="003218D9">
              <w:rPr>
                <w:rtl/>
              </w:rPr>
              <w:t>עדיפות</w:t>
            </w:r>
            <w:r w:rsidRPr="00EC1AD2">
              <w:rPr>
                <w:rtl/>
              </w:rPr>
              <w:t xml:space="preserve"> לאומית" </w:t>
            </w:r>
            <w:r>
              <w:rPr>
                <w:rFonts w:hint="cs"/>
                <w:rtl/>
              </w:rPr>
              <w:t xml:space="preserve">– כמשמעותו בחוק </w:t>
            </w:r>
            <w:r w:rsidRPr="00790AD0">
              <w:rPr>
                <w:rtl/>
              </w:rPr>
              <w:t xml:space="preserve">ההתייעלות הכלכלית (תיקוני חקיקה ליישום התכנית הכלכלית לשנים 2009 ו-2010), </w:t>
            </w:r>
            <w:r>
              <w:rPr>
                <w:rFonts w:hint="cs"/>
                <w:rtl/>
              </w:rPr>
              <w:t>ה</w:t>
            </w:r>
            <w:r w:rsidRPr="00790AD0">
              <w:rPr>
                <w:rtl/>
              </w:rPr>
              <w:t>תשס"ט</w:t>
            </w:r>
            <w:r>
              <w:rPr>
                <w:rFonts w:hint="cs"/>
                <w:rtl/>
              </w:rPr>
              <w:t>–</w:t>
            </w:r>
            <w:r w:rsidRPr="00790AD0">
              <w:rPr>
                <w:rtl/>
              </w:rPr>
              <w:t>2009</w:t>
            </w:r>
            <w:r w:rsidRPr="00095F6B">
              <w:rPr>
                <w:rStyle w:val="a6"/>
                <w:rFonts w:ascii="David" w:hAnsi="David"/>
                <w:sz w:val="26"/>
                <w:rtl/>
              </w:rPr>
              <w:footnoteReference w:id="3"/>
            </w:r>
            <w:r>
              <w:rPr>
                <w:rFonts w:hint="cs"/>
                <w:rtl/>
              </w:rPr>
              <w:t>."</w:t>
            </w:r>
          </w:p>
        </w:tc>
      </w:tr>
    </w:tbl>
    <w:p w14:paraId="01997631" w14:textId="77777777" w:rsidR="005744FC" w:rsidRDefault="005744FC" w:rsidP="005744FC">
      <w:pPr>
        <w:pStyle w:val="HeadDivreiHesber"/>
        <w:rPr>
          <w:rtl/>
        </w:rPr>
      </w:pPr>
      <w:r w:rsidRPr="0027450A">
        <w:rPr>
          <w:rFonts w:hint="cs"/>
          <w:rtl/>
        </w:rPr>
        <w:t>דברי הסבר</w:t>
      </w:r>
    </w:p>
    <w:p w14:paraId="7757E381" w14:textId="77777777" w:rsidR="005744FC" w:rsidRPr="00E41752" w:rsidRDefault="005744FC" w:rsidP="005744FC">
      <w:pPr>
        <w:pStyle w:val="Hesber"/>
        <w:ind w:firstLine="0"/>
        <w:rPr>
          <w:rtl/>
        </w:rPr>
      </w:pPr>
      <w:r w:rsidRPr="00E41752">
        <w:rPr>
          <w:rFonts w:hint="cs"/>
          <w:rtl/>
        </w:rPr>
        <w:t>בשורה של החלטות ממשלה נקבעו יעדים מחייבים לייצור חשמל ממקורות אנרגיה מתחדשת וחובת העמידה ביעדים אלו נחקקה בתיקון מס' 14 לחוק משק החשמל, התשנ"ו</w:t>
      </w:r>
      <w:r w:rsidRPr="00E41752">
        <w:rPr>
          <w:rFonts w:hint="eastAsia"/>
          <w:rtl/>
        </w:rPr>
        <w:t>–</w:t>
      </w:r>
      <w:r w:rsidRPr="00E41752">
        <w:rPr>
          <w:rFonts w:hint="cs"/>
          <w:rtl/>
        </w:rPr>
        <w:t>1996 משנת 2017. ישראל</w:t>
      </w:r>
      <w:r>
        <w:rPr>
          <w:rFonts w:hint="cs"/>
          <w:rtl/>
        </w:rPr>
        <w:t xml:space="preserve"> לא </w:t>
      </w:r>
      <w:r w:rsidRPr="00E41752">
        <w:rPr>
          <w:rFonts w:hint="cs"/>
          <w:rtl/>
        </w:rPr>
        <w:t xml:space="preserve">משופעת במקורות אנרגיה מתחדשת והאנרגיה הסולארית היא מקור האנרגיה המתחדשת העיקרי.  הקמת מתקנים סולאריים יכולה להתבצע על הקרקע, או על גבי גגות מבנים. בשנים האחרונות </w:t>
      </w:r>
      <w:r w:rsidRPr="00E41752">
        <w:rPr>
          <w:rFonts w:hint="cs"/>
          <w:rtl/>
        </w:rPr>
        <w:lastRenderedPageBreak/>
        <w:t xml:space="preserve">קידמה רשות החשמל הקמה של </w:t>
      </w:r>
      <w:r>
        <w:rPr>
          <w:rFonts w:hint="cs"/>
          <w:rtl/>
        </w:rPr>
        <w:t>מיתקנים לייצור חשמל ממקורות אנרגיה מתחדשת</w:t>
      </w:r>
      <w:r w:rsidRPr="00E41752">
        <w:rPr>
          <w:rFonts w:hint="cs"/>
          <w:rtl/>
        </w:rPr>
        <w:t>, וכיום כשלושה אחוזים מן החשמל המסופק לכלל צרכני החשמל במשק מגיע ממקורות אנרגיה מתחדשת ובעיקר מאנרגיה סולארית.</w:t>
      </w:r>
    </w:p>
    <w:p w14:paraId="01BFC46E" w14:textId="77777777" w:rsidR="005744FC" w:rsidRPr="00236977" w:rsidRDefault="005744FC" w:rsidP="00236977">
      <w:pPr>
        <w:pStyle w:val="Hesber"/>
        <w:rPr>
          <w:rtl/>
        </w:rPr>
      </w:pPr>
      <w:r w:rsidRPr="00236977">
        <w:rPr>
          <w:rFonts w:hint="cs"/>
          <w:rtl/>
        </w:rPr>
        <w:t>שימוש במקורות אנרגיה מתחדשת לייצור חשמל יפחית את הצורך בשריפת דלקים מאובנים, כגון פחם, גז, נפט ותזקיקיו, יתרום לגיוון סל מקורות האנרגיה של ישראל ולהפחתת התלות בייבוא דלקים, וכן יביא להפחתת הפליטות המזהמות את הסביבה ופוגעות בבריאות האדם והחי.</w:t>
      </w:r>
    </w:p>
    <w:p w14:paraId="34DF52A7" w14:textId="77777777" w:rsidR="005744FC" w:rsidRPr="00236977" w:rsidRDefault="005744FC" w:rsidP="00236977">
      <w:pPr>
        <w:pStyle w:val="Hesber"/>
        <w:rPr>
          <w:rtl/>
        </w:rPr>
      </w:pPr>
      <w:r w:rsidRPr="00236977">
        <w:rPr>
          <w:rFonts w:hint="cs"/>
          <w:rtl/>
        </w:rPr>
        <w:t>על מנת לעמוד ביעדי הממשלה לייצור חשמל באנרגיה מתחדשת, בדגש על אנרגיה סולארית, יש לאפשר פיתוח נרחב של שדות סולאריים קרקעיים, בד בבד עם פיתוח גגות סולאריים.</w:t>
      </w:r>
    </w:p>
    <w:p w14:paraId="7672AE54" w14:textId="77777777" w:rsidR="005744FC" w:rsidRPr="00236977" w:rsidRDefault="005744FC" w:rsidP="00236977">
      <w:pPr>
        <w:pStyle w:val="Hesber"/>
        <w:rPr>
          <w:rtl/>
        </w:rPr>
      </w:pPr>
      <w:r w:rsidRPr="00236977">
        <w:rPr>
          <w:rFonts w:hint="cs"/>
          <w:rtl/>
        </w:rPr>
        <w:t>מלאי השטחים שמאפשרים הקמת שדות סולאריים נרחבים הוא מוגבל, הן מתוקף העובדה כי מרבית השטחים מרוחקים מרשת החשמל, והן משום שמדובר בשטחים בעלי ערכים מוגנים, כגון שמורות טבע ושטחים פתוחים. תכנית המתאר הארצית לאנרגיה סולארית תמ"א 10/ד/10 קבעה שורה של מגבלות אשר מאפשרות למיתקנים לקום בצמידות דופן ליישובים קיימים ואסרה על שינוי ייעוד לשם ייצור אנרגיה סולארית במחוז המרכז. כמו כן, מגבלות רשת החשמל בדרום הארץ, שם מצוי מרבית הפוטנציאל לייצור אנרגיה סולארית, מצמצמות עוד יותר את פוטנציאל השטחים הזמינים לייצור חשמל סולארי.</w:t>
      </w:r>
    </w:p>
    <w:p w14:paraId="2896BF4F" w14:textId="77777777" w:rsidR="005744FC" w:rsidRPr="00236977" w:rsidRDefault="005744FC" w:rsidP="00236977">
      <w:pPr>
        <w:pStyle w:val="Hesber"/>
        <w:rPr>
          <w:rtl/>
        </w:rPr>
      </w:pPr>
      <w:r w:rsidRPr="00236977">
        <w:rPr>
          <w:rFonts w:hint="cs"/>
          <w:rtl/>
        </w:rPr>
        <w:t>יישובים חקלאיים מחזיקים זמן רב בשטחים שהוקצו להם למטרות שימושים חקלאיים.  חלק מהשטחים הם שטחי בור שאינם מתאימים לגידולים חקלאיים, או שטחים שקשה מאד להקים בהם חקלאות משגשגת. שטחים אלו מתאימים לייצור חשמל סולרי אולם מפאת מגבלות על שימוש בקרקע פוטנציאל זה אינו מתממש.</w:t>
      </w:r>
    </w:p>
    <w:p w14:paraId="3A35F7AA" w14:textId="77777777" w:rsidR="005744FC" w:rsidRPr="00236977" w:rsidRDefault="005744FC" w:rsidP="00236977">
      <w:pPr>
        <w:pStyle w:val="Hesber"/>
        <w:rPr>
          <w:rtl/>
        </w:rPr>
      </w:pPr>
      <w:r w:rsidRPr="00236977">
        <w:rPr>
          <w:rFonts w:hint="cs"/>
          <w:rtl/>
        </w:rPr>
        <w:t>לפיכך, כדי לעמוד ביעדי הייצור שנקבעו בהחלטות הממשלה והפכו התחייבות ממשלתית בינלאומית מוצע לאפשר הקצאת קרקע של עד 1000 דונם בתחומי יישובים חקלאיים וזאת לשם ייצור חשמל באנרגיה מתחדשת.</w:t>
      </w:r>
    </w:p>
    <w:p w14:paraId="436B16EA" w14:textId="77777777" w:rsidR="005744FC" w:rsidRPr="00236977" w:rsidRDefault="005744FC" w:rsidP="00236977">
      <w:pPr>
        <w:pStyle w:val="Hesber"/>
        <w:rPr>
          <w:rtl/>
        </w:rPr>
      </w:pPr>
      <w:r w:rsidRPr="00236977">
        <w:rPr>
          <w:rFonts w:hint="cs"/>
          <w:rtl/>
        </w:rPr>
        <w:t>לייצור חשמל כאמור גם תועלות משקיות נוספות של תעסוקה והעצמת הקהילה ועל כן מוצע לאפשר הקצאה כאמור ליישובים חקלאיים הממוקמים באזורי עדיפות לאומית.</w:t>
      </w:r>
    </w:p>
    <w:p w14:paraId="7E5AE6E5" w14:textId="3BD551E3" w:rsidR="005744FC" w:rsidRPr="00236977" w:rsidRDefault="005744FC" w:rsidP="00236977">
      <w:pPr>
        <w:pStyle w:val="Hesber"/>
        <w:rPr>
          <w:rtl/>
        </w:rPr>
      </w:pPr>
      <w:r w:rsidRPr="00236977">
        <w:rPr>
          <w:rFonts w:hint="cs"/>
          <w:rtl/>
        </w:rPr>
        <w:t>הצע</w:t>
      </w:r>
      <w:r w:rsidR="00236977" w:rsidRPr="00236977">
        <w:rPr>
          <w:rFonts w:hint="cs"/>
          <w:rtl/>
        </w:rPr>
        <w:t>ו</w:t>
      </w:r>
      <w:r w:rsidRPr="00236977">
        <w:rPr>
          <w:rFonts w:hint="cs"/>
          <w:rtl/>
        </w:rPr>
        <w:t>ת חוק זה</w:t>
      </w:r>
      <w:r w:rsidR="00236977" w:rsidRPr="00236977">
        <w:rPr>
          <w:rFonts w:hint="cs"/>
          <w:rtl/>
        </w:rPr>
        <w:t>ות</w:t>
      </w:r>
      <w:r w:rsidRPr="00236977">
        <w:rPr>
          <w:rtl/>
        </w:rPr>
        <w:t xml:space="preserve"> הונח</w:t>
      </w:r>
      <w:r w:rsidR="00236977" w:rsidRPr="00236977">
        <w:rPr>
          <w:rFonts w:hint="eastAsia"/>
          <w:rtl/>
        </w:rPr>
        <w:t>ו</w:t>
      </w:r>
      <w:r w:rsidRPr="00236977">
        <w:rPr>
          <w:rtl/>
        </w:rPr>
        <w:t xml:space="preserve"> על שולחן הכנסת העשרים על ידי חבר הכנסת איתן ברושי וקבוצת חברי הכנסת (פ/5292/20; הוסרה מסדר היום ביום י"ד בתמוז התשע"ח (27 ביוני 2018)</w:t>
      </w:r>
      <w:r w:rsidR="00236977" w:rsidRPr="00236977">
        <w:rPr>
          <w:rtl/>
        </w:rPr>
        <w:t xml:space="preserve">; </w:t>
      </w:r>
      <w:r w:rsidR="00236977" w:rsidRPr="00236977">
        <w:rPr>
          <w:rFonts w:hint="eastAsia"/>
          <w:rtl/>
        </w:rPr>
        <w:t>פ</w:t>
      </w:r>
      <w:r w:rsidR="00236977" w:rsidRPr="00236977">
        <w:rPr>
          <w:rtl/>
        </w:rPr>
        <w:t>/5592/20</w:t>
      </w:r>
      <w:r w:rsidRPr="00236977">
        <w:rPr>
          <w:rtl/>
        </w:rPr>
        <w:t>).</w:t>
      </w:r>
    </w:p>
    <w:p w14:paraId="2092F112" w14:textId="77777777" w:rsidR="005744FC" w:rsidRDefault="005744FC" w:rsidP="005744FC">
      <w:pPr>
        <w:pStyle w:val="Hesber"/>
        <w:ind w:firstLine="0"/>
        <w:rPr>
          <w:rtl/>
        </w:rPr>
      </w:pPr>
    </w:p>
    <w:p w14:paraId="4E2A3363" w14:textId="77777777" w:rsidR="0046113A" w:rsidRDefault="00095F6B">
      <w:pPr>
        <w:jc w:val="left"/>
      </w:pPr>
      <w:bookmarkStart w:id="9" w:name="selectedDocDateB"/>
      <w:bookmarkEnd w:id="9"/>
      <w:r>
        <w:rPr>
          <w:rFonts w:eastAsia="David" w:hint="cs"/>
          <w:sz w:val="26"/>
          <w:szCs w:val="26"/>
          <w:rtl/>
        </w:rPr>
        <w:t>--------------------------------</w:t>
      </w:r>
    </w:p>
    <w:p w14:paraId="440247E3" w14:textId="77777777" w:rsidR="0046113A" w:rsidRDefault="00095F6B">
      <w:pPr>
        <w:jc w:val="left"/>
      </w:pPr>
      <w:r>
        <w:rPr>
          <w:rFonts w:eastAsia="David" w:hint="cs"/>
          <w:sz w:val="26"/>
          <w:szCs w:val="26"/>
          <w:rtl/>
        </w:rPr>
        <w:t>הוגשה ליו"ר הכנסת והסגנים</w:t>
      </w:r>
    </w:p>
    <w:p w14:paraId="268CB106" w14:textId="77777777" w:rsidR="0046113A" w:rsidRDefault="00095F6B">
      <w:pPr>
        <w:jc w:val="left"/>
      </w:pPr>
      <w:r>
        <w:rPr>
          <w:rFonts w:eastAsia="David" w:hint="cs"/>
          <w:sz w:val="26"/>
          <w:szCs w:val="26"/>
          <w:rtl/>
        </w:rPr>
        <w:t>והונחה על שולחן הכנסת ביום</w:t>
      </w:r>
    </w:p>
    <w:p w14:paraId="7E6FF9AF" w14:textId="77777777" w:rsidR="0046113A" w:rsidRDefault="00095F6B">
      <w:pPr>
        <w:jc w:val="left"/>
      </w:pPr>
      <w:r>
        <w:rPr>
          <w:rFonts w:eastAsia="David" w:hint="cs"/>
          <w:sz w:val="26"/>
          <w:szCs w:val="26"/>
          <w:rtl/>
        </w:rPr>
        <w:t xml:space="preserve">ו' באדר א' התשפ"ב (07.02.2022) </w:t>
      </w:r>
    </w:p>
    <w:p w14:paraId="23A6B994" w14:textId="77777777" w:rsidR="0046113A" w:rsidRDefault="0046113A">
      <w:pPr>
        <w:spacing w:line="276" w:lineRule="auto"/>
        <w:jc w:val="left"/>
      </w:pPr>
    </w:p>
    <w:sectPr w:rsidR="0046113A" w:rsidSect="00095F6B">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1EB7958"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95F6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095F6B">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C64D523" w14:textId="77777777" w:rsidR="005744FC" w:rsidRDefault="005744FC" w:rsidP="005744FC">
      <w:pPr>
        <w:pStyle w:val="a4"/>
      </w:pPr>
      <w:r>
        <w:rPr>
          <w:rStyle w:val="a6"/>
        </w:rPr>
        <w:footnoteRef/>
      </w:r>
      <w:r>
        <w:rPr>
          <w:rtl/>
        </w:rPr>
        <w:t xml:space="preserve"> </w:t>
      </w:r>
      <w:r>
        <w:rPr>
          <w:rFonts w:hint="cs"/>
          <w:rtl/>
        </w:rPr>
        <w:t>ס"ח התש"ך, עמ' 57.</w:t>
      </w:r>
    </w:p>
  </w:footnote>
  <w:footnote w:id="3">
    <w:p w14:paraId="53517D26" w14:textId="77777777" w:rsidR="005744FC" w:rsidRDefault="005744FC" w:rsidP="005744FC">
      <w:pPr>
        <w:pStyle w:val="a4"/>
        <w:rPr>
          <w:rtl/>
        </w:rPr>
      </w:pPr>
      <w:r>
        <w:rPr>
          <w:rStyle w:val="a6"/>
        </w:rPr>
        <w:footnoteRef/>
      </w:r>
      <w:r>
        <w:rPr>
          <w:rtl/>
        </w:rPr>
        <w:t xml:space="preserve"> </w:t>
      </w:r>
      <w:r>
        <w:rPr>
          <w:rFonts w:hint="cs"/>
          <w:rtl/>
        </w:rPr>
        <w:t>ס"ח התשס"ט, עמ' 157.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95F6B"/>
    <w:rsid w:val="000A542E"/>
    <w:rsid w:val="000F5E16"/>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36977"/>
    <w:rsid w:val="00241B97"/>
    <w:rsid w:val="002425D1"/>
    <w:rsid w:val="00246756"/>
    <w:rsid w:val="00251E58"/>
    <w:rsid w:val="00254605"/>
    <w:rsid w:val="00266D86"/>
    <w:rsid w:val="002728B4"/>
    <w:rsid w:val="0027600C"/>
    <w:rsid w:val="00283F50"/>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6113A"/>
    <w:rsid w:val="004A06DC"/>
    <w:rsid w:val="004B24ED"/>
    <w:rsid w:val="004B6625"/>
    <w:rsid w:val="004D2D82"/>
    <w:rsid w:val="004D3876"/>
    <w:rsid w:val="004E4552"/>
    <w:rsid w:val="004E6CDF"/>
    <w:rsid w:val="00513413"/>
    <w:rsid w:val="00553C9D"/>
    <w:rsid w:val="00562A66"/>
    <w:rsid w:val="005744FC"/>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43737"/>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596716D-AF39-4BD0-A040-BE6080C0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F6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095F6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095F6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095F6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095F6B"/>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095F6B"/>
    <w:pPr>
      <w:spacing w:line="259" w:lineRule="auto"/>
      <w:outlineLvl w:val="4"/>
    </w:pPr>
    <w:rPr>
      <w:color w:val="000000" w:themeColor="text1"/>
    </w:rPr>
  </w:style>
  <w:style w:type="character" w:default="1" w:styleId="a0">
    <w:name w:val="Default Paragraph Font"/>
    <w:uiPriority w:val="1"/>
    <w:semiHidden/>
    <w:unhideWhenUsed/>
    <w:rsid w:val="00095F6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95F6B"/>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095F6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095F6B"/>
    <w:rPr>
      <w:sz w:val="36"/>
      <w:szCs w:val="52"/>
    </w:rPr>
  </w:style>
  <w:style w:type="paragraph" w:customStyle="1" w:styleId="Cover3-Haknesset">
    <w:name w:val="Cover 3-Haknesset"/>
    <w:basedOn w:val="Cover1-Reshumot"/>
    <w:rsid w:val="00095F6B"/>
    <w:rPr>
      <w:b/>
      <w:bCs/>
      <w:spacing w:val="60"/>
    </w:rPr>
  </w:style>
  <w:style w:type="paragraph" w:customStyle="1" w:styleId="Cover4-Date">
    <w:name w:val="Cover 4-Date"/>
    <w:basedOn w:val="a"/>
    <w:rsid w:val="00095F6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095F6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095F6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095F6B"/>
    <w:pPr>
      <w:spacing w:before="120" w:after="120"/>
    </w:pPr>
    <w:rPr>
      <w:color w:val="FF0000"/>
      <w:w w:val="80"/>
    </w:rPr>
  </w:style>
  <w:style w:type="paragraph" w:styleId="a3">
    <w:name w:val="endnote text"/>
    <w:basedOn w:val="a"/>
    <w:semiHidden/>
    <w:rsid w:val="00095F6B"/>
    <w:pPr>
      <w:ind w:left="227" w:hanging="227"/>
    </w:pPr>
    <w:rPr>
      <w:sz w:val="14"/>
      <w:szCs w:val="22"/>
    </w:rPr>
  </w:style>
  <w:style w:type="paragraph" w:customStyle="1" w:styleId="TableText">
    <w:name w:val="Table Text"/>
    <w:basedOn w:val="a"/>
    <w:rsid w:val="00095F6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095F6B"/>
    <w:pPr>
      <w:outlineLvl w:val="2"/>
    </w:pPr>
  </w:style>
  <w:style w:type="paragraph" w:customStyle="1" w:styleId="TableBlock">
    <w:name w:val="Table Block"/>
    <w:basedOn w:val="TableText"/>
    <w:rsid w:val="00095F6B"/>
    <w:pPr>
      <w:jc w:val="both"/>
    </w:pPr>
  </w:style>
  <w:style w:type="paragraph" w:customStyle="1" w:styleId="TableHead">
    <w:name w:val="Table Head"/>
    <w:basedOn w:val="TableText"/>
    <w:rsid w:val="00095F6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095F6B"/>
    <w:pPr>
      <w:outlineLvl w:val="9"/>
    </w:pPr>
  </w:style>
  <w:style w:type="paragraph" w:customStyle="1" w:styleId="Hesber">
    <w:name w:val="Hesber"/>
    <w:basedOn w:val="a"/>
    <w:rsid w:val="00095F6B"/>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095F6B"/>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095F6B"/>
    <w:rPr>
      <w:vertAlign w:val="superscript"/>
    </w:rPr>
  </w:style>
  <w:style w:type="paragraph" w:customStyle="1" w:styleId="HesberHeading">
    <w:name w:val="Hesber Heading"/>
    <w:basedOn w:val="Hesber"/>
    <w:rsid w:val="00095F6B"/>
    <w:pPr>
      <w:tabs>
        <w:tab w:val="left" w:pos="624"/>
        <w:tab w:val="left" w:pos="1247"/>
      </w:tabs>
    </w:pPr>
    <w:rPr>
      <w:b/>
      <w:bCs/>
    </w:rPr>
  </w:style>
  <w:style w:type="paragraph" w:customStyle="1" w:styleId="HesberWriters">
    <w:name w:val="Hesber Writers"/>
    <w:basedOn w:val="Hesber"/>
    <w:rsid w:val="00095F6B"/>
    <w:pPr>
      <w:spacing w:before="120" w:after="120"/>
      <w:ind w:left="1418"/>
      <w:jc w:val="right"/>
    </w:pPr>
    <w:rPr>
      <w:b/>
      <w:bCs/>
    </w:rPr>
  </w:style>
  <w:style w:type="paragraph" w:customStyle="1" w:styleId="Hesber1st">
    <w:name w:val="Hesber 1st"/>
    <w:basedOn w:val="Hesber"/>
    <w:rsid w:val="00095F6B"/>
    <w:pPr>
      <w:tabs>
        <w:tab w:val="left" w:pos="680"/>
        <w:tab w:val="left" w:pos="1020"/>
      </w:tabs>
      <w:ind w:firstLine="0"/>
    </w:pPr>
  </w:style>
  <w:style w:type="character" w:styleId="a7">
    <w:name w:val="endnote reference"/>
    <w:basedOn w:val="a0"/>
    <w:semiHidden/>
    <w:rsid w:val="00095F6B"/>
    <w:rPr>
      <w:vertAlign w:val="superscript"/>
    </w:rPr>
  </w:style>
  <w:style w:type="paragraph" w:customStyle="1" w:styleId="TableBlockOutdent">
    <w:name w:val="Table BlockOutdent"/>
    <w:basedOn w:val="TableBlock"/>
    <w:rsid w:val="00095F6B"/>
    <w:pPr>
      <w:ind w:left="624" w:hanging="624"/>
    </w:pPr>
  </w:style>
  <w:style w:type="paragraph" w:styleId="a8">
    <w:name w:val="header"/>
    <w:basedOn w:val="a"/>
    <w:rsid w:val="00095F6B"/>
    <w:pPr>
      <w:tabs>
        <w:tab w:val="center" w:pos="4153"/>
        <w:tab w:val="right" w:pos="8306"/>
      </w:tabs>
    </w:pPr>
  </w:style>
  <w:style w:type="paragraph" w:styleId="a9">
    <w:name w:val="footer"/>
    <w:basedOn w:val="a"/>
    <w:rsid w:val="00095F6B"/>
    <w:pPr>
      <w:tabs>
        <w:tab w:val="center" w:pos="4153"/>
        <w:tab w:val="right" w:pos="8306"/>
      </w:tabs>
    </w:pPr>
  </w:style>
  <w:style w:type="paragraph" w:customStyle="1" w:styleId="HeadDivreiHesber">
    <w:name w:val="Head DivreiHesber"/>
    <w:basedOn w:val="a"/>
    <w:rsid w:val="00095F6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095F6B"/>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095F6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5744FC"/>
    <w:rPr>
      <w:rFonts w:ascii="Arial" w:eastAsia="Arial Unicode MS" w:hAnsi="Arial" w:cs="David"/>
      <w:snapToGrid w:val="0"/>
      <w:sz w:val="14"/>
    </w:rPr>
  </w:style>
  <w:style w:type="character" w:styleId="ae">
    <w:name w:val="annotation reference"/>
    <w:basedOn w:val="a0"/>
    <w:semiHidden/>
    <w:unhideWhenUsed/>
    <w:rsid w:val="00283F50"/>
    <w:rPr>
      <w:sz w:val="16"/>
      <w:szCs w:val="16"/>
    </w:rPr>
  </w:style>
  <w:style w:type="paragraph" w:styleId="af">
    <w:name w:val="annotation text"/>
    <w:basedOn w:val="a"/>
    <w:link w:val="af0"/>
    <w:semiHidden/>
    <w:unhideWhenUsed/>
    <w:rsid w:val="00283F50"/>
    <w:pPr>
      <w:spacing w:line="240" w:lineRule="auto"/>
    </w:pPr>
    <w:rPr>
      <w:sz w:val="20"/>
      <w:szCs w:val="20"/>
    </w:rPr>
  </w:style>
  <w:style w:type="character" w:customStyle="1" w:styleId="af0">
    <w:name w:val="טקסט הערה תו"/>
    <w:basedOn w:val="a0"/>
    <w:link w:val="af"/>
    <w:semiHidden/>
    <w:rsid w:val="00283F50"/>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283F50"/>
    <w:rPr>
      <w:b/>
      <w:bCs/>
    </w:rPr>
  </w:style>
  <w:style w:type="character" w:customStyle="1" w:styleId="af2">
    <w:name w:val="נושא הערה תו"/>
    <w:basedOn w:val="af0"/>
    <w:link w:val="af1"/>
    <w:semiHidden/>
    <w:rsid w:val="00283F50"/>
    <w:rPr>
      <w:rFonts w:ascii="Hadasa Roso SL" w:hAnsi="Hadasa Roso SL" w:cs="Hadasa Roso SL"/>
      <w:b/>
      <w:bCs/>
      <w:color w:val="000000"/>
      <w:spacing w:val="1"/>
      <w:lang w:eastAsia="ja-JP"/>
    </w:rPr>
  </w:style>
  <w:style w:type="character" w:customStyle="1" w:styleId="10">
    <w:name w:val="כותרת 1 תו"/>
    <w:basedOn w:val="a0"/>
    <w:link w:val="1"/>
    <w:uiPriority w:val="9"/>
    <w:rsid w:val="00095F6B"/>
    <w:rPr>
      <w:rFonts w:asciiTheme="majorHAnsi" w:eastAsiaTheme="majorEastAsia" w:hAnsiTheme="majorHAnsi" w:cs="David"/>
      <w:bCs/>
      <w:sz w:val="32"/>
      <w:szCs w:val="36"/>
    </w:rPr>
  </w:style>
  <w:style w:type="character" w:customStyle="1" w:styleId="20">
    <w:name w:val="כותרת 2 תו"/>
    <w:basedOn w:val="a0"/>
    <w:link w:val="2"/>
    <w:rsid w:val="00095F6B"/>
    <w:rPr>
      <w:rFonts w:asciiTheme="majorHAnsi" w:eastAsiaTheme="majorEastAsia" w:hAnsiTheme="majorHAnsi" w:cs="David"/>
      <w:bCs/>
      <w:sz w:val="26"/>
      <w:szCs w:val="36"/>
      <w:u w:val="single"/>
    </w:rPr>
  </w:style>
  <w:style w:type="character" w:customStyle="1" w:styleId="30">
    <w:name w:val="כותרת 3 תו"/>
    <w:basedOn w:val="a0"/>
    <w:link w:val="3"/>
    <w:rsid w:val="00095F6B"/>
    <w:rPr>
      <w:rFonts w:asciiTheme="majorHAnsi" w:eastAsiaTheme="majorEastAsia" w:hAnsiTheme="majorHAnsi" w:cs="David"/>
      <w:sz w:val="24"/>
      <w:szCs w:val="28"/>
      <w:u w:val="double"/>
    </w:rPr>
  </w:style>
  <w:style w:type="character" w:customStyle="1" w:styleId="40">
    <w:name w:val="כותרת 4 תו"/>
    <w:basedOn w:val="a0"/>
    <w:link w:val="4"/>
    <w:uiPriority w:val="9"/>
    <w:rsid w:val="00095F6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095F6B"/>
    <w:rPr>
      <w:rFonts w:ascii="David" w:eastAsiaTheme="minorHAnsi" w:hAnsi="David" w:cs="David"/>
      <w:color w:val="000000" w:themeColor="text1"/>
      <w:sz w:val="24"/>
      <w:szCs w:val="24"/>
    </w:rPr>
  </w:style>
  <w:style w:type="paragraph" w:styleId="af3">
    <w:name w:val="TOC Heading"/>
    <w:basedOn w:val="1"/>
    <w:next w:val="a"/>
    <w:uiPriority w:val="39"/>
    <w:unhideWhenUsed/>
    <w:qFormat/>
    <w:rsid w:val="00095F6B"/>
    <w:pPr>
      <w:widowControl/>
      <w:spacing w:before="120" w:after="120"/>
      <w:outlineLvl w:val="9"/>
    </w:pPr>
    <w:rPr>
      <w:rtl/>
      <w:cs/>
    </w:rPr>
  </w:style>
  <w:style w:type="paragraph" w:styleId="TOC1">
    <w:name w:val="toc 1"/>
    <w:basedOn w:val="a"/>
    <w:next w:val="a"/>
    <w:autoRedefine/>
    <w:uiPriority w:val="39"/>
    <w:unhideWhenUsed/>
    <w:rsid w:val="00095F6B"/>
    <w:pPr>
      <w:tabs>
        <w:tab w:val="right" w:leader="dot" w:pos="9629"/>
      </w:tabs>
      <w:spacing w:after="100"/>
    </w:pPr>
    <w:rPr>
      <w:bCs/>
      <w:szCs w:val="22"/>
    </w:rPr>
  </w:style>
  <w:style w:type="paragraph" w:styleId="TOC2">
    <w:name w:val="toc 2"/>
    <w:basedOn w:val="a"/>
    <w:next w:val="a"/>
    <w:uiPriority w:val="39"/>
    <w:unhideWhenUsed/>
    <w:rsid w:val="00095F6B"/>
    <w:pPr>
      <w:tabs>
        <w:tab w:val="right" w:leader="dot" w:pos="9628"/>
      </w:tabs>
      <w:spacing w:after="100"/>
    </w:pPr>
    <w:rPr>
      <w:szCs w:val="22"/>
    </w:rPr>
  </w:style>
  <w:style w:type="character" w:styleId="Hyperlink">
    <w:name w:val="Hyperlink"/>
    <w:basedOn w:val="a0"/>
    <w:uiPriority w:val="99"/>
    <w:unhideWhenUsed/>
    <w:rsid w:val="00095F6B"/>
    <w:rPr>
      <w:color w:val="0000FF" w:themeColor="hyperlink"/>
      <w:u w:val="single"/>
    </w:rPr>
  </w:style>
  <w:style w:type="paragraph" w:styleId="TOC3">
    <w:name w:val="toc 3"/>
    <w:basedOn w:val="a"/>
    <w:next w:val="a"/>
    <w:uiPriority w:val="39"/>
    <w:unhideWhenUsed/>
    <w:rsid w:val="00095F6B"/>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095F6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095F6B"/>
    <w:pPr>
      <w:tabs>
        <w:tab w:val="right" w:leader="dot" w:pos="9628"/>
      </w:tabs>
      <w:spacing w:after="100"/>
      <w:ind w:left="567"/>
    </w:pPr>
    <w:rPr>
      <w:szCs w:val="22"/>
    </w:rPr>
  </w:style>
  <w:style w:type="paragraph" w:styleId="TOC6">
    <w:name w:val="toc 6"/>
    <w:basedOn w:val="a"/>
    <w:next w:val="a"/>
    <w:autoRedefine/>
    <w:semiHidden/>
    <w:unhideWhenUsed/>
    <w:rsid w:val="00095F6B"/>
    <w:pPr>
      <w:spacing w:after="100"/>
      <w:ind w:left="850"/>
    </w:pPr>
  </w:style>
  <w:style w:type="paragraph" w:styleId="TOC7">
    <w:name w:val="toc 7"/>
    <w:basedOn w:val="a"/>
    <w:next w:val="a"/>
    <w:autoRedefine/>
    <w:semiHidden/>
    <w:unhideWhenUsed/>
    <w:rsid w:val="00095F6B"/>
    <w:pPr>
      <w:spacing w:after="100"/>
      <w:ind w:left="1020"/>
    </w:pPr>
  </w:style>
  <w:style w:type="paragraph" w:styleId="TOC8">
    <w:name w:val="toc 8"/>
    <w:basedOn w:val="a"/>
    <w:next w:val="a"/>
    <w:autoRedefine/>
    <w:semiHidden/>
    <w:unhideWhenUsed/>
    <w:rsid w:val="00095F6B"/>
    <w:pPr>
      <w:spacing w:after="100"/>
      <w:ind w:left="1190"/>
    </w:pPr>
  </w:style>
  <w:style w:type="paragraph" w:styleId="TOC9">
    <w:name w:val="toc 9"/>
    <w:basedOn w:val="a"/>
    <w:next w:val="a"/>
    <w:autoRedefine/>
    <w:semiHidden/>
    <w:unhideWhenUsed/>
    <w:rsid w:val="00095F6B"/>
    <w:pPr>
      <w:spacing w:after="100"/>
      <w:ind w:left="1360"/>
    </w:pPr>
  </w:style>
  <w:style w:type="paragraph" w:customStyle="1" w:styleId="TableHead2">
    <w:name w:val="Table Head2"/>
    <w:basedOn w:val="TableHead"/>
    <w:qFormat/>
    <w:rsid w:val="00095F6B"/>
    <w:pPr>
      <w:outlineLvl w:val="9"/>
    </w:pPr>
  </w:style>
  <w:style w:type="paragraph" w:customStyle="1" w:styleId="TableSideHeading2">
    <w:name w:val="Table SideHeading2"/>
    <w:basedOn w:val="TableSideHeading"/>
    <w:autoRedefine/>
    <w:qFormat/>
    <w:rsid w:val="00095F6B"/>
    <w:pPr>
      <w:keepLines w:val="0"/>
      <w:outlineLvl w:val="9"/>
    </w:pPr>
  </w:style>
  <w:style w:type="paragraph" w:customStyle="1" w:styleId="0">
    <w:name w:val="סגנון שורה ראשונה:  0  ס''מ"/>
    <w:basedOn w:val="2"/>
    <w:rsid w:val="00095F6B"/>
    <w:rPr>
      <w:rFonts w:eastAsia="Times New Roman"/>
    </w:rPr>
  </w:style>
  <w:style w:type="paragraph" w:styleId="af4">
    <w:name w:val="List Paragraph"/>
    <w:basedOn w:val="a"/>
    <w:uiPriority w:val="34"/>
    <w:qFormat/>
    <w:rsid w:val="00095F6B"/>
    <w:pPr>
      <w:widowControl/>
      <w:spacing w:line="259" w:lineRule="auto"/>
    </w:pPr>
    <w:rPr>
      <w:rFonts w:asciiTheme="minorHAnsi" w:hAnsiTheme="minorHAnsi"/>
      <w:sz w:val="22"/>
    </w:rPr>
  </w:style>
  <w:style w:type="table" w:styleId="af5">
    <w:name w:val="Table Grid"/>
    <w:basedOn w:val="a1"/>
    <w:rsid w:val="0009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095F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095F6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095F6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095F6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5ABBAACE-0D23-48DA-9BB6-D7772E9F9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06755322-6FB8-40E8-A699-2FEA2A82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534</Words>
  <Characters>2672</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2013-07-04T08:25:00Z</cp:lastPrinted>
  <dcterms:created xsi:type="dcterms:W3CDTF">2015-04-20T09:58:00Z</dcterms:created>
  <dcterms:modified xsi:type="dcterms:W3CDTF">2022-02-03T10:33:00Z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2169115</vt:r8>
  </property>
</Properties>
</file>