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2169055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53C3FF0F" w:rsidR="00E13C27" w:rsidRPr="00CF1AA2" w:rsidRDefault="008F6665" w:rsidP="0027711E">
      <w:pPr>
        <w:pStyle w:val="David"/>
        <w:spacing w:before="102"/>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משה אבוטבול</w:t>
      </w:r>
      <w:r>
        <w:br/>
      </w:r>
      <w:r>
        <w:rPr>
          <w:rFonts w:hint="cs"/>
          <w:b/>
          <w:bCs/>
          <w:rtl/>
        </w:rPr>
        <w:t xml:space="preserve"> </w:t>
      </w:r>
      <w:r>
        <w:tab/>
      </w:r>
      <w:r>
        <w:tab/>
      </w:r>
      <w:r>
        <w:tab/>
      </w:r>
      <w:r>
        <w:tab/>
      </w:r>
      <w:r>
        <w:rPr>
          <w:rFonts w:hint="cs"/>
          <w:b/>
          <w:bCs/>
          <w:rtl/>
        </w:rPr>
        <w:t>יוסף טייב</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יריב לוין</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יצחק פינדרוס</w:t>
      </w:r>
      <w:r>
        <w:br/>
      </w:r>
      <w:r>
        <w:rPr>
          <w:rFonts w:hint="cs"/>
          <w:b/>
          <w:bCs/>
          <w:rtl/>
        </w:rPr>
        <w:t xml:space="preserve"> </w:t>
      </w:r>
      <w:r>
        <w:tab/>
      </w:r>
      <w:r>
        <w:tab/>
      </w:r>
      <w:r>
        <w:tab/>
      </w:r>
      <w:r>
        <w:tab/>
      </w:r>
      <w:r>
        <w:rPr>
          <w:rFonts w:hint="cs"/>
          <w:b/>
          <w:bCs/>
          <w:rtl/>
        </w:rPr>
        <w:t>שלמה קרעי</w:t>
      </w:r>
      <w:r>
        <w:br/>
      </w:r>
      <w:r>
        <w:rPr>
          <w:rFonts w:hint="cs"/>
          <w:b/>
          <w:bCs/>
          <w:rtl/>
        </w:rPr>
        <w:t xml:space="preserve"> </w:t>
      </w:r>
      <w:r>
        <w:tab/>
      </w:r>
      <w:r>
        <w:tab/>
      </w:r>
      <w:r>
        <w:tab/>
      </w:r>
      <w:r>
        <w:tab/>
      </w:r>
      <w:r>
        <w:rPr>
          <w:rFonts w:hint="cs"/>
          <w:b/>
          <w:bCs/>
          <w:rtl/>
        </w:rPr>
        <w:t>מיכל וולדיגר</w:t>
      </w:r>
      <w:r>
        <w:br/>
      </w:r>
      <w:r>
        <w:rPr>
          <w:rFonts w:hint="cs"/>
          <w:b/>
          <w:bCs/>
          <w:rtl/>
        </w:rPr>
        <w:t xml:space="preserve"> </w:t>
      </w:r>
      <w:r>
        <w:tab/>
      </w:r>
      <w:r>
        <w:tab/>
      </w:r>
      <w:r>
        <w:tab/>
      </w:r>
      <w:r>
        <w:tab/>
      </w:r>
      <w:r>
        <w:rPr>
          <w:rFonts w:hint="cs"/>
          <w:b/>
          <w:bCs/>
          <w:rtl/>
        </w:rPr>
        <w:t>יעקב אשר</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36A08ED" w:rsidR="00E13C27" w:rsidRPr="00E06736" w:rsidRDefault="00904591" w:rsidP="002609AF">
      <w:pPr>
        <w:pStyle w:val="David"/>
        <w:spacing w:line="240" w:lineRule="auto"/>
        <w:ind w:left="6044" w:firstLine="436"/>
        <w:rPr>
          <w:rtl/>
        </w:rPr>
      </w:pPr>
      <w:bookmarkStart w:id="6" w:name="Private_Number"/>
      <w:bookmarkStart w:id="7" w:name="_GoBack"/>
      <w:bookmarkEnd w:id="7"/>
      <w:r>
        <w:rPr>
          <w:rFonts w:hint="cs"/>
          <w:rtl/>
        </w:rPr>
        <w:t>פ/3193/24</w:t>
      </w:r>
      <w:bookmarkEnd w:id="6"/>
    </w:p>
    <w:p w14:paraId="7F6961AC" w14:textId="77777777" w:rsidR="00E13C27" w:rsidRDefault="00E13C27" w:rsidP="00E13C27">
      <w:pPr>
        <w:ind w:left="2880" w:firstLine="720"/>
        <w:rPr>
          <w:sz w:val="26"/>
          <w:szCs w:val="26"/>
          <w:rtl/>
        </w:rPr>
      </w:pPr>
    </w:p>
    <w:p w14:paraId="7F6961AD" w14:textId="15F9515B" w:rsidR="00E13C27" w:rsidRPr="00F67051" w:rsidRDefault="00B61698" w:rsidP="0021633A">
      <w:pPr>
        <w:pStyle w:val="HeadHatzaotHok"/>
        <w:rPr>
          <w:rtl/>
        </w:rPr>
      </w:pPr>
      <w:bookmarkStart w:id="8" w:name="LGS_Subject"/>
      <w:r>
        <w:rPr>
          <w:rFonts w:hint="cs"/>
          <w:rtl/>
        </w:rPr>
        <w:t>הצעת חוק הגנת הצרכן (תיקון – החלת חובת הודעה על סיום עסקה מתמשכת על תאגידים בנקאיים ופיננסיים), התשפ"ב–2022</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45261D" w14:paraId="6DF736CC" w14:textId="77777777" w:rsidTr="00BF24F1">
        <w:trPr>
          <w:cantSplit/>
        </w:trPr>
        <w:tc>
          <w:tcPr>
            <w:tcW w:w="1871" w:type="dxa"/>
          </w:tcPr>
          <w:p w14:paraId="21FFCE57" w14:textId="77777777" w:rsidR="0045261D" w:rsidRDefault="0045261D" w:rsidP="00381C6F">
            <w:pPr>
              <w:pStyle w:val="TableSideHeading"/>
              <w:keepLines w:val="0"/>
            </w:pPr>
            <w:r>
              <w:rPr>
                <w:rFonts w:hint="cs"/>
                <w:rtl/>
              </w:rPr>
              <w:t>תיקון סעיף 13א</w:t>
            </w:r>
          </w:p>
        </w:tc>
        <w:tc>
          <w:tcPr>
            <w:tcW w:w="624" w:type="dxa"/>
          </w:tcPr>
          <w:p w14:paraId="6D9B9900" w14:textId="77777777" w:rsidR="0045261D" w:rsidRDefault="0045261D" w:rsidP="00381C6F">
            <w:pPr>
              <w:pStyle w:val="TableText"/>
              <w:keepLines w:val="0"/>
            </w:pPr>
            <w:r>
              <w:rPr>
                <w:rFonts w:hint="cs"/>
                <w:rtl/>
              </w:rPr>
              <w:t>1.</w:t>
            </w:r>
          </w:p>
        </w:tc>
        <w:tc>
          <w:tcPr>
            <w:tcW w:w="7143" w:type="dxa"/>
          </w:tcPr>
          <w:p w14:paraId="05497417" w14:textId="77777777" w:rsidR="0045261D" w:rsidRPr="00C34DE2" w:rsidRDefault="0045261D" w:rsidP="00BF24F1">
            <w:pPr>
              <w:pStyle w:val="TableBlock"/>
            </w:pPr>
            <w:r>
              <w:rPr>
                <w:rFonts w:hint="cs"/>
                <w:rtl/>
              </w:rPr>
              <w:t>בחוק הגנת הצרכן, התשמ"א</w:t>
            </w:r>
            <w:r>
              <w:rPr>
                <w:rFonts w:hint="cs"/>
                <w:sz w:val="26"/>
                <w:rtl/>
              </w:rPr>
              <w:t>–</w:t>
            </w:r>
            <w:r>
              <w:rPr>
                <w:rFonts w:hint="cs"/>
                <w:rtl/>
              </w:rPr>
              <w:t>1981</w:t>
            </w:r>
            <w:r w:rsidRPr="00BF24F1">
              <w:rPr>
                <w:rStyle w:val="a6"/>
                <w:rFonts w:ascii="David" w:hAnsi="David"/>
                <w:sz w:val="26"/>
                <w:rtl/>
              </w:rPr>
              <w:footnoteReference w:id="2"/>
            </w:r>
            <w:r>
              <w:rPr>
                <w:rFonts w:hint="cs"/>
                <w:rtl/>
              </w:rPr>
              <w:t>,</w:t>
            </w:r>
            <w:r>
              <w:rPr>
                <w:rtl/>
              </w:rPr>
              <w:t xml:space="preserve"> </w:t>
            </w:r>
            <w:r>
              <w:rPr>
                <w:rFonts w:hint="cs"/>
                <w:rtl/>
              </w:rPr>
              <w:t>ב</w:t>
            </w:r>
            <w:r>
              <w:rPr>
                <w:rtl/>
              </w:rPr>
              <w:t>סעיף</w:t>
            </w:r>
            <w:r>
              <w:rPr>
                <w:rFonts w:hint="cs"/>
                <w:rtl/>
              </w:rPr>
              <w:t xml:space="preserve"> 39, אחרי "הוראות חוק זה" יבוא "למעט הוראות סעיפים 13א, 22ג(א)(11) ו-(ב)(8), ו-31א(א)(2א),".</w:t>
            </w:r>
          </w:p>
        </w:tc>
      </w:tr>
    </w:tbl>
    <w:p w14:paraId="3FFE22E6" w14:textId="77777777" w:rsidR="0045261D" w:rsidRDefault="0045261D" w:rsidP="0045261D">
      <w:pPr>
        <w:pStyle w:val="HeadDivreiHesber"/>
        <w:rPr>
          <w:rtl/>
        </w:rPr>
      </w:pPr>
      <w:r>
        <w:rPr>
          <w:rFonts w:hint="cs"/>
          <w:rtl/>
        </w:rPr>
        <w:t>דברי הסבר</w:t>
      </w:r>
    </w:p>
    <w:p w14:paraId="138DB5E3" w14:textId="77777777" w:rsidR="0045261D" w:rsidRPr="00627691" w:rsidRDefault="0045261D" w:rsidP="00627691">
      <w:pPr>
        <w:pStyle w:val="Hesber1st"/>
        <w:tabs>
          <w:tab w:val="clear" w:pos="680"/>
        </w:tabs>
      </w:pPr>
      <w:r w:rsidRPr="00627691">
        <w:rPr>
          <w:rtl/>
        </w:rPr>
        <w:t>סעיף 13א לחוק הגנת הצרכן, התשמ"א–1981 (להלן – חוק הגנת הצרכן), נחקק במטרה להתמודד עם תופעה של שינוי תנאי ההתקשרות בעסקה לתקופה קצובה ללא ידיעת הצרכן, כך שלעיתים הצרכן נדרש לשלם יותר מכפי שסוכם בעת ההתקשרות. עסקה לתקופה קצובה מוגדרת בחוק הגנת הצרכן כעסקה לתקופה מסוימת לרכישת טובין או שירותים או עסקה שבה, בתקופה מסוימת, נרכשים טובין או שירותים במחיר מוזל שניתנת הטבה אחרת בעבורם וכן עסקה הקשורה לעסקה אחרת, כך שהמחיר בעבור רכישת טובין או שירותים בעסקה אחת מושפע, לתקופה מסוימת, מהמחיר המשולם בעסקה האחרת או משפיע עליו.</w:t>
      </w:r>
    </w:p>
    <w:p w14:paraId="3E878142" w14:textId="77777777" w:rsidR="0045261D" w:rsidRPr="00627691" w:rsidRDefault="0045261D" w:rsidP="00627691">
      <w:pPr>
        <w:pStyle w:val="Hesber"/>
        <w:rPr>
          <w:rtl/>
        </w:rPr>
      </w:pPr>
      <w:r w:rsidRPr="00627691">
        <w:rPr>
          <w:rtl/>
        </w:rPr>
        <w:t xml:space="preserve">חוק הגנת הצרכן מחריג בסעיף 39 את תחולת הוראות החוק על תאגיד בנקאי, מבטח או סוכן ביטוח ונותן שירותים פיננסיים כהגדרתם בחוק. הואיל ושינוי תנאי התקשרות נעשים גם על ידי גופים אלה </w:t>
      </w:r>
      <w:r w:rsidRPr="00627691">
        <w:rPr>
          <w:rtl/>
        </w:rPr>
        <w:lastRenderedPageBreak/>
        <w:t>נראה כי אין מקום להותיר החרגה זו, ויש להגבילם ולהחיל את התנאים החלים בעסקה לתקופה קצובה, שנועדו להגן על הצרכן מפני שינוי תנאי התקשרות ללא ידיעתו.</w:t>
      </w:r>
    </w:p>
    <w:p w14:paraId="6F7698DD" w14:textId="77777777" w:rsidR="0045261D" w:rsidRPr="00627691" w:rsidRDefault="0045261D" w:rsidP="00627691">
      <w:pPr>
        <w:pStyle w:val="Hesber"/>
        <w:rPr>
          <w:rtl/>
        </w:rPr>
      </w:pPr>
      <w:r w:rsidRPr="00627691">
        <w:rPr>
          <w:rtl/>
        </w:rPr>
        <w:t xml:space="preserve">לפיכך מוצע לתקן את סעיף 39 ולהחיל את הוראות סעיף 13א וכן את הסמכות להטיל עיצום כספי ופיצויים לדוגמה גם בעת הפרת הסעיף על ידי הגופים האמורים. </w:t>
      </w:r>
    </w:p>
    <w:p w14:paraId="33D358F6" w14:textId="1E2DF4F2" w:rsidR="0045261D" w:rsidRPr="00627691" w:rsidRDefault="0045261D" w:rsidP="00385D4A">
      <w:pPr>
        <w:pStyle w:val="Hesber"/>
        <w:rPr>
          <w:rtl/>
        </w:rPr>
      </w:pPr>
      <w:r w:rsidRPr="00627691">
        <w:rPr>
          <w:rFonts w:hint="cs"/>
          <w:rtl/>
        </w:rPr>
        <w:t>הצע</w:t>
      </w:r>
      <w:r w:rsidR="00627691">
        <w:rPr>
          <w:rFonts w:hint="cs"/>
          <w:rtl/>
        </w:rPr>
        <w:t>ות חוק זהות הונחו</w:t>
      </w:r>
      <w:r w:rsidRPr="00627691">
        <w:rPr>
          <w:rFonts w:hint="cs"/>
          <w:rtl/>
        </w:rPr>
        <w:t xml:space="preserve"> על שולחן הכנסת העשרים ושלוש</w:t>
      </w:r>
      <w:r w:rsidR="00627691">
        <w:rPr>
          <w:rFonts w:hint="cs"/>
          <w:rtl/>
        </w:rPr>
        <w:t xml:space="preserve"> ועל שולחן הכנסת העשרים וארבע</w:t>
      </w:r>
      <w:r w:rsidRPr="00627691">
        <w:rPr>
          <w:rFonts w:hint="cs"/>
          <w:rtl/>
        </w:rPr>
        <w:t xml:space="preserve"> על ידי חבר הכנסת משה אבוטבול וקבוצת חברי הכנסת (פ/2487/23</w:t>
      </w:r>
      <w:r w:rsidR="00627691">
        <w:rPr>
          <w:rFonts w:hint="cs"/>
          <w:rtl/>
        </w:rPr>
        <w:t>; פ/1087/24;</w:t>
      </w:r>
      <w:r w:rsidR="00385D4A">
        <w:rPr>
          <w:rFonts w:hint="cs"/>
          <w:rtl/>
        </w:rPr>
        <w:t xml:space="preserve"> הוסרה מסדר היום </w:t>
      </w:r>
      <w:r w:rsidR="00627691">
        <w:rPr>
          <w:rFonts w:hint="cs"/>
          <w:rtl/>
        </w:rPr>
        <w:t>ביום י"ז בשבט התשפ"ב (19 בינואר 2022</w:t>
      </w:r>
      <w:r w:rsidRPr="00627691">
        <w:rPr>
          <w:rFonts w:hint="cs"/>
          <w:rtl/>
        </w:rPr>
        <w:t>)</w:t>
      </w:r>
      <w:r w:rsidR="00627691">
        <w:rPr>
          <w:rFonts w:hint="cs"/>
          <w:rtl/>
        </w:rPr>
        <w:t>)</w:t>
      </w:r>
      <w:r w:rsidRPr="00627691">
        <w:rPr>
          <w:rFonts w:hint="cs"/>
          <w:rtl/>
        </w:rPr>
        <w:t>.</w:t>
      </w:r>
    </w:p>
    <w:p w14:paraId="4E08A6D0" w14:textId="1A351688" w:rsidR="0045261D" w:rsidRPr="00627691" w:rsidRDefault="00627691" w:rsidP="00627691">
      <w:pPr>
        <w:pStyle w:val="Hesber"/>
        <w:rPr>
          <w:rtl/>
        </w:rPr>
      </w:pPr>
      <w:r>
        <w:rPr>
          <w:rFonts w:hint="cs"/>
          <w:rtl/>
        </w:rPr>
        <w:t>הצעת החוק זהה לפ/1087/24</w:t>
      </w:r>
      <w:r w:rsidR="0045261D" w:rsidRPr="00627691">
        <w:rPr>
          <w:rFonts w:hint="cs"/>
          <w:rtl/>
        </w:rPr>
        <w:t xml:space="preserve"> ולפיכך לא נבדקה על ידי הלשכה המשפטית של הכנסת.</w:t>
      </w:r>
    </w:p>
    <w:p w14:paraId="7F6961CB" w14:textId="77777777" w:rsidR="00E13C27" w:rsidRDefault="00E13C27" w:rsidP="00E13C27">
      <w:pPr>
        <w:pStyle w:val="Hesber"/>
        <w:rPr>
          <w:rtl/>
        </w:rPr>
      </w:pPr>
    </w:p>
    <w:p w14:paraId="587A25D5" w14:textId="77777777" w:rsidR="00F9260A" w:rsidRDefault="00BF24F1">
      <w:pPr>
        <w:jc w:val="left"/>
      </w:pPr>
      <w:bookmarkStart w:id="9" w:name="selectedDocDateB"/>
      <w:bookmarkEnd w:id="9"/>
      <w:r>
        <w:rPr>
          <w:rFonts w:eastAsia="David" w:hint="cs"/>
          <w:sz w:val="26"/>
          <w:szCs w:val="26"/>
          <w:rtl/>
        </w:rPr>
        <w:t>--------------------------------</w:t>
      </w:r>
    </w:p>
    <w:p w14:paraId="610A4FC4" w14:textId="77777777" w:rsidR="00F9260A" w:rsidRDefault="00BF24F1">
      <w:pPr>
        <w:jc w:val="left"/>
      </w:pPr>
      <w:r>
        <w:rPr>
          <w:rFonts w:eastAsia="David" w:hint="cs"/>
          <w:sz w:val="26"/>
          <w:szCs w:val="26"/>
          <w:rtl/>
        </w:rPr>
        <w:t>הוגשה ליו"ר הכנסת והסגנים</w:t>
      </w:r>
    </w:p>
    <w:p w14:paraId="63A307EA" w14:textId="77777777" w:rsidR="00F9260A" w:rsidRDefault="00BF24F1">
      <w:pPr>
        <w:jc w:val="left"/>
      </w:pPr>
      <w:r>
        <w:rPr>
          <w:rFonts w:eastAsia="David" w:hint="cs"/>
          <w:sz w:val="26"/>
          <w:szCs w:val="26"/>
          <w:rtl/>
        </w:rPr>
        <w:t>והונחה על שולחן הכנסת ביום</w:t>
      </w:r>
    </w:p>
    <w:p w14:paraId="00738390" w14:textId="77777777" w:rsidR="00F9260A" w:rsidRDefault="00BF24F1">
      <w:pPr>
        <w:jc w:val="left"/>
      </w:pPr>
      <w:r>
        <w:rPr>
          <w:rFonts w:eastAsia="David" w:hint="cs"/>
          <w:sz w:val="26"/>
          <w:szCs w:val="26"/>
          <w:rtl/>
        </w:rPr>
        <w:t xml:space="preserve">ו' באדר א' התשפ"ב (07.02.2022) </w:t>
      </w:r>
    </w:p>
    <w:p w14:paraId="182B842B" w14:textId="77777777" w:rsidR="00F9260A" w:rsidRDefault="00F9260A">
      <w:pPr>
        <w:spacing w:line="276" w:lineRule="auto"/>
        <w:jc w:val="left"/>
      </w:pPr>
    </w:p>
    <w:sectPr w:rsidR="00F9260A" w:rsidSect="00BF24F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33CBC7C"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609A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F24F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A59CF8C" w14:textId="77777777" w:rsidR="0045261D" w:rsidRDefault="0045261D" w:rsidP="0045261D">
      <w:pPr>
        <w:pStyle w:val="a4"/>
        <w:rPr>
          <w:rtl/>
        </w:rPr>
      </w:pPr>
      <w:r>
        <w:rPr>
          <w:rStyle w:val="a6"/>
        </w:rPr>
        <w:footnoteRef/>
      </w:r>
      <w:r>
        <w:rPr>
          <w:rtl/>
        </w:rPr>
        <w:t xml:space="preserve"> </w:t>
      </w:r>
      <w:r>
        <w:rPr>
          <w:rFonts w:hint="cs"/>
          <w:rtl/>
        </w:rPr>
        <w:t>ס"ח התשמ"א,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09AF"/>
    <w:rsid w:val="00266D86"/>
    <w:rsid w:val="002728B4"/>
    <w:rsid w:val="0027600C"/>
    <w:rsid w:val="0027711E"/>
    <w:rsid w:val="00292712"/>
    <w:rsid w:val="002A487D"/>
    <w:rsid w:val="002C2E29"/>
    <w:rsid w:val="002C3041"/>
    <w:rsid w:val="002D1EE3"/>
    <w:rsid w:val="002F1D80"/>
    <w:rsid w:val="003232A2"/>
    <w:rsid w:val="00325C14"/>
    <w:rsid w:val="0036422C"/>
    <w:rsid w:val="003710F6"/>
    <w:rsid w:val="00385D4A"/>
    <w:rsid w:val="00386E88"/>
    <w:rsid w:val="00396585"/>
    <w:rsid w:val="003D6E38"/>
    <w:rsid w:val="003D74A0"/>
    <w:rsid w:val="004033D8"/>
    <w:rsid w:val="004073F0"/>
    <w:rsid w:val="00412A7D"/>
    <w:rsid w:val="00416B4D"/>
    <w:rsid w:val="00417CFC"/>
    <w:rsid w:val="0045261D"/>
    <w:rsid w:val="004A06DC"/>
    <w:rsid w:val="004B24ED"/>
    <w:rsid w:val="004B6625"/>
    <w:rsid w:val="004D2D82"/>
    <w:rsid w:val="004D3876"/>
    <w:rsid w:val="004E4552"/>
    <w:rsid w:val="004E6CDF"/>
    <w:rsid w:val="00553C9D"/>
    <w:rsid w:val="00562A66"/>
    <w:rsid w:val="005B064E"/>
    <w:rsid w:val="005D51AE"/>
    <w:rsid w:val="0062674B"/>
    <w:rsid w:val="00627691"/>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61698"/>
    <w:rsid w:val="00B733A7"/>
    <w:rsid w:val="00B75C91"/>
    <w:rsid w:val="00B975AD"/>
    <w:rsid w:val="00BC45FB"/>
    <w:rsid w:val="00BF148D"/>
    <w:rsid w:val="00BF24F1"/>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9260A"/>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02379AD-1C9D-4E82-A964-D492826B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4F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F24F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F24F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F24F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F24F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F24F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F24F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F24F1"/>
    <w:rPr>
      <w:sz w:val="36"/>
      <w:szCs w:val="52"/>
    </w:rPr>
  </w:style>
  <w:style w:type="paragraph" w:customStyle="1" w:styleId="Cover3-Haknesset">
    <w:name w:val="Cover 3-Haknesset"/>
    <w:basedOn w:val="Cover1-Reshumot"/>
    <w:rsid w:val="00BF24F1"/>
    <w:rPr>
      <w:b/>
      <w:bCs/>
      <w:spacing w:val="60"/>
    </w:rPr>
  </w:style>
  <w:style w:type="paragraph" w:customStyle="1" w:styleId="Cover4-Date">
    <w:name w:val="Cover 4-Date"/>
    <w:basedOn w:val="a"/>
    <w:rsid w:val="00BF24F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F24F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F24F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F24F1"/>
    <w:pPr>
      <w:spacing w:before="120" w:after="120"/>
    </w:pPr>
    <w:rPr>
      <w:color w:val="FF0000"/>
      <w:w w:val="80"/>
    </w:rPr>
  </w:style>
  <w:style w:type="paragraph" w:styleId="a3">
    <w:name w:val="endnote text"/>
    <w:basedOn w:val="a"/>
    <w:semiHidden/>
    <w:rsid w:val="00BF24F1"/>
    <w:pPr>
      <w:ind w:left="227" w:hanging="227"/>
    </w:pPr>
    <w:rPr>
      <w:sz w:val="14"/>
      <w:szCs w:val="22"/>
    </w:rPr>
  </w:style>
  <w:style w:type="paragraph" w:customStyle="1" w:styleId="TableText">
    <w:name w:val="Table Text"/>
    <w:basedOn w:val="a"/>
    <w:rsid w:val="00BF24F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F24F1"/>
    <w:pPr>
      <w:outlineLvl w:val="2"/>
    </w:pPr>
  </w:style>
  <w:style w:type="paragraph" w:customStyle="1" w:styleId="TableBlock">
    <w:name w:val="Table Block"/>
    <w:basedOn w:val="TableText"/>
    <w:rsid w:val="00BF24F1"/>
    <w:pPr>
      <w:jc w:val="both"/>
    </w:pPr>
  </w:style>
  <w:style w:type="paragraph" w:customStyle="1" w:styleId="TableHead">
    <w:name w:val="Table Head"/>
    <w:basedOn w:val="TableText"/>
    <w:rsid w:val="00BF24F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F24F1"/>
    <w:pPr>
      <w:outlineLvl w:val="9"/>
    </w:pPr>
  </w:style>
  <w:style w:type="paragraph" w:customStyle="1" w:styleId="Hesber">
    <w:name w:val="Hesber"/>
    <w:basedOn w:val="a"/>
    <w:rsid w:val="00BF24F1"/>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BF24F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BF24F1"/>
    <w:rPr>
      <w:vertAlign w:val="superscript"/>
    </w:rPr>
  </w:style>
  <w:style w:type="paragraph" w:customStyle="1" w:styleId="HesberHeading">
    <w:name w:val="Hesber Heading"/>
    <w:basedOn w:val="Hesber"/>
    <w:rsid w:val="00BF24F1"/>
    <w:pPr>
      <w:tabs>
        <w:tab w:val="left" w:pos="624"/>
        <w:tab w:val="left" w:pos="1247"/>
      </w:tabs>
    </w:pPr>
    <w:rPr>
      <w:b/>
      <w:bCs/>
    </w:rPr>
  </w:style>
  <w:style w:type="paragraph" w:customStyle="1" w:styleId="HesberWriters">
    <w:name w:val="Hesber Writers"/>
    <w:basedOn w:val="Hesber"/>
    <w:rsid w:val="00BF24F1"/>
    <w:pPr>
      <w:spacing w:before="120" w:after="120"/>
      <w:ind w:left="1418"/>
      <w:jc w:val="right"/>
    </w:pPr>
    <w:rPr>
      <w:b/>
      <w:bCs/>
    </w:rPr>
  </w:style>
  <w:style w:type="paragraph" w:customStyle="1" w:styleId="Hesber1st">
    <w:name w:val="Hesber 1st"/>
    <w:basedOn w:val="Hesber"/>
    <w:rsid w:val="00BF24F1"/>
    <w:pPr>
      <w:tabs>
        <w:tab w:val="left" w:pos="680"/>
        <w:tab w:val="left" w:pos="1020"/>
      </w:tabs>
      <w:ind w:firstLine="0"/>
    </w:pPr>
  </w:style>
  <w:style w:type="character" w:styleId="a7">
    <w:name w:val="endnote reference"/>
    <w:basedOn w:val="a0"/>
    <w:semiHidden/>
    <w:rsid w:val="00BF24F1"/>
    <w:rPr>
      <w:vertAlign w:val="superscript"/>
    </w:rPr>
  </w:style>
  <w:style w:type="paragraph" w:customStyle="1" w:styleId="TableBlockOutdent">
    <w:name w:val="Table BlockOutdent"/>
    <w:basedOn w:val="TableBlock"/>
    <w:rsid w:val="00BF24F1"/>
    <w:pPr>
      <w:ind w:left="624" w:hanging="624"/>
    </w:pPr>
  </w:style>
  <w:style w:type="paragraph" w:styleId="a8">
    <w:name w:val="header"/>
    <w:basedOn w:val="a"/>
    <w:rsid w:val="00BF24F1"/>
    <w:pPr>
      <w:tabs>
        <w:tab w:val="center" w:pos="4153"/>
        <w:tab w:val="right" w:pos="8306"/>
      </w:tabs>
    </w:pPr>
  </w:style>
  <w:style w:type="paragraph" w:styleId="a9">
    <w:name w:val="footer"/>
    <w:basedOn w:val="a"/>
    <w:rsid w:val="00BF24F1"/>
    <w:pPr>
      <w:tabs>
        <w:tab w:val="center" w:pos="4153"/>
        <w:tab w:val="right" w:pos="8306"/>
      </w:tabs>
    </w:pPr>
  </w:style>
  <w:style w:type="paragraph" w:customStyle="1" w:styleId="HeadDivreiHesber">
    <w:name w:val="Head DivreiHesber"/>
    <w:basedOn w:val="a"/>
    <w:rsid w:val="00BF24F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F24F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BF24F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45261D"/>
    <w:rPr>
      <w:rFonts w:ascii="Arial" w:eastAsia="Arial Unicode MS" w:hAnsi="Arial" w:cs="David"/>
      <w:snapToGrid w:val="0"/>
      <w:sz w:val="14"/>
    </w:rPr>
  </w:style>
  <w:style w:type="character" w:customStyle="1" w:styleId="10">
    <w:name w:val="כותרת 1 תו"/>
    <w:basedOn w:val="a0"/>
    <w:link w:val="1"/>
    <w:uiPriority w:val="9"/>
    <w:rsid w:val="00BF24F1"/>
    <w:rPr>
      <w:rFonts w:asciiTheme="majorHAnsi" w:eastAsiaTheme="majorEastAsia" w:hAnsiTheme="majorHAnsi" w:cs="David"/>
      <w:bCs/>
      <w:sz w:val="32"/>
      <w:szCs w:val="36"/>
    </w:rPr>
  </w:style>
  <w:style w:type="character" w:customStyle="1" w:styleId="20">
    <w:name w:val="כותרת 2 תו"/>
    <w:basedOn w:val="a0"/>
    <w:link w:val="2"/>
    <w:rsid w:val="00BF24F1"/>
    <w:rPr>
      <w:rFonts w:asciiTheme="majorHAnsi" w:eastAsiaTheme="majorEastAsia" w:hAnsiTheme="majorHAnsi" w:cs="David"/>
      <w:bCs/>
      <w:sz w:val="26"/>
      <w:szCs w:val="36"/>
      <w:u w:val="single"/>
    </w:rPr>
  </w:style>
  <w:style w:type="character" w:customStyle="1" w:styleId="30">
    <w:name w:val="כותרת 3 תו"/>
    <w:basedOn w:val="a0"/>
    <w:link w:val="3"/>
    <w:rsid w:val="00BF24F1"/>
    <w:rPr>
      <w:rFonts w:asciiTheme="majorHAnsi" w:eastAsiaTheme="majorEastAsia" w:hAnsiTheme="majorHAnsi" w:cs="David"/>
      <w:sz w:val="24"/>
      <w:szCs w:val="28"/>
      <w:u w:val="double"/>
    </w:rPr>
  </w:style>
  <w:style w:type="character" w:customStyle="1" w:styleId="40">
    <w:name w:val="כותרת 4 תו"/>
    <w:basedOn w:val="a0"/>
    <w:link w:val="4"/>
    <w:uiPriority w:val="9"/>
    <w:rsid w:val="00BF24F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F24F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BF24F1"/>
    <w:pPr>
      <w:widowControl/>
      <w:spacing w:before="120" w:after="120"/>
      <w:outlineLvl w:val="9"/>
    </w:pPr>
    <w:rPr>
      <w:rtl/>
      <w:cs/>
    </w:rPr>
  </w:style>
  <w:style w:type="paragraph" w:styleId="TOC1">
    <w:name w:val="toc 1"/>
    <w:basedOn w:val="a"/>
    <w:next w:val="a"/>
    <w:autoRedefine/>
    <w:uiPriority w:val="39"/>
    <w:unhideWhenUsed/>
    <w:rsid w:val="00BF24F1"/>
    <w:pPr>
      <w:tabs>
        <w:tab w:val="right" w:leader="dot" w:pos="9629"/>
      </w:tabs>
      <w:spacing w:after="100"/>
    </w:pPr>
    <w:rPr>
      <w:bCs/>
      <w:szCs w:val="22"/>
    </w:rPr>
  </w:style>
  <w:style w:type="paragraph" w:styleId="TOC2">
    <w:name w:val="toc 2"/>
    <w:basedOn w:val="a"/>
    <w:next w:val="a"/>
    <w:uiPriority w:val="39"/>
    <w:unhideWhenUsed/>
    <w:rsid w:val="00BF24F1"/>
    <w:pPr>
      <w:tabs>
        <w:tab w:val="right" w:leader="dot" w:pos="9628"/>
      </w:tabs>
      <w:spacing w:after="100"/>
    </w:pPr>
    <w:rPr>
      <w:szCs w:val="22"/>
    </w:rPr>
  </w:style>
  <w:style w:type="character" w:styleId="Hyperlink">
    <w:name w:val="Hyperlink"/>
    <w:basedOn w:val="a0"/>
    <w:uiPriority w:val="99"/>
    <w:unhideWhenUsed/>
    <w:rsid w:val="00BF24F1"/>
    <w:rPr>
      <w:color w:val="0000FF" w:themeColor="hyperlink"/>
      <w:u w:val="single"/>
    </w:rPr>
  </w:style>
  <w:style w:type="paragraph" w:styleId="TOC3">
    <w:name w:val="toc 3"/>
    <w:basedOn w:val="a"/>
    <w:next w:val="a"/>
    <w:uiPriority w:val="39"/>
    <w:unhideWhenUsed/>
    <w:rsid w:val="00BF24F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BF24F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F24F1"/>
    <w:pPr>
      <w:tabs>
        <w:tab w:val="right" w:leader="dot" w:pos="9628"/>
      </w:tabs>
      <w:spacing w:after="100"/>
      <w:ind w:left="567"/>
    </w:pPr>
    <w:rPr>
      <w:szCs w:val="22"/>
    </w:rPr>
  </w:style>
  <w:style w:type="paragraph" w:styleId="TOC6">
    <w:name w:val="toc 6"/>
    <w:basedOn w:val="a"/>
    <w:next w:val="a"/>
    <w:autoRedefine/>
    <w:semiHidden/>
    <w:unhideWhenUsed/>
    <w:rsid w:val="00BF24F1"/>
    <w:pPr>
      <w:spacing w:after="100"/>
      <w:ind w:left="850"/>
    </w:pPr>
  </w:style>
  <w:style w:type="paragraph" w:styleId="TOC7">
    <w:name w:val="toc 7"/>
    <w:basedOn w:val="a"/>
    <w:next w:val="a"/>
    <w:autoRedefine/>
    <w:semiHidden/>
    <w:unhideWhenUsed/>
    <w:rsid w:val="00BF24F1"/>
    <w:pPr>
      <w:spacing w:after="100"/>
      <w:ind w:left="1020"/>
    </w:pPr>
  </w:style>
  <w:style w:type="paragraph" w:styleId="TOC8">
    <w:name w:val="toc 8"/>
    <w:basedOn w:val="a"/>
    <w:next w:val="a"/>
    <w:autoRedefine/>
    <w:semiHidden/>
    <w:unhideWhenUsed/>
    <w:rsid w:val="00BF24F1"/>
    <w:pPr>
      <w:spacing w:after="100"/>
      <w:ind w:left="1190"/>
    </w:pPr>
  </w:style>
  <w:style w:type="paragraph" w:styleId="TOC9">
    <w:name w:val="toc 9"/>
    <w:basedOn w:val="a"/>
    <w:next w:val="a"/>
    <w:autoRedefine/>
    <w:semiHidden/>
    <w:unhideWhenUsed/>
    <w:rsid w:val="00BF24F1"/>
    <w:pPr>
      <w:spacing w:after="100"/>
      <w:ind w:left="1360"/>
    </w:pPr>
  </w:style>
  <w:style w:type="paragraph" w:customStyle="1" w:styleId="TableHead2">
    <w:name w:val="Table Head2"/>
    <w:basedOn w:val="TableHead"/>
    <w:qFormat/>
    <w:rsid w:val="00BF24F1"/>
    <w:pPr>
      <w:outlineLvl w:val="9"/>
    </w:pPr>
  </w:style>
  <w:style w:type="paragraph" w:customStyle="1" w:styleId="TableSideHeading2">
    <w:name w:val="Table SideHeading2"/>
    <w:basedOn w:val="TableSideHeading"/>
    <w:autoRedefine/>
    <w:qFormat/>
    <w:rsid w:val="00BF24F1"/>
    <w:pPr>
      <w:keepLines w:val="0"/>
      <w:outlineLvl w:val="9"/>
    </w:pPr>
  </w:style>
  <w:style w:type="paragraph" w:customStyle="1" w:styleId="0">
    <w:name w:val="סגנון שורה ראשונה:  0  ס''מ"/>
    <w:basedOn w:val="2"/>
    <w:rsid w:val="00BF24F1"/>
    <w:rPr>
      <w:rFonts w:eastAsia="Times New Roman"/>
    </w:rPr>
  </w:style>
  <w:style w:type="paragraph" w:styleId="af">
    <w:name w:val="List Paragraph"/>
    <w:basedOn w:val="a"/>
    <w:uiPriority w:val="34"/>
    <w:qFormat/>
    <w:rsid w:val="00BF24F1"/>
    <w:pPr>
      <w:widowControl/>
      <w:spacing w:line="259" w:lineRule="auto"/>
    </w:pPr>
    <w:rPr>
      <w:rFonts w:asciiTheme="minorHAnsi" w:hAnsiTheme="minorHAnsi"/>
      <w:sz w:val="22"/>
    </w:rPr>
  </w:style>
  <w:style w:type="table" w:styleId="af0">
    <w:name w:val="Table Grid"/>
    <w:basedOn w:val="a1"/>
    <w:rsid w:val="00BF2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F24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F24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BF24F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F24F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49F05820-F0FC-435A-8E2B-C0F272985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68189D2-3A59-4DAB-AF04-88B80B71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290</Words>
  <Characters>1658</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8</cp:revision>
  <cp:lastPrinted>2013-07-04T08:25:00Z</cp:lastPrinted>
  <dcterms:created xsi:type="dcterms:W3CDTF">2015-04-20T09:58:00Z</dcterms:created>
  <dcterms:modified xsi:type="dcterms:W3CDTF">2022-02-06T07:41:00Z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2169055</vt:r8>
  </property>
</Properties>
</file>