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2168038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4B83B690" w:rsidR="00E13C27" w:rsidRPr="00CF1AA2" w:rsidRDefault="008F6665" w:rsidP="00FB707F">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ולדימיר בליאק</w:t>
      </w:r>
      <w:r>
        <w:br/>
      </w:r>
      <w:r>
        <w:rPr>
          <w:rFonts w:hint="cs"/>
          <w:b/>
          <w:bCs/>
          <w:rtl/>
        </w:rPr>
        <w:t xml:space="preserve"> </w:t>
      </w:r>
      <w:r>
        <w:tab/>
      </w:r>
      <w:r>
        <w:tab/>
      </w:r>
      <w:r>
        <w:tab/>
      </w:r>
      <w:r>
        <w:tab/>
      </w:r>
      <w:r>
        <w:rPr>
          <w:rFonts w:hint="cs"/>
          <w:b/>
          <w:bCs/>
          <w:rtl/>
        </w:rPr>
        <w:t>נעמה לזימי</w:t>
      </w:r>
      <w:r>
        <w:br/>
      </w:r>
      <w:r>
        <w:rPr>
          <w:rFonts w:hint="cs"/>
          <w:b/>
          <w:bCs/>
          <w:rtl/>
        </w:rPr>
        <w:t xml:space="preserve"> </w:t>
      </w:r>
      <w:r>
        <w:tab/>
      </w:r>
      <w:r>
        <w:tab/>
      </w:r>
      <w:r>
        <w:tab/>
      </w:r>
      <w:r>
        <w:tab/>
      </w:r>
      <w:r>
        <w:rPr>
          <w:rFonts w:hint="cs"/>
          <w:b/>
          <w:bCs/>
          <w:rtl/>
        </w:rPr>
        <w:t>אופיר כץ</w:t>
      </w:r>
      <w:r>
        <w:br/>
      </w:r>
      <w:r>
        <w:rPr>
          <w:rFonts w:hint="cs"/>
          <w:b/>
          <w:bCs/>
          <w:rtl/>
        </w:rPr>
        <w:t xml:space="preserve"> </w:t>
      </w:r>
      <w:r>
        <w:tab/>
      </w:r>
      <w:r>
        <w:tab/>
      </w:r>
      <w:r>
        <w:tab/>
      </w:r>
      <w:r>
        <w:tab/>
      </w:r>
      <w:r>
        <w:rPr>
          <w:rFonts w:hint="cs"/>
          <w:b/>
          <w:bCs/>
          <w:rtl/>
        </w:rPr>
        <w:t>צבי האוזר</w:t>
      </w:r>
      <w:r>
        <w:br/>
      </w:r>
      <w:r>
        <w:rPr>
          <w:rFonts w:hint="cs"/>
          <w:b/>
          <w:bCs/>
          <w:rtl/>
        </w:rPr>
        <w:t xml:space="preserve"> </w:t>
      </w:r>
      <w:r>
        <w:tab/>
      </w:r>
      <w:r>
        <w:tab/>
      </w:r>
      <w:r>
        <w:tab/>
      </w:r>
      <w:r>
        <w:tab/>
      </w:r>
      <w:r>
        <w:rPr>
          <w:rFonts w:hint="cs"/>
          <w:b/>
          <w:bCs/>
          <w:rtl/>
        </w:rPr>
        <w:t>לימור מגן תלם</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0D89C5B"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FB707F">
        <w:rPr>
          <w:rtl/>
        </w:rPr>
        <w:tab/>
      </w:r>
      <w:bookmarkStart w:id="7" w:name="_GoBack"/>
      <w:bookmarkEnd w:id="7"/>
      <w:r>
        <w:rPr>
          <w:rFonts w:hint="cs"/>
          <w:rtl/>
        </w:rPr>
        <w:t>פ/3180/24</w:t>
      </w:r>
      <w:bookmarkEnd w:id="6"/>
    </w:p>
    <w:p w14:paraId="7F6961AC" w14:textId="77777777" w:rsidR="00E13C27" w:rsidRDefault="00E13C27" w:rsidP="00E13C27">
      <w:pPr>
        <w:ind w:left="2880" w:firstLine="720"/>
        <w:rPr>
          <w:sz w:val="26"/>
          <w:szCs w:val="26"/>
          <w:rtl/>
        </w:rPr>
      </w:pPr>
    </w:p>
    <w:p w14:paraId="6CC854D2" w14:textId="01824FA7" w:rsidR="00986060" w:rsidRPr="00F67051" w:rsidRDefault="00986060" w:rsidP="00934786">
      <w:pPr>
        <w:pStyle w:val="HeadHatzaotHok"/>
        <w:rPr>
          <w:rtl/>
        </w:rPr>
      </w:pPr>
      <w:bookmarkStart w:id="8" w:name="LGS_Subject"/>
      <w:r>
        <w:rPr>
          <w:rFonts w:hint="cs"/>
          <w:rtl/>
        </w:rPr>
        <w:t xml:space="preserve">הצעת חוק הגנת הצרכן (תיקון – משלוח חשבונית לצרכן בדרך מקוונת), התשפ"ב–2022 </w:t>
      </w:r>
      <w:bookmarkEnd w:id="8"/>
    </w:p>
    <w:p w14:paraId="5C6B0076" w14:textId="77777777" w:rsidR="00986060" w:rsidRDefault="00986060" w:rsidP="00986060">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86060" w14:paraId="1D4FBA20" w14:textId="77777777" w:rsidTr="00FB707F">
        <w:trPr>
          <w:cantSplit/>
        </w:trPr>
        <w:tc>
          <w:tcPr>
            <w:tcW w:w="1871" w:type="dxa"/>
          </w:tcPr>
          <w:p w14:paraId="0FFD9898" w14:textId="77777777" w:rsidR="00986060" w:rsidRDefault="00986060" w:rsidP="00CE66F1">
            <w:pPr>
              <w:pStyle w:val="TableSideHeading"/>
              <w:keepLines w:val="0"/>
            </w:pPr>
            <w:r>
              <w:rPr>
                <w:rFonts w:hint="cs"/>
                <w:rtl/>
              </w:rPr>
              <w:t>תיקון סעיף 13ב</w:t>
            </w:r>
          </w:p>
        </w:tc>
        <w:tc>
          <w:tcPr>
            <w:tcW w:w="624" w:type="dxa"/>
          </w:tcPr>
          <w:p w14:paraId="0ED3BE03" w14:textId="77777777" w:rsidR="00986060" w:rsidRDefault="00986060" w:rsidP="00CE66F1">
            <w:pPr>
              <w:pStyle w:val="TableText"/>
              <w:keepLines w:val="0"/>
            </w:pPr>
            <w:r>
              <w:rPr>
                <w:rFonts w:hint="cs"/>
                <w:rtl/>
              </w:rPr>
              <w:t>1.</w:t>
            </w:r>
          </w:p>
        </w:tc>
        <w:tc>
          <w:tcPr>
            <w:tcW w:w="7143" w:type="dxa"/>
          </w:tcPr>
          <w:p w14:paraId="6C2D34CE" w14:textId="3951DF3A" w:rsidR="00986060" w:rsidRPr="00BD1B5D" w:rsidRDefault="00986060" w:rsidP="00FB707F">
            <w:pPr>
              <w:pStyle w:val="TableBlock"/>
              <w:rPr>
                <w:rFonts w:ascii="FrankRuehl" w:hAnsi="FrankRuehl"/>
              </w:rPr>
            </w:pPr>
            <w:r>
              <w:rPr>
                <w:rFonts w:hint="cs"/>
                <w:rtl/>
              </w:rPr>
              <w:t>ב</w:t>
            </w:r>
            <w:r w:rsidRPr="00C93669">
              <w:rPr>
                <w:rtl/>
              </w:rPr>
              <w:t>חוק הגנת הצרכן</w:t>
            </w:r>
            <w:r>
              <w:rPr>
                <w:rFonts w:hint="cs"/>
                <w:rtl/>
              </w:rPr>
              <w:t>, התשמ"א</w:t>
            </w:r>
            <w:r>
              <w:rPr>
                <w:rFonts w:hint="eastAsia"/>
                <w:rtl/>
              </w:rPr>
              <w:t>–</w:t>
            </w:r>
            <w:r>
              <w:rPr>
                <w:rFonts w:hint="cs"/>
                <w:rtl/>
              </w:rPr>
              <w:t>1981</w:t>
            </w:r>
            <w:r w:rsidRPr="00FB707F">
              <w:rPr>
                <w:rStyle w:val="a6"/>
                <w:rFonts w:ascii="David" w:hAnsi="David"/>
                <w:sz w:val="26"/>
                <w:rtl/>
              </w:rPr>
              <w:footnoteReference w:id="2"/>
            </w:r>
            <w:r>
              <w:rPr>
                <w:rFonts w:hint="cs"/>
                <w:rtl/>
              </w:rPr>
              <w:t xml:space="preserve">, בסעיף 13ב, אחרי סעיף קטן (ג) יבוא: </w:t>
            </w:r>
          </w:p>
        </w:tc>
      </w:tr>
      <w:tr w:rsidR="00986060" w14:paraId="676772F3" w14:textId="77777777" w:rsidTr="00FB707F">
        <w:trPr>
          <w:cantSplit/>
        </w:trPr>
        <w:tc>
          <w:tcPr>
            <w:tcW w:w="1871" w:type="dxa"/>
          </w:tcPr>
          <w:p w14:paraId="16A417B3" w14:textId="77777777" w:rsidR="00986060" w:rsidRDefault="00986060" w:rsidP="00CE66F1">
            <w:pPr>
              <w:pStyle w:val="TableSideHeading"/>
              <w:keepLines w:val="0"/>
              <w:rPr>
                <w:rtl/>
              </w:rPr>
            </w:pPr>
          </w:p>
        </w:tc>
        <w:tc>
          <w:tcPr>
            <w:tcW w:w="624" w:type="dxa"/>
          </w:tcPr>
          <w:p w14:paraId="302DD8BD" w14:textId="77777777" w:rsidR="00986060" w:rsidRDefault="00986060" w:rsidP="00CE66F1">
            <w:pPr>
              <w:pStyle w:val="TableText"/>
              <w:rPr>
                <w:rtl/>
              </w:rPr>
            </w:pPr>
          </w:p>
        </w:tc>
        <w:tc>
          <w:tcPr>
            <w:tcW w:w="7143" w:type="dxa"/>
          </w:tcPr>
          <w:p w14:paraId="69E092AA" w14:textId="05A14F55" w:rsidR="00986060" w:rsidRDefault="00986060" w:rsidP="00FB707F">
            <w:pPr>
              <w:pStyle w:val="TableBlock"/>
              <w:tabs>
                <w:tab w:val="left" w:pos="624"/>
                <w:tab w:val="left" w:pos="1247"/>
              </w:tabs>
              <w:rPr>
                <w:rtl/>
              </w:rPr>
            </w:pPr>
            <w:r>
              <w:rPr>
                <w:rFonts w:hint="cs"/>
                <w:rtl/>
              </w:rPr>
              <w:t>"</w:t>
            </w:r>
            <w:r>
              <w:rPr>
                <w:rStyle w:val="default"/>
                <w:rFonts w:ascii="FrankRuehl" w:hAnsi="FrankRuehl" w:hint="cs"/>
                <w:rtl/>
              </w:rPr>
              <w:t>(ד)</w:t>
            </w:r>
            <w:r>
              <w:rPr>
                <w:rStyle w:val="default"/>
                <w:rFonts w:ascii="FrankRuehl" w:hAnsi="FrankRuehl"/>
                <w:rtl/>
              </w:rPr>
              <w:tab/>
            </w:r>
            <w:r>
              <w:rPr>
                <w:rtl/>
              </w:rPr>
              <w:t xml:space="preserve">קמעונאי גדול </w:t>
            </w:r>
            <w:r>
              <w:rPr>
                <w:rFonts w:hint="cs"/>
                <w:rtl/>
              </w:rPr>
              <w:t>כהגדרתו</w:t>
            </w:r>
            <w:r>
              <w:rPr>
                <w:rtl/>
              </w:rPr>
              <w:t xml:space="preserve"> </w:t>
            </w:r>
            <w:r>
              <w:rPr>
                <w:rFonts w:hint="cs"/>
                <w:rtl/>
              </w:rPr>
              <w:t>ב</w:t>
            </w:r>
            <w:r>
              <w:rPr>
                <w:rtl/>
              </w:rPr>
              <w:t xml:space="preserve">חוק קידום התחרות בענף המזון, </w:t>
            </w:r>
            <w:r>
              <w:rPr>
                <w:rFonts w:hint="cs"/>
                <w:rtl/>
              </w:rPr>
              <w:t>ה</w:t>
            </w:r>
            <w:r>
              <w:rPr>
                <w:rtl/>
              </w:rPr>
              <w:t>תשע"ד</w:t>
            </w:r>
            <w:r>
              <w:rPr>
                <w:rFonts w:hint="cs"/>
                <w:rtl/>
              </w:rPr>
              <w:t>–</w:t>
            </w:r>
            <w:r>
              <w:rPr>
                <w:rtl/>
              </w:rPr>
              <w:t>2014</w:t>
            </w:r>
            <w:r w:rsidRPr="00FB707F">
              <w:rPr>
                <w:rStyle w:val="a6"/>
                <w:rFonts w:ascii="David" w:hAnsi="David"/>
                <w:sz w:val="26"/>
                <w:rtl/>
              </w:rPr>
              <w:footnoteReference w:id="3"/>
            </w:r>
            <w:r>
              <w:rPr>
                <w:rFonts w:hint="cs"/>
                <w:rtl/>
              </w:rPr>
              <w:t xml:space="preserve"> (בסעיף קטן זה </w:t>
            </w:r>
            <w:r>
              <w:rPr>
                <w:rtl/>
              </w:rPr>
              <w:t>–</w:t>
            </w:r>
            <w:r>
              <w:rPr>
                <w:rFonts w:hint="cs"/>
                <w:rtl/>
              </w:rPr>
              <w:t xml:space="preserve"> קמעונאי גדול) </w:t>
            </w:r>
            <w:r>
              <w:rPr>
                <w:rStyle w:val="default"/>
                <w:rFonts w:ascii="FrankRuehl" w:hAnsi="FrankRuehl" w:hint="cs"/>
                <w:rtl/>
              </w:rPr>
              <w:t>יציע לצרכן לקבל חשבונית עבור עסקה בקובץ דיגיטלי; קובץ דיגיטלי כאמור יכול שיישלח</w:t>
            </w:r>
            <w:r>
              <w:rPr>
                <w:rFonts w:hint="cs"/>
                <w:rtl/>
              </w:rPr>
              <w:t xml:space="preserve"> בהודעה ובה קישור ל</w:t>
            </w:r>
            <w:r>
              <w:rPr>
                <w:rtl/>
              </w:rPr>
              <w:t>קובץ</w:t>
            </w:r>
            <w:r>
              <w:rPr>
                <w:rFonts w:hint="cs"/>
                <w:rtl/>
              </w:rPr>
              <w:t xml:space="preserve"> בדואר אלקטרוני או למספר טלפון נייד שימסור</w:t>
            </w:r>
            <w:r>
              <w:rPr>
                <w:rtl/>
              </w:rPr>
              <w:t xml:space="preserve"> הצרכן</w:t>
            </w:r>
            <w:r>
              <w:rPr>
                <w:rFonts w:hint="cs"/>
                <w:rtl/>
              </w:rPr>
              <w:t>; ואולם, ב</w:t>
            </w:r>
            <w:r>
              <w:rPr>
                <w:rStyle w:val="default"/>
                <w:rFonts w:ascii="FrankRuehl" w:hAnsi="FrankRuehl" w:hint="cs"/>
                <w:rtl/>
              </w:rPr>
              <w:t>עסקת מכר מרחוק כהגדרתה בסעיף 14ג(ו) ישלח קמעונאי גדול לצרכן חשבונית בסמוך למועד החיוב</w:t>
            </w:r>
            <w:r>
              <w:rPr>
                <w:rFonts w:hint="cs"/>
                <w:rtl/>
              </w:rPr>
              <w:t xml:space="preserve"> או למועד מסירת הנכס, </w:t>
            </w:r>
            <w:r w:rsidRPr="00183808">
              <w:rPr>
                <w:rFonts w:hint="eastAsia"/>
                <w:rtl/>
              </w:rPr>
              <w:t>בצירוף</w:t>
            </w:r>
            <w:r w:rsidRPr="00183808">
              <w:rPr>
                <w:rtl/>
              </w:rPr>
              <w:t xml:space="preserve"> </w:t>
            </w:r>
            <w:r w:rsidRPr="00183808">
              <w:rPr>
                <w:rFonts w:hint="eastAsia"/>
                <w:rtl/>
              </w:rPr>
              <w:t>למ</w:t>
            </w:r>
            <w:r>
              <w:rPr>
                <w:rFonts w:hint="cs"/>
                <w:rtl/>
              </w:rPr>
              <w:t>שלוח וב</w:t>
            </w:r>
            <w:r>
              <w:rPr>
                <w:rtl/>
              </w:rPr>
              <w:t>כתובת הדואר האלקטרוני</w:t>
            </w:r>
            <w:r>
              <w:rPr>
                <w:rFonts w:hint="cs"/>
                <w:rtl/>
              </w:rPr>
              <w:t xml:space="preserve"> שמסר</w:t>
            </w:r>
            <w:r>
              <w:rPr>
                <w:rStyle w:val="default"/>
                <w:rFonts w:ascii="FrankRuehl" w:hAnsi="FrankRuehl" w:hint="cs"/>
                <w:rtl/>
              </w:rPr>
              <w:t xml:space="preserve"> הצרכן לקמעונאי הגדול, </w:t>
            </w:r>
            <w:r>
              <w:rPr>
                <w:rtl/>
              </w:rPr>
              <w:t>אלא אם</w:t>
            </w:r>
            <w:r>
              <w:rPr>
                <w:rFonts w:hint="cs"/>
                <w:rtl/>
              </w:rPr>
              <w:t xml:space="preserve"> כן</w:t>
            </w:r>
            <w:r>
              <w:rPr>
                <w:rtl/>
              </w:rPr>
              <w:t xml:space="preserve"> בחר הצרכן לקבל</w:t>
            </w:r>
            <w:r>
              <w:rPr>
                <w:rFonts w:hint="cs"/>
                <w:rtl/>
              </w:rPr>
              <w:t xml:space="preserve"> את </w:t>
            </w:r>
            <w:r>
              <w:rPr>
                <w:rtl/>
              </w:rPr>
              <w:t>ה</w:t>
            </w:r>
            <w:r>
              <w:rPr>
                <w:rFonts w:hint="cs"/>
                <w:rtl/>
              </w:rPr>
              <w:t>חשבונית</w:t>
            </w:r>
            <w:r>
              <w:rPr>
                <w:rtl/>
              </w:rPr>
              <w:t xml:space="preserve"> באמצעות אחת מהדרכים האמורות</w:t>
            </w:r>
            <w:r>
              <w:rPr>
                <w:rFonts w:hint="cs"/>
                <w:rtl/>
              </w:rPr>
              <w:t xml:space="preserve"> בלבד</w:t>
            </w:r>
            <w:r>
              <w:rPr>
                <w:rtl/>
              </w:rPr>
              <w:t>.</w:t>
            </w:r>
            <w:r>
              <w:rPr>
                <w:rFonts w:hint="cs"/>
                <w:rtl/>
              </w:rPr>
              <w:t>"</w:t>
            </w:r>
          </w:p>
        </w:tc>
      </w:tr>
    </w:tbl>
    <w:p w14:paraId="06B1C366" w14:textId="77777777" w:rsidR="00986060" w:rsidRDefault="00986060" w:rsidP="00986060">
      <w:pPr>
        <w:pStyle w:val="HeadDivreiHesber"/>
        <w:rPr>
          <w:rtl/>
        </w:rPr>
      </w:pPr>
      <w:r w:rsidRPr="0027450A">
        <w:rPr>
          <w:rFonts w:hint="cs"/>
          <w:rtl/>
        </w:rPr>
        <w:t>דברי הסבר</w:t>
      </w:r>
    </w:p>
    <w:p w14:paraId="6CA1E1D7" w14:textId="186D30D8" w:rsidR="00986060" w:rsidRPr="00EF315F" w:rsidRDefault="00986060" w:rsidP="00FB707F">
      <w:pPr>
        <w:pStyle w:val="Hesber1st"/>
        <w:tabs>
          <w:tab w:val="clear" w:pos="680"/>
        </w:tabs>
        <w:spacing w:line="276" w:lineRule="auto"/>
        <w:rPr>
          <w:rtl/>
        </w:rPr>
      </w:pPr>
      <w:r w:rsidRPr="00EF315F">
        <w:rPr>
          <w:rFonts w:hint="cs"/>
          <w:rtl/>
        </w:rPr>
        <w:t>חוק הגנת הצרכן, התשמ"א</w:t>
      </w:r>
      <w:r w:rsidRPr="00EF315F">
        <w:rPr>
          <w:rFonts w:hint="eastAsia"/>
          <w:rtl/>
        </w:rPr>
        <w:t>–</w:t>
      </w:r>
      <w:r w:rsidRPr="00EF315F">
        <w:rPr>
          <w:rFonts w:hint="cs"/>
          <w:rtl/>
        </w:rPr>
        <w:t xml:space="preserve">1981, כנוסחו היום, אינו מגדיר את האופן שבו העוסק שולח חשבונית לצרכן </w:t>
      </w:r>
      <w:r>
        <w:rPr>
          <w:rFonts w:hint="cs"/>
          <w:rtl/>
        </w:rPr>
        <w:t>עבור</w:t>
      </w:r>
      <w:r w:rsidRPr="00EF315F">
        <w:rPr>
          <w:rFonts w:hint="cs"/>
          <w:rtl/>
        </w:rPr>
        <w:t xml:space="preserve"> רכישה המתבצעת באינטרנט. עוסקים רבים בוחרים לפעול בדרכים עקלקלות לשליחת החשבונית</w:t>
      </w:r>
      <w:r>
        <w:rPr>
          <w:rFonts w:hint="cs"/>
          <w:rtl/>
        </w:rPr>
        <w:t>, דרכים</w:t>
      </w:r>
      <w:r w:rsidRPr="00EF315F">
        <w:rPr>
          <w:rFonts w:hint="cs"/>
          <w:rtl/>
        </w:rPr>
        <w:t xml:space="preserve"> שיוצרות קושי רב עבור הצרכנים לעקוב אחר הוצאותיהם. </w:t>
      </w:r>
    </w:p>
    <w:p w14:paraId="1961E161" w14:textId="449F3769" w:rsidR="00986060" w:rsidRPr="00EF315F" w:rsidRDefault="00986060" w:rsidP="00FB707F">
      <w:pPr>
        <w:pStyle w:val="Hesber"/>
        <w:spacing w:line="276" w:lineRule="auto"/>
        <w:rPr>
          <w:rtl/>
        </w:rPr>
      </w:pPr>
      <w:r w:rsidRPr="00EF315F">
        <w:rPr>
          <w:rFonts w:hint="cs"/>
          <w:rtl/>
        </w:rPr>
        <w:t>אחת הבעיות המרכזיות בקניות באינטרנט הי</w:t>
      </w:r>
      <w:r>
        <w:rPr>
          <w:rFonts w:hint="cs"/>
          <w:rtl/>
        </w:rPr>
        <w:t>א</w:t>
      </w:r>
      <w:r w:rsidRPr="00EF315F">
        <w:rPr>
          <w:rFonts w:hint="cs"/>
          <w:rtl/>
        </w:rPr>
        <w:t xml:space="preserve"> חוסר היכולת של הצרכן להשוות בין המחירים והמבצעים אשר לפיהם ביצע את ההזמנה לבין המחירים בהם חויב בפועל, בטווח הזמן שבין ביצוע ההזמנה לבין ליקוט המוצרים לסל. זכותו הבסיסית של כל צרכן</w:t>
      </w:r>
      <w:r>
        <w:rPr>
          <w:rFonts w:hint="cs"/>
          <w:rtl/>
        </w:rPr>
        <w:t xml:space="preserve"> היא</w:t>
      </w:r>
      <w:r w:rsidRPr="00EF315F">
        <w:rPr>
          <w:rFonts w:hint="cs"/>
          <w:rtl/>
        </w:rPr>
        <w:t xml:space="preserve"> לקבל חשבונית מס מפורטת בגין רכישותיו. בזכות החשבונית, הצרכן יכול להוכיח את הרכישה (בין היתר לצ</w:t>
      </w:r>
      <w:r>
        <w:rPr>
          <w:rFonts w:hint="cs"/>
          <w:rtl/>
        </w:rPr>
        <w:t>ו</w:t>
      </w:r>
      <w:r w:rsidRPr="00EF315F">
        <w:rPr>
          <w:rFonts w:hint="cs"/>
          <w:rtl/>
        </w:rPr>
        <w:t>ר</w:t>
      </w:r>
      <w:r>
        <w:rPr>
          <w:rFonts w:hint="cs"/>
          <w:rtl/>
        </w:rPr>
        <w:t>ך</w:t>
      </w:r>
      <w:r w:rsidRPr="00EF315F">
        <w:rPr>
          <w:rFonts w:hint="cs"/>
          <w:rtl/>
        </w:rPr>
        <w:t xml:space="preserve"> החזרת והחלפת מוצרים, מימוש אחריות וכיו</w:t>
      </w:r>
      <w:r>
        <w:rPr>
          <w:rFonts w:hint="cs"/>
          <w:rtl/>
        </w:rPr>
        <w:t xml:space="preserve">צא </w:t>
      </w:r>
      <w:r w:rsidRPr="00EF315F">
        <w:rPr>
          <w:rFonts w:hint="cs"/>
          <w:rtl/>
        </w:rPr>
        <w:t>ב</w:t>
      </w:r>
      <w:r>
        <w:rPr>
          <w:rFonts w:hint="cs"/>
          <w:rtl/>
        </w:rPr>
        <w:t>אלה</w:t>
      </w:r>
      <w:r w:rsidRPr="00EF315F">
        <w:rPr>
          <w:rFonts w:hint="cs"/>
          <w:rtl/>
        </w:rPr>
        <w:t xml:space="preserve">), הוא יכול לוודא את המחיר, לוודא את תיקוף המבצעים ולתעד את הקנייה כחלק מהתנהלותו הכלכלית. על כן, החשבונית צריכה לכלול בין היתר את שם המוצר, את מק"ט </w:t>
      </w:r>
      <w:r w:rsidRPr="00EF315F">
        <w:rPr>
          <w:rFonts w:hint="cs"/>
          <w:rtl/>
        </w:rPr>
        <w:lastRenderedPageBreak/>
        <w:t>המוצר, המחיר המקורי, את גובה ההנחה ואת המחיר לאחר ההנחה.</w:t>
      </w:r>
    </w:p>
    <w:p w14:paraId="5B100BD8" w14:textId="6B1B65AE" w:rsidR="00986060" w:rsidRPr="00EF315F" w:rsidRDefault="00986060" w:rsidP="00FB707F">
      <w:pPr>
        <w:pStyle w:val="Hesber"/>
        <w:spacing w:line="276" w:lineRule="auto"/>
        <w:rPr>
          <w:rtl/>
        </w:rPr>
      </w:pPr>
      <w:r w:rsidRPr="00EF315F">
        <w:rPr>
          <w:rFonts w:hint="cs"/>
          <w:rtl/>
        </w:rPr>
        <w:t xml:space="preserve">למרות </w:t>
      </w:r>
      <w:r>
        <w:rPr>
          <w:rFonts w:hint="cs"/>
          <w:rtl/>
        </w:rPr>
        <w:t>שמדובר ב</w:t>
      </w:r>
      <w:r w:rsidRPr="00EF315F">
        <w:rPr>
          <w:rFonts w:hint="cs"/>
          <w:rtl/>
        </w:rPr>
        <w:t>זכות בסיסית, לא קיים סטנדרט אחיד ביחס לאופן שליחת החשבוניות ברכישה דרך האינטרנט. לעתים, החשבונית נשלחת באופן נוח באמצעות קובץ המצורף להודעת דוא"ל</w:t>
      </w:r>
      <w:r>
        <w:rPr>
          <w:rFonts w:hint="cs"/>
          <w:rtl/>
        </w:rPr>
        <w:t>,</w:t>
      </w:r>
      <w:r w:rsidRPr="00EF315F">
        <w:rPr>
          <w:rFonts w:hint="cs"/>
          <w:rtl/>
        </w:rPr>
        <w:t xml:space="preserve"> אך במקרים רבים, החשבונית נשלחת באמצעות קישור לאתר הקניות המקוונות; חיבור ל"איזור האישי" באתר או באמצעות הודעת </w:t>
      </w:r>
      <w:r w:rsidRPr="00EF315F">
        <w:t>sms</w:t>
      </w:r>
      <w:r w:rsidRPr="00EF315F">
        <w:rPr>
          <w:rFonts w:hint="cs"/>
          <w:rtl/>
        </w:rPr>
        <w:t xml:space="preserve"> לטלפון הנייד. במקרים הללו, הלקוח נדרש לבצע מגוון רחב של פעולות בשביל להגיע אל החשבונית שלו, </w:t>
      </w:r>
      <w:r>
        <w:rPr>
          <w:rFonts w:hint="cs"/>
          <w:rtl/>
        </w:rPr>
        <w:t>כמו למשל</w:t>
      </w:r>
      <w:r w:rsidRPr="00EF315F">
        <w:rPr>
          <w:rFonts w:hint="cs"/>
          <w:rtl/>
        </w:rPr>
        <w:t xml:space="preserve"> להקיש שם משתמש וסיסמא, מעבר בין מבצעים נוספים וניסיונות פיתוי לביצוע רכישות נוספות באמצעות שיווק אגרסיבי. כל אלה יוצרים קושי רב להגיע לחשבונית עצמה ואף נמנעת האפשרות להדפיס אותה או לשמור במחשב האישי. </w:t>
      </w:r>
    </w:p>
    <w:p w14:paraId="11A353DC" w14:textId="256D8070" w:rsidR="00986060" w:rsidRPr="00EF315F" w:rsidRDefault="00986060" w:rsidP="00FB707F">
      <w:pPr>
        <w:pStyle w:val="Hesber"/>
        <w:spacing w:line="276" w:lineRule="auto"/>
        <w:rPr>
          <w:rtl/>
        </w:rPr>
      </w:pPr>
      <w:r w:rsidRPr="00EF315F">
        <w:rPr>
          <w:rFonts w:hint="cs"/>
          <w:rtl/>
        </w:rPr>
        <w:t>מאז פרוץ מגפת הקורונה וכתוצאה מהמגבלות על המסחר נוצרה האצה דרמטית באימוץ הרגלי צריכה מקוונים והם נוגעים בכלל שכבות האוכלוסייה ובפרט בקרב אוכלוסיית המבוגרים. שיעור המשתמשים באינטרנט בחברה החרדית הכפיל את עצמו</w:t>
      </w:r>
      <w:r>
        <w:rPr>
          <w:rFonts w:hint="cs"/>
          <w:rtl/>
        </w:rPr>
        <w:t xml:space="preserve"> </w:t>
      </w:r>
      <w:r>
        <w:rPr>
          <w:rFonts w:hint="eastAsia"/>
        </w:rPr>
        <w:t>–</w:t>
      </w:r>
      <w:r w:rsidRPr="00EF315F">
        <w:rPr>
          <w:rFonts w:hint="cs"/>
          <w:rtl/>
        </w:rPr>
        <w:t xml:space="preserve"> אחוז הרוכשים באינטרנט מגיע לכ-15% מהאוכלוסייה</w:t>
      </w:r>
      <w:r>
        <w:rPr>
          <w:rFonts w:hint="cs"/>
          <w:rtl/>
        </w:rPr>
        <w:t xml:space="preserve"> החרדית</w:t>
      </w:r>
      <w:r w:rsidRPr="00EF315F">
        <w:rPr>
          <w:rFonts w:hint="cs"/>
          <w:rtl/>
        </w:rPr>
        <w:t xml:space="preserve"> וצפוי להמשיך לעלות. הרגלי הצריכה הטכנולוגיים בביצוע רכישות יומיומיות באינטרנט, החל מקניות מוצרי מזון ומוצרי צריכה יומיומיים, דרך מכשירי אלקטרוניקה, ביגוד, רהיטים ועוד, הפכ</w:t>
      </w:r>
      <w:r>
        <w:rPr>
          <w:rFonts w:hint="cs"/>
          <w:rtl/>
        </w:rPr>
        <w:t>ו</w:t>
      </w:r>
      <w:r w:rsidRPr="00EF315F">
        <w:rPr>
          <w:rFonts w:hint="cs"/>
          <w:rtl/>
        </w:rPr>
        <w:t xml:space="preserve"> להרגל</w:t>
      </w:r>
      <w:r>
        <w:rPr>
          <w:rFonts w:hint="cs"/>
          <w:rtl/>
        </w:rPr>
        <w:t>י</w:t>
      </w:r>
      <w:r w:rsidRPr="00EF315F">
        <w:rPr>
          <w:rFonts w:hint="cs"/>
          <w:rtl/>
        </w:rPr>
        <w:t xml:space="preserve"> צריכ</w:t>
      </w:r>
      <w:r>
        <w:rPr>
          <w:rFonts w:hint="cs"/>
          <w:rtl/>
        </w:rPr>
        <w:t>ה  סטנדרטיים של הציבור הרחב.</w:t>
      </w:r>
    </w:p>
    <w:p w14:paraId="41D4D219" w14:textId="747B5478" w:rsidR="00986060" w:rsidRPr="00EF315F" w:rsidRDefault="00986060" w:rsidP="00FB707F">
      <w:pPr>
        <w:pStyle w:val="Hesber"/>
        <w:spacing w:line="276" w:lineRule="auto"/>
        <w:rPr>
          <w:rtl/>
        </w:rPr>
      </w:pPr>
      <w:r w:rsidRPr="00EF315F">
        <w:rPr>
          <w:rFonts w:hint="cs"/>
          <w:rtl/>
        </w:rPr>
        <w:t>גם ברכישה בחנות פיזית כיום לקוחות רבים מעדיפים לקבל ולשמור את החשבוניות באופן דיגיטלי (למשל משיקולי שמירה על הסביבה ולצמצום ניירת ופליטת גזי חממה)</w:t>
      </w:r>
      <w:r>
        <w:rPr>
          <w:rFonts w:hint="cs"/>
          <w:rtl/>
        </w:rPr>
        <w:t>,</w:t>
      </w:r>
      <w:r w:rsidRPr="00EF315F">
        <w:rPr>
          <w:rFonts w:hint="cs"/>
          <w:rtl/>
        </w:rPr>
        <w:t xml:space="preserve"> ויש קמעונאים מעטים שהחלו באופן וולונטר</w:t>
      </w:r>
      <w:r w:rsidRPr="00EF315F">
        <w:rPr>
          <w:rFonts w:hint="eastAsia"/>
          <w:rtl/>
        </w:rPr>
        <w:t>י</w:t>
      </w:r>
      <w:r w:rsidRPr="00EF315F">
        <w:rPr>
          <w:rFonts w:hint="cs"/>
          <w:rtl/>
        </w:rPr>
        <w:t xml:space="preserve"> לאפשר זאת למשל בדרך של משלוח </w:t>
      </w:r>
      <w:r w:rsidRPr="00EF315F">
        <w:rPr>
          <w:rFonts w:hint="cs"/>
        </w:rPr>
        <w:t>SMS</w:t>
      </w:r>
      <w:r w:rsidRPr="00EF315F">
        <w:rPr>
          <w:rFonts w:hint="cs"/>
          <w:rtl/>
        </w:rPr>
        <w:t xml:space="preserve"> עם קישור לקובץ החשבונית. בדרך זו קל לאנשים רבים לשמור חשבוניות </w:t>
      </w:r>
      <w:r>
        <w:rPr>
          <w:rFonts w:hint="cs"/>
          <w:rtl/>
        </w:rPr>
        <w:t>ו</w:t>
      </w:r>
      <w:r w:rsidRPr="00EF315F">
        <w:rPr>
          <w:rFonts w:hint="cs"/>
          <w:rtl/>
        </w:rPr>
        <w:t>לאחזר אותן במקרה שנדרשת החלפת מוצר או זיכוי.  קבלת חשבוניות דיגיטליו</w:t>
      </w:r>
      <w:r w:rsidRPr="00EF315F">
        <w:rPr>
          <w:rFonts w:hint="eastAsia"/>
          <w:rtl/>
        </w:rPr>
        <w:t>ת</w:t>
      </w:r>
      <w:r w:rsidRPr="00EF315F">
        <w:rPr>
          <w:rFonts w:hint="cs"/>
          <w:rtl/>
        </w:rPr>
        <w:t xml:space="preserve"> גם ברכישה בחנות תאפשר לצרכנים להשוות מחירים בנוחות לכלל הרכישות הקודמות והעתידיות, במיוחד כאשר אפליקציות ייעודיו</w:t>
      </w:r>
      <w:r w:rsidRPr="00EF315F">
        <w:rPr>
          <w:rFonts w:hint="eastAsia"/>
          <w:rtl/>
        </w:rPr>
        <w:t>ת</w:t>
      </w:r>
      <w:r w:rsidRPr="00EF315F">
        <w:rPr>
          <w:rFonts w:hint="cs"/>
          <w:rtl/>
        </w:rPr>
        <w:t xml:space="preserve"> יאפשרו לקלוט בקלות את המידע האצור בחשבוניות ולהשוותו למחירים של קמעונאים חלופיים. על פי </w:t>
      </w:r>
      <w:r>
        <w:rPr>
          <w:rFonts w:hint="cs"/>
          <w:rtl/>
        </w:rPr>
        <w:t xml:space="preserve">נתוני </w:t>
      </w:r>
      <w:r w:rsidRPr="00EF315F">
        <w:rPr>
          <w:rFonts w:hint="cs"/>
          <w:rtl/>
        </w:rPr>
        <w:t>ארגון אמון הציבור, כבר כעת יש מספר חברות המבקשות לקדם פיתוח אפליקציות כאלה, אשר החסם העיקרי בדרכן הוא העדר נגישות מספקת לקובצי החשבוניות הדיגיטליו</w:t>
      </w:r>
      <w:r w:rsidRPr="00EF315F">
        <w:rPr>
          <w:rFonts w:hint="eastAsia"/>
          <w:rtl/>
        </w:rPr>
        <w:t>ת</w:t>
      </w:r>
      <w:r w:rsidRPr="00EF315F">
        <w:rPr>
          <w:rFonts w:hint="cs"/>
          <w:rtl/>
        </w:rPr>
        <w:t>. אין ספק שתיקון החוק המוצע יפתח אפשרויות אלה ויאפשר לגורמים נוספים להציע ערך מסוג זה לצרכן הישראלי.</w:t>
      </w:r>
      <w:r>
        <w:rPr>
          <w:rFonts w:hint="cs"/>
          <w:rtl/>
        </w:rPr>
        <w:t xml:space="preserve"> </w:t>
      </w:r>
      <w:r w:rsidRPr="00EF315F">
        <w:rPr>
          <w:rFonts w:hint="cs"/>
          <w:rtl/>
        </w:rPr>
        <w:t>בחנויות פיזיות לא קיימת חובה לאפשר לצרכן לקבל את החשבוניות באופן דיגיטלי, ולכן רוב הקמעונאים הגדולים אינם מאפשרים זאת, והצרכנים יכולים לקבל רק חשבונית נייר</w:t>
      </w:r>
      <w:r>
        <w:rPr>
          <w:rFonts w:hint="cs"/>
          <w:rtl/>
        </w:rPr>
        <w:t>.</w:t>
      </w:r>
    </w:p>
    <w:p w14:paraId="1C8CE53F" w14:textId="3BB2D06D" w:rsidR="00986060" w:rsidRPr="00EF315F" w:rsidRDefault="00986060" w:rsidP="00FB707F">
      <w:pPr>
        <w:pStyle w:val="Hesber"/>
        <w:spacing w:line="276" w:lineRule="auto"/>
        <w:rPr>
          <w:rtl/>
        </w:rPr>
      </w:pPr>
      <w:r w:rsidRPr="00EF315F">
        <w:rPr>
          <w:rFonts w:hint="cs"/>
          <w:rtl/>
        </w:rPr>
        <w:t xml:space="preserve">בעידן הדיגיטלי שבו אנו מצויים היום, ולאור השימוש המוגבר ברכישות באמצעות האינטרנט אין כל סיבה להכביד על הצרכן, הן ברכישות בחנויות פיזיות והן ברכישות מקוונות. לאור זאת, </w:t>
      </w:r>
      <w:r w:rsidRPr="00EF315F">
        <w:rPr>
          <w:rtl/>
        </w:rPr>
        <w:t>ראוי לאמץ גם סטנדרט צרכני התוא</w:t>
      </w:r>
      <w:r w:rsidRPr="00EF315F">
        <w:rPr>
          <w:rFonts w:hint="cs"/>
          <w:rtl/>
        </w:rPr>
        <w:t>ם</w:t>
      </w:r>
      <w:r w:rsidRPr="00EF315F">
        <w:rPr>
          <w:rtl/>
        </w:rPr>
        <w:t xml:space="preserve"> את זכותם הבסיסית של הצרכנים</w:t>
      </w:r>
      <w:r>
        <w:rPr>
          <w:rFonts w:hint="cs"/>
          <w:rtl/>
        </w:rPr>
        <w:t>,</w:t>
      </w:r>
      <w:r w:rsidRPr="00EF315F">
        <w:rPr>
          <w:rtl/>
        </w:rPr>
        <w:t xml:space="preserve"> באמצעות שליחת</w:t>
      </w:r>
      <w:r w:rsidRPr="00EF315F">
        <w:rPr>
          <w:rFonts w:hint="cs"/>
          <w:rtl/>
        </w:rPr>
        <w:t xml:space="preserve"> חשבונית עסקה כ</w:t>
      </w:r>
      <w:r w:rsidRPr="00EF315F">
        <w:rPr>
          <w:rtl/>
        </w:rPr>
        <w:t>קובץ המצורף להודעת דוא"ל</w:t>
      </w:r>
      <w:r w:rsidRPr="00EF315F">
        <w:rPr>
          <w:rFonts w:hint="cs"/>
          <w:rtl/>
        </w:rPr>
        <w:t xml:space="preserve"> (או לנייד במקרה של רכישה בחנות פיזית)</w:t>
      </w:r>
      <w:r w:rsidRPr="00EF315F">
        <w:rPr>
          <w:rtl/>
        </w:rPr>
        <w:t xml:space="preserve">. שיטה זו הינה הדרך המיטבית והנוחה ביותר עבור הצרכן לעשות בחשבונית את השימושים הנדרשים לו במסגרת מימוש זכויותיו הצרכניות. </w:t>
      </w:r>
      <w:r w:rsidRPr="00EF315F">
        <w:rPr>
          <w:rFonts w:hint="cs"/>
          <w:rtl/>
        </w:rPr>
        <w:t xml:space="preserve">יצירת </w:t>
      </w:r>
      <w:r w:rsidRPr="00EF315F">
        <w:rPr>
          <w:rtl/>
        </w:rPr>
        <w:t xml:space="preserve">סטנדרט אחיד של משלוח חשבוניות </w:t>
      </w:r>
      <w:r w:rsidRPr="00EF315F">
        <w:rPr>
          <w:rFonts w:hint="cs"/>
          <w:rtl/>
        </w:rPr>
        <w:t>י</w:t>
      </w:r>
      <w:r w:rsidRPr="00EF315F">
        <w:rPr>
          <w:rtl/>
        </w:rPr>
        <w:t xml:space="preserve">גביר את השקיפות </w:t>
      </w:r>
      <w:r w:rsidRPr="00EF315F">
        <w:rPr>
          <w:rFonts w:hint="cs"/>
          <w:rtl/>
        </w:rPr>
        <w:t>וי</w:t>
      </w:r>
      <w:r w:rsidRPr="00EF315F">
        <w:rPr>
          <w:rtl/>
        </w:rPr>
        <w:t xml:space="preserve">סייע בהשוואת מחירים, </w:t>
      </w:r>
      <w:r w:rsidRPr="00EF315F">
        <w:rPr>
          <w:rFonts w:hint="cs"/>
          <w:rtl/>
        </w:rPr>
        <w:t xml:space="preserve">יתרום </w:t>
      </w:r>
      <w:r w:rsidRPr="00EF315F">
        <w:rPr>
          <w:rtl/>
        </w:rPr>
        <w:t xml:space="preserve">לחיזוק התחרות ולהורדת יוקר המחייה. </w:t>
      </w:r>
    </w:p>
    <w:p w14:paraId="7F6961CB" w14:textId="38164EB5" w:rsidR="00E13C27" w:rsidRDefault="00986060" w:rsidP="00FB707F">
      <w:pPr>
        <w:pStyle w:val="Hesber"/>
        <w:spacing w:line="276" w:lineRule="auto"/>
        <w:rPr>
          <w:rtl/>
        </w:rPr>
      </w:pPr>
      <w:r w:rsidRPr="00EF315F">
        <w:rPr>
          <w:rFonts w:hint="cs"/>
          <w:rtl/>
        </w:rPr>
        <w:t xml:space="preserve">לפיכך, מוצע לקבוע כי </w:t>
      </w:r>
      <w:r>
        <w:rPr>
          <w:rFonts w:hint="cs"/>
          <w:rtl/>
        </w:rPr>
        <w:t xml:space="preserve">קמעונאי גדול יחויב להציע </w:t>
      </w:r>
      <w:r w:rsidRPr="00EF315F">
        <w:rPr>
          <w:rFonts w:hint="cs"/>
          <w:rtl/>
        </w:rPr>
        <w:t>מסירה דיגיטלי</w:t>
      </w:r>
      <w:r w:rsidRPr="00EF315F">
        <w:rPr>
          <w:rFonts w:hint="eastAsia"/>
          <w:rtl/>
        </w:rPr>
        <w:t>ת</w:t>
      </w:r>
      <w:r>
        <w:rPr>
          <w:rFonts w:hint="cs"/>
          <w:rtl/>
        </w:rPr>
        <w:t xml:space="preserve"> של חשבונית,</w:t>
      </w:r>
      <w:r w:rsidRPr="00EF315F">
        <w:rPr>
          <w:rFonts w:hint="cs"/>
          <w:rtl/>
        </w:rPr>
        <w:t xml:space="preserve"> אך הצרכן יוכל לבחור אם ברצונו לקבל את החשבונית באופן זה או בנייר.</w:t>
      </w:r>
      <w:r>
        <w:rPr>
          <w:rFonts w:hint="cs"/>
          <w:rtl/>
        </w:rPr>
        <w:t xml:space="preserve"> בעסקת מכר מרחוק, יחויב הקמעונאי הגדול</w:t>
      </w:r>
      <w:r w:rsidRPr="00EF315F">
        <w:rPr>
          <w:rFonts w:hint="cs"/>
          <w:rtl/>
        </w:rPr>
        <w:t xml:space="preserve"> ב</w:t>
      </w:r>
      <w:r w:rsidRPr="00EF315F">
        <w:rPr>
          <w:rtl/>
        </w:rPr>
        <w:t>משלוח חשבונית</w:t>
      </w:r>
      <w:r w:rsidRPr="00EF315F">
        <w:rPr>
          <w:rFonts w:hint="cs"/>
          <w:rtl/>
        </w:rPr>
        <w:t xml:space="preserve"> עסקה מפורטת</w:t>
      </w:r>
      <w:r w:rsidRPr="00EF315F">
        <w:rPr>
          <w:rtl/>
        </w:rPr>
        <w:t xml:space="preserve"> באמצעות קובץ מצורף להודעת דוא"ל </w:t>
      </w:r>
      <w:r w:rsidRPr="00EF315F">
        <w:rPr>
          <w:rFonts w:hint="cs"/>
          <w:rtl/>
        </w:rPr>
        <w:t xml:space="preserve">באופן מידי, </w:t>
      </w:r>
      <w:r>
        <w:rPr>
          <w:rFonts w:hint="cs"/>
          <w:rtl/>
        </w:rPr>
        <w:t>ו</w:t>
      </w:r>
      <w:r w:rsidRPr="00EF315F">
        <w:rPr>
          <w:rFonts w:hint="cs"/>
          <w:rtl/>
        </w:rPr>
        <w:t>גם</w:t>
      </w:r>
      <w:r>
        <w:rPr>
          <w:rFonts w:hint="cs"/>
          <w:rtl/>
        </w:rPr>
        <w:t xml:space="preserve"> במשלוח חשבונית נייר עם מסירת הטובין שהוזמן, אלא אם כן בחר הצרכן לקבל את החשבונית באחת הדרכים כאמור בלבד</w:t>
      </w:r>
      <w:r w:rsidRPr="00EF315F">
        <w:rPr>
          <w:rFonts w:hint="cs"/>
          <w:rtl/>
        </w:rPr>
        <w:t xml:space="preserve">. </w:t>
      </w:r>
    </w:p>
    <w:p w14:paraId="4AD636A4" w14:textId="77777777" w:rsidR="00FB707F" w:rsidRPr="00EF315F" w:rsidRDefault="00FB707F" w:rsidP="00986060">
      <w:pPr>
        <w:pStyle w:val="Hesber"/>
        <w:rPr>
          <w:rtl/>
        </w:rPr>
      </w:pPr>
    </w:p>
    <w:p w14:paraId="4054A270" w14:textId="77777777" w:rsidR="006B4A97" w:rsidRDefault="00FB707F">
      <w:pPr>
        <w:jc w:val="left"/>
      </w:pPr>
      <w:bookmarkStart w:id="9" w:name="selectedDocDateB"/>
      <w:bookmarkEnd w:id="9"/>
      <w:r>
        <w:rPr>
          <w:rFonts w:eastAsia="David" w:hint="cs"/>
          <w:sz w:val="26"/>
          <w:szCs w:val="26"/>
          <w:rtl/>
        </w:rPr>
        <w:t>--------------------------------</w:t>
      </w:r>
    </w:p>
    <w:p w14:paraId="09E8897E" w14:textId="77777777" w:rsidR="006B4A97" w:rsidRDefault="00FB707F">
      <w:pPr>
        <w:jc w:val="left"/>
      </w:pPr>
      <w:r>
        <w:rPr>
          <w:rFonts w:eastAsia="David" w:hint="cs"/>
          <w:sz w:val="26"/>
          <w:szCs w:val="26"/>
          <w:rtl/>
        </w:rPr>
        <w:t>הוגשה</w:t>
      </w:r>
      <w:r>
        <w:rPr>
          <w:rFonts w:eastAsia="David" w:hint="cs"/>
          <w:sz w:val="26"/>
          <w:szCs w:val="26"/>
          <w:rtl/>
        </w:rPr>
        <w:t xml:space="preserve"> ליו"ר הכנסת והסגנים</w:t>
      </w:r>
    </w:p>
    <w:p w14:paraId="38EF6258" w14:textId="77777777" w:rsidR="006B4A97" w:rsidRDefault="00FB707F">
      <w:pPr>
        <w:jc w:val="left"/>
      </w:pPr>
      <w:r>
        <w:rPr>
          <w:rFonts w:eastAsia="David" w:hint="cs"/>
          <w:sz w:val="26"/>
          <w:szCs w:val="26"/>
          <w:rtl/>
        </w:rPr>
        <w:t>והונחה על שולחן הכנסת ביום</w:t>
      </w:r>
    </w:p>
    <w:p w14:paraId="529C8CF4" w14:textId="77777777" w:rsidR="006B4A97" w:rsidRDefault="00FB707F">
      <w:pPr>
        <w:jc w:val="left"/>
      </w:pPr>
      <w:r>
        <w:rPr>
          <w:rFonts w:eastAsia="David" w:hint="cs"/>
          <w:sz w:val="26"/>
          <w:szCs w:val="26"/>
          <w:rtl/>
        </w:rPr>
        <w:t xml:space="preserve">כ"ט בשבט התשפ"ב (31.01.2022) </w:t>
      </w:r>
    </w:p>
    <w:p w14:paraId="4B8B76AD" w14:textId="77777777" w:rsidR="006B4A97" w:rsidRDefault="006B4A97">
      <w:pPr>
        <w:spacing w:line="276" w:lineRule="auto"/>
        <w:jc w:val="left"/>
      </w:pPr>
    </w:p>
    <w:sectPr w:rsidR="006B4A97" w:rsidSect="00FB707F">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6A3ABD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B707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FB707F">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4F7C07E" w14:textId="77777777" w:rsidR="00986060" w:rsidRDefault="00986060" w:rsidP="00986060">
      <w:pPr>
        <w:pStyle w:val="a4"/>
      </w:pPr>
      <w:r>
        <w:rPr>
          <w:rStyle w:val="a6"/>
        </w:rPr>
        <w:footnoteRef/>
      </w:r>
      <w:r>
        <w:rPr>
          <w:rtl/>
        </w:rPr>
        <w:t xml:space="preserve"> </w:t>
      </w:r>
      <w:r>
        <w:rPr>
          <w:rFonts w:hint="cs"/>
          <w:rtl/>
        </w:rPr>
        <w:t>ס"ח התשמ"א, עמ' 248.</w:t>
      </w:r>
    </w:p>
  </w:footnote>
  <w:footnote w:id="3">
    <w:p w14:paraId="5FA099CF" w14:textId="77777777" w:rsidR="00986060" w:rsidRDefault="00986060" w:rsidP="00986060">
      <w:pPr>
        <w:pStyle w:val="a4"/>
      </w:pPr>
      <w:r>
        <w:rPr>
          <w:rStyle w:val="a6"/>
        </w:rPr>
        <w:footnoteRef/>
      </w:r>
      <w:r>
        <w:rPr>
          <w:rtl/>
        </w:rPr>
        <w:t xml:space="preserve"> </w:t>
      </w:r>
      <w:r>
        <w:rPr>
          <w:rFonts w:hint="cs"/>
          <w:rtl/>
        </w:rPr>
        <w:t>ס"ח התשע"ד, עמ' 438.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15BE"/>
    <w:rsid w:val="0005335D"/>
    <w:rsid w:val="00063A3E"/>
    <w:rsid w:val="00072CAC"/>
    <w:rsid w:val="0007681A"/>
    <w:rsid w:val="000A542E"/>
    <w:rsid w:val="000F603C"/>
    <w:rsid w:val="00102B6B"/>
    <w:rsid w:val="001052D4"/>
    <w:rsid w:val="0010644B"/>
    <w:rsid w:val="001207F8"/>
    <w:rsid w:val="00121924"/>
    <w:rsid w:val="001279A8"/>
    <w:rsid w:val="0014195F"/>
    <w:rsid w:val="00152609"/>
    <w:rsid w:val="00153E1B"/>
    <w:rsid w:val="00186F9A"/>
    <w:rsid w:val="001A0623"/>
    <w:rsid w:val="001C23B0"/>
    <w:rsid w:val="001D7AAF"/>
    <w:rsid w:val="001E7AFD"/>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C5F28"/>
    <w:rsid w:val="002C7BBA"/>
    <w:rsid w:val="002D1EE3"/>
    <w:rsid w:val="002F1D80"/>
    <w:rsid w:val="003232A2"/>
    <w:rsid w:val="00325C14"/>
    <w:rsid w:val="0036422C"/>
    <w:rsid w:val="003710F6"/>
    <w:rsid w:val="00386E88"/>
    <w:rsid w:val="00396585"/>
    <w:rsid w:val="003A5517"/>
    <w:rsid w:val="003D6E38"/>
    <w:rsid w:val="003D74A0"/>
    <w:rsid w:val="003E54CA"/>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4A97"/>
    <w:rsid w:val="006C1D0D"/>
    <w:rsid w:val="0070601E"/>
    <w:rsid w:val="00712C72"/>
    <w:rsid w:val="00735FE9"/>
    <w:rsid w:val="00763CAA"/>
    <w:rsid w:val="00765F66"/>
    <w:rsid w:val="0078664F"/>
    <w:rsid w:val="007A27CE"/>
    <w:rsid w:val="007C3FA6"/>
    <w:rsid w:val="007D585A"/>
    <w:rsid w:val="007D5A12"/>
    <w:rsid w:val="007E59F9"/>
    <w:rsid w:val="00805710"/>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BCE"/>
    <w:rsid w:val="008F0D63"/>
    <w:rsid w:val="008F1308"/>
    <w:rsid w:val="008F2C35"/>
    <w:rsid w:val="008F6665"/>
    <w:rsid w:val="00904591"/>
    <w:rsid w:val="00905E5F"/>
    <w:rsid w:val="0091204F"/>
    <w:rsid w:val="00917F6B"/>
    <w:rsid w:val="009203DB"/>
    <w:rsid w:val="00923CD4"/>
    <w:rsid w:val="00930EFE"/>
    <w:rsid w:val="00934786"/>
    <w:rsid w:val="00943386"/>
    <w:rsid w:val="009456B6"/>
    <w:rsid w:val="00957589"/>
    <w:rsid w:val="00966D06"/>
    <w:rsid w:val="00982412"/>
    <w:rsid w:val="00983A8D"/>
    <w:rsid w:val="00986060"/>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A7A02"/>
    <w:rsid w:val="00BC45FB"/>
    <w:rsid w:val="00BD1B5D"/>
    <w:rsid w:val="00BF148D"/>
    <w:rsid w:val="00C23B1A"/>
    <w:rsid w:val="00C25EF6"/>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15F"/>
    <w:rsid w:val="00EF3A3A"/>
    <w:rsid w:val="00F628D6"/>
    <w:rsid w:val="00F67051"/>
    <w:rsid w:val="00F86A1E"/>
    <w:rsid w:val="00FA5E88"/>
    <w:rsid w:val="00FB70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D9AF0EF-32F8-4378-B4FD-4EE04AC1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07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B707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B707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B707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B707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B707F"/>
    <w:pPr>
      <w:spacing w:line="259" w:lineRule="auto"/>
      <w:outlineLvl w:val="4"/>
    </w:pPr>
    <w:rPr>
      <w:color w:val="000000" w:themeColor="text1"/>
    </w:rPr>
  </w:style>
  <w:style w:type="character" w:default="1" w:styleId="a0">
    <w:name w:val="Default Paragraph Font"/>
    <w:uiPriority w:val="1"/>
    <w:semiHidden/>
    <w:unhideWhenUsed/>
    <w:rsid w:val="00FB707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B707F"/>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B707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B707F"/>
    <w:rPr>
      <w:sz w:val="36"/>
      <w:szCs w:val="52"/>
    </w:rPr>
  </w:style>
  <w:style w:type="paragraph" w:customStyle="1" w:styleId="Cover3-Haknesset">
    <w:name w:val="Cover 3-Haknesset"/>
    <w:basedOn w:val="Cover1-Reshumot"/>
    <w:rsid w:val="00FB707F"/>
    <w:rPr>
      <w:b/>
      <w:bCs/>
      <w:spacing w:val="60"/>
    </w:rPr>
  </w:style>
  <w:style w:type="paragraph" w:customStyle="1" w:styleId="Cover4-Date">
    <w:name w:val="Cover 4-Date"/>
    <w:basedOn w:val="a"/>
    <w:rsid w:val="00FB707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B707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B707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B707F"/>
    <w:pPr>
      <w:spacing w:before="120" w:after="120"/>
    </w:pPr>
    <w:rPr>
      <w:color w:val="FF0000"/>
      <w:w w:val="80"/>
    </w:rPr>
  </w:style>
  <w:style w:type="paragraph" w:styleId="a3">
    <w:name w:val="endnote text"/>
    <w:basedOn w:val="a"/>
    <w:semiHidden/>
    <w:rsid w:val="00FB707F"/>
    <w:pPr>
      <w:ind w:left="227" w:hanging="227"/>
    </w:pPr>
    <w:rPr>
      <w:sz w:val="14"/>
      <w:szCs w:val="22"/>
    </w:rPr>
  </w:style>
  <w:style w:type="paragraph" w:customStyle="1" w:styleId="TableText">
    <w:name w:val="Table Text"/>
    <w:basedOn w:val="a"/>
    <w:rsid w:val="00FB707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B707F"/>
    <w:pPr>
      <w:outlineLvl w:val="2"/>
    </w:pPr>
  </w:style>
  <w:style w:type="paragraph" w:customStyle="1" w:styleId="TableBlock">
    <w:name w:val="Table Block"/>
    <w:basedOn w:val="TableText"/>
    <w:rsid w:val="00FB707F"/>
    <w:pPr>
      <w:jc w:val="both"/>
    </w:pPr>
  </w:style>
  <w:style w:type="paragraph" w:customStyle="1" w:styleId="TableHead">
    <w:name w:val="Table Head"/>
    <w:basedOn w:val="TableText"/>
    <w:rsid w:val="00FB707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B707F"/>
    <w:pPr>
      <w:outlineLvl w:val="9"/>
    </w:pPr>
  </w:style>
  <w:style w:type="paragraph" w:customStyle="1" w:styleId="Hesber">
    <w:name w:val="Hesber"/>
    <w:basedOn w:val="a"/>
    <w:rsid w:val="00FB707F"/>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FB707F"/>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FB707F"/>
    <w:rPr>
      <w:vertAlign w:val="superscript"/>
    </w:rPr>
  </w:style>
  <w:style w:type="paragraph" w:customStyle="1" w:styleId="HesberHeading">
    <w:name w:val="Hesber Heading"/>
    <w:basedOn w:val="Hesber"/>
    <w:rsid w:val="00FB707F"/>
    <w:pPr>
      <w:tabs>
        <w:tab w:val="left" w:pos="624"/>
        <w:tab w:val="left" w:pos="1247"/>
      </w:tabs>
    </w:pPr>
    <w:rPr>
      <w:b/>
      <w:bCs/>
    </w:rPr>
  </w:style>
  <w:style w:type="paragraph" w:customStyle="1" w:styleId="HesberWriters">
    <w:name w:val="Hesber Writers"/>
    <w:basedOn w:val="Hesber"/>
    <w:rsid w:val="00FB707F"/>
    <w:pPr>
      <w:spacing w:before="120" w:after="120"/>
      <w:ind w:left="1418"/>
      <w:jc w:val="right"/>
    </w:pPr>
    <w:rPr>
      <w:b/>
      <w:bCs/>
    </w:rPr>
  </w:style>
  <w:style w:type="paragraph" w:customStyle="1" w:styleId="Hesber1st">
    <w:name w:val="Hesber 1st"/>
    <w:basedOn w:val="Hesber"/>
    <w:rsid w:val="00FB707F"/>
    <w:pPr>
      <w:tabs>
        <w:tab w:val="left" w:pos="680"/>
        <w:tab w:val="left" w:pos="1020"/>
      </w:tabs>
      <w:ind w:firstLine="0"/>
    </w:pPr>
  </w:style>
  <w:style w:type="character" w:styleId="a7">
    <w:name w:val="endnote reference"/>
    <w:basedOn w:val="a0"/>
    <w:semiHidden/>
    <w:rsid w:val="00FB707F"/>
    <w:rPr>
      <w:vertAlign w:val="superscript"/>
    </w:rPr>
  </w:style>
  <w:style w:type="paragraph" w:customStyle="1" w:styleId="TableBlockOutdent">
    <w:name w:val="Table BlockOutdent"/>
    <w:basedOn w:val="TableBlock"/>
    <w:rsid w:val="00FB707F"/>
    <w:pPr>
      <w:ind w:left="624" w:hanging="624"/>
    </w:pPr>
  </w:style>
  <w:style w:type="paragraph" w:styleId="a8">
    <w:name w:val="header"/>
    <w:basedOn w:val="a"/>
    <w:rsid w:val="00FB707F"/>
    <w:pPr>
      <w:tabs>
        <w:tab w:val="center" w:pos="4153"/>
        <w:tab w:val="right" w:pos="8306"/>
      </w:tabs>
    </w:pPr>
  </w:style>
  <w:style w:type="paragraph" w:styleId="a9">
    <w:name w:val="footer"/>
    <w:basedOn w:val="a"/>
    <w:rsid w:val="00FB707F"/>
    <w:pPr>
      <w:tabs>
        <w:tab w:val="center" w:pos="4153"/>
        <w:tab w:val="right" w:pos="8306"/>
      </w:tabs>
    </w:pPr>
  </w:style>
  <w:style w:type="paragraph" w:customStyle="1" w:styleId="HeadDivreiHesber">
    <w:name w:val="Head DivreiHesber"/>
    <w:basedOn w:val="a"/>
    <w:rsid w:val="00FB707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B707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FB707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F603C"/>
    <w:rPr>
      <w:rFonts w:ascii="Arial" w:eastAsia="Arial Unicode MS" w:hAnsi="Arial" w:cs="David"/>
      <w:snapToGrid w:val="0"/>
      <w:sz w:val="14"/>
    </w:rPr>
  </w:style>
  <w:style w:type="character" w:customStyle="1" w:styleId="default">
    <w:name w:val="default"/>
    <w:basedOn w:val="a0"/>
    <w:rsid w:val="000F603C"/>
  </w:style>
  <w:style w:type="character" w:styleId="ae">
    <w:name w:val="annotation reference"/>
    <w:basedOn w:val="a0"/>
    <w:semiHidden/>
    <w:unhideWhenUsed/>
    <w:rsid w:val="00EF315F"/>
    <w:rPr>
      <w:sz w:val="16"/>
      <w:szCs w:val="16"/>
    </w:rPr>
  </w:style>
  <w:style w:type="paragraph" w:styleId="af">
    <w:name w:val="annotation text"/>
    <w:basedOn w:val="a"/>
    <w:link w:val="af0"/>
    <w:semiHidden/>
    <w:unhideWhenUsed/>
    <w:rsid w:val="00EF315F"/>
    <w:pPr>
      <w:spacing w:line="240" w:lineRule="auto"/>
    </w:pPr>
    <w:rPr>
      <w:sz w:val="20"/>
      <w:szCs w:val="20"/>
    </w:rPr>
  </w:style>
  <w:style w:type="character" w:customStyle="1" w:styleId="af0">
    <w:name w:val="טקסט הערה תו"/>
    <w:basedOn w:val="a0"/>
    <w:link w:val="af"/>
    <w:semiHidden/>
    <w:rsid w:val="00EF315F"/>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EF315F"/>
    <w:rPr>
      <w:b/>
      <w:bCs/>
    </w:rPr>
  </w:style>
  <w:style w:type="character" w:customStyle="1" w:styleId="af2">
    <w:name w:val="נושא הערה תו"/>
    <w:basedOn w:val="af0"/>
    <w:link w:val="af1"/>
    <w:semiHidden/>
    <w:rsid w:val="00EF315F"/>
    <w:rPr>
      <w:rFonts w:ascii="Hadasa Roso SL" w:hAnsi="Hadasa Roso SL" w:cs="Hadasa Roso SL"/>
      <w:b/>
      <w:bCs/>
      <w:color w:val="000000"/>
      <w:spacing w:val="1"/>
      <w:lang w:eastAsia="ja-JP"/>
    </w:rPr>
  </w:style>
  <w:style w:type="character" w:styleId="Hyperlink">
    <w:name w:val="Hyperlink"/>
    <w:basedOn w:val="a0"/>
    <w:uiPriority w:val="99"/>
    <w:unhideWhenUsed/>
    <w:rsid w:val="00FB707F"/>
    <w:rPr>
      <w:color w:val="0000FF" w:themeColor="hyperlink"/>
      <w:u w:val="single"/>
    </w:rPr>
  </w:style>
  <w:style w:type="character" w:customStyle="1" w:styleId="10">
    <w:name w:val="כותרת 1 תו"/>
    <w:basedOn w:val="a0"/>
    <w:link w:val="1"/>
    <w:uiPriority w:val="9"/>
    <w:rsid w:val="00FB707F"/>
    <w:rPr>
      <w:rFonts w:asciiTheme="majorHAnsi" w:eastAsiaTheme="majorEastAsia" w:hAnsiTheme="majorHAnsi" w:cs="David"/>
      <w:bCs/>
      <w:sz w:val="32"/>
      <w:szCs w:val="36"/>
    </w:rPr>
  </w:style>
  <w:style w:type="character" w:customStyle="1" w:styleId="20">
    <w:name w:val="כותרת 2 תו"/>
    <w:basedOn w:val="a0"/>
    <w:link w:val="2"/>
    <w:rsid w:val="00FB707F"/>
    <w:rPr>
      <w:rFonts w:asciiTheme="majorHAnsi" w:eastAsiaTheme="majorEastAsia" w:hAnsiTheme="majorHAnsi" w:cs="David"/>
      <w:bCs/>
      <w:sz w:val="26"/>
      <w:szCs w:val="36"/>
      <w:u w:val="single"/>
    </w:rPr>
  </w:style>
  <w:style w:type="character" w:customStyle="1" w:styleId="30">
    <w:name w:val="כותרת 3 תו"/>
    <w:basedOn w:val="a0"/>
    <w:link w:val="3"/>
    <w:rsid w:val="00FB707F"/>
    <w:rPr>
      <w:rFonts w:asciiTheme="majorHAnsi" w:eastAsiaTheme="majorEastAsia" w:hAnsiTheme="majorHAnsi" w:cs="David"/>
      <w:sz w:val="24"/>
      <w:szCs w:val="28"/>
      <w:u w:val="double"/>
    </w:rPr>
  </w:style>
  <w:style w:type="character" w:customStyle="1" w:styleId="40">
    <w:name w:val="כותרת 4 תו"/>
    <w:basedOn w:val="a0"/>
    <w:link w:val="4"/>
    <w:uiPriority w:val="9"/>
    <w:rsid w:val="00FB707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B707F"/>
    <w:rPr>
      <w:rFonts w:ascii="David" w:eastAsiaTheme="minorHAnsi" w:hAnsi="David" w:cs="David"/>
      <w:color w:val="000000" w:themeColor="text1"/>
      <w:sz w:val="24"/>
      <w:szCs w:val="24"/>
    </w:rPr>
  </w:style>
  <w:style w:type="paragraph" w:styleId="af3">
    <w:name w:val="TOC Heading"/>
    <w:basedOn w:val="1"/>
    <w:next w:val="a"/>
    <w:uiPriority w:val="39"/>
    <w:unhideWhenUsed/>
    <w:qFormat/>
    <w:rsid w:val="00FB707F"/>
    <w:pPr>
      <w:widowControl/>
      <w:spacing w:before="120" w:after="120"/>
      <w:outlineLvl w:val="9"/>
    </w:pPr>
    <w:rPr>
      <w:rtl/>
      <w:cs/>
    </w:rPr>
  </w:style>
  <w:style w:type="paragraph" w:styleId="TOC1">
    <w:name w:val="toc 1"/>
    <w:basedOn w:val="a"/>
    <w:next w:val="a"/>
    <w:autoRedefine/>
    <w:uiPriority w:val="39"/>
    <w:unhideWhenUsed/>
    <w:rsid w:val="00FB707F"/>
    <w:pPr>
      <w:tabs>
        <w:tab w:val="right" w:leader="dot" w:pos="9629"/>
      </w:tabs>
      <w:spacing w:after="100"/>
    </w:pPr>
    <w:rPr>
      <w:bCs/>
      <w:szCs w:val="22"/>
    </w:rPr>
  </w:style>
  <w:style w:type="paragraph" w:styleId="TOC2">
    <w:name w:val="toc 2"/>
    <w:basedOn w:val="a"/>
    <w:next w:val="a"/>
    <w:uiPriority w:val="39"/>
    <w:unhideWhenUsed/>
    <w:rsid w:val="00FB707F"/>
    <w:pPr>
      <w:tabs>
        <w:tab w:val="right" w:leader="dot" w:pos="9628"/>
      </w:tabs>
      <w:spacing w:after="100"/>
    </w:pPr>
    <w:rPr>
      <w:szCs w:val="22"/>
    </w:rPr>
  </w:style>
  <w:style w:type="paragraph" w:styleId="TOC3">
    <w:name w:val="toc 3"/>
    <w:basedOn w:val="a"/>
    <w:next w:val="a"/>
    <w:uiPriority w:val="39"/>
    <w:unhideWhenUsed/>
    <w:rsid w:val="00FB707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B707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B707F"/>
    <w:pPr>
      <w:tabs>
        <w:tab w:val="right" w:leader="dot" w:pos="9628"/>
      </w:tabs>
      <w:spacing w:after="100"/>
      <w:ind w:left="567"/>
    </w:pPr>
    <w:rPr>
      <w:szCs w:val="22"/>
    </w:rPr>
  </w:style>
  <w:style w:type="paragraph" w:styleId="TOC6">
    <w:name w:val="toc 6"/>
    <w:basedOn w:val="a"/>
    <w:next w:val="a"/>
    <w:autoRedefine/>
    <w:semiHidden/>
    <w:unhideWhenUsed/>
    <w:rsid w:val="00FB707F"/>
    <w:pPr>
      <w:spacing w:after="100"/>
      <w:ind w:left="850"/>
    </w:pPr>
  </w:style>
  <w:style w:type="paragraph" w:styleId="TOC7">
    <w:name w:val="toc 7"/>
    <w:basedOn w:val="a"/>
    <w:next w:val="a"/>
    <w:autoRedefine/>
    <w:semiHidden/>
    <w:unhideWhenUsed/>
    <w:rsid w:val="00FB707F"/>
    <w:pPr>
      <w:spacing w:after="100"/>
      <w:ind w:left="1020"/>
    </w:pPr>
  </w:style>
  <w:style w:type="paragraph" w:styleId="TOC8">
    <w:name w:val="toc 8"/>
    <w:basedOn w:val="a"/>
    <w:next w:val="a"/>
    <w:autoRedefine/>
    <w:semiHidden/>
    <w:unhideWhenUsed/>
    <w:rsid w:val="00FB707F"/>
    <w:pPr>
      <w:spacing w:after="100"/>
      <w:ind w:left="1190"/>
    </w:pPr>
  </w:style>
  <w:style w:type="paragraph" w:styleId="TOC9">
    <w:name w:val="toc 9"/>
    <w:basedOn w:val="a"/>
    <w:next w:val="a"/>
    <w:autoRedefine/>
    <w:semiHidden/>
    <w:unhideWhenUsed/>
    <w:rsid w:val="00FB707F"/>
    <w:pPr>
      <w:spacing w:after="100"/>
      <w:ind w:left="1360"/>
    </w:pPr>
  </w:style>
  <w:style w:type="paragraph" w:customStyle="1" w:styleId="TableHead2">
    <w:name w:val="Table Head2"/>
    <w:basedOn w:val="TableHead"/>
    <w:qFormat/>
    <w:rsid w:val="00FB707F"/>
    <w:pPr>
      <w:outlineLvl w:val="9"/>
    </w:pPr>
  </w:style>
  <w:style w:type="paragraph" w:customStyle="1" w:styleId="TableSideHeading2">
    <w:name w:val="Table SideHeading2"/>
    <w:basedOn w:val="TableSideHeading"/>
    <w:autoRedefine/>
    <w:qFormat/>
    <w:rsid w:val="00FB707F"/>
    <w:pPr>
      <w:keepLines w:val="0"/>
      <w:outlineLvl w:val="9"/>
    </w:pPr>
  </w:style>
  <w:style w:type="paragraph" w:customStyle="1" w:styleId="0">
    <w:name w:val="סגנון שורה ראשונה:  0  ס''מ"/>
    <w:basedOn w:val="2"/>
    <w:rsid w:val="00FB707F"/>
    <w:rPr>
      <w:rFonts w:eastAsia="Times New Roman"/>
    </w:rPr>
  </w:style>
  <w:style w:type="paragraph" w:styleId="af4">
    <w:name w:val="List Paragraph"/>
    <w:basedOn w:val="a"/>
    <w:uiPriority w:val="34"/>
    <w:qFormat/>
    <w:rsid w:val="00FB707F"/>
    <w:pPr>
      <w:widowControl/>
      <w:spacing w:line="259" w:lineRule="auto"/>
    </w:pPr>
    <w:rPr>
      <w:rFonts w:asciiTheme="minorHAnsi" w:hAnsiTheme="minorHAnsi"/>
      <w:sz w:val="22"/>
    </w:rPr>
  </w:style>
  <w:style w:type="table" w:styleId="af5">
    <w:name w:val="Table Grid"/>
    <w:basedOn w:val="a1"/>
    <w:rsid w:val="00FB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B70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B70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FB707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B707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6024-26F9-41AA-A8ED-47DDBC0FD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A1E004E-25F0-4BE8-97C7-4352A6F6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801</Words>
  <Characters>4005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18</cp:revision>
  <cp:lastPrinted>2013-07-04T08:25:00Z</cp:lastPrinted>
  <dcterms:created xsi:type="dcterms:W3CDTF">2015-04-20T09:58:00Z</dcterms:created>
  <dcterms:modified xsi:type="dcterms:W3CDTF">2022-01-27T12:54:00Z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2168038</vt:r8>
  </property>
</Properties>
</file>