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2168388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A" w14:textId="10A9FC47" w:rsidR="00E13C27" w:rsidRPr="00CF1AA2" w:rsidRDefault="008F6665" w:rsidP="002F3B7C">
      <w:pPr>
        <w:pStyle w:val="David"/>
        <w:spacing w:before="102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שרון רופא אופיר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אלכס קושניר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אלינה ברדץ' יאלוב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לימור מגן תלם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יבגני סובה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40E0C1C8" w:rsidR="00E13C27" w:rsidRDefault="00904591" w:rsidP="00541AE5">
      <w:pPr>
        <w:pStyle w:val="David"/>
        <w:spacing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 w:rsidR="002F3B7C">
        <w:rPr>
          <w:rtl/>
        </w:rPr>
        <w:tab/>
      </w:r>
      <w:r w:rsidR="002F3B7C">
        <w:rPr>
          <w:rFonts w:hint="cs"/>
          <w:rtl/>
        </w:rPr>
        <w:t xml:space="preserve">  </w:t>
      </w:r>
      <w:r>
        <w:rPr>
          <w:rFonts w:hint="cs"/>
          <w:rtl/>
        </w:rPr>
        <w:t>פ/3116/24</w:t>
      </w:r>
      <w:bookmarkEnd w:id="6"/>
    </w:p>
    <w:p w14:paraId="30536964" w14:textId="77777777" w:rsidR="002F3B7C" w:rsidRDefault="002F3B7C" w:rsidP="0021633A">
      <w:pPr>
        <w:pStyle w:val="HeadHatzaotHok"/>
        <w:rPr>
          <w:rtl/>
        </w:rPr>
      </w:pPr>
      <w:bookmarkStart w:id="7" w:name="LGS_Subject"/>
    </w:p>
    <w:p w14:paraId="7F6961AD" w14:textId="0976DEF1" w:rsidR="00E13C27" w:rsidRDefault="00A443CF" w:rsidP="0021633A">
      <w:pPr>
        <w:pStyle w:val="HeadHatzaotHok"/>
        <w:rPr>
          <w:rtl/>
        </w:rPr>
      </w:pPr>
      <w:r>
        <w:rPr>
          <w:rFonts w:hint="cs"/>
          <w:rtl/>
        </w:rPr>
        <w:t>הצעת חוק שירותי הדת היהודיים (תיקון – ייצוג הולם לנשים במועצות הדתיות), התשפ"ב–2022</w:t>
      </w:r>
      <w:bookmarkEnd w:id="7"/>
    </w:p>
    <w:p w14:paraId="1847D9AE" w14:textId="77777777" w:rsidR="002F3B7C" w:rsidRDefault="002F3B7C" w:rsidP="0021633A">
      <w:pPr>
        <w:pStyle w:val="HeadHatzaotHok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1872"/>
        <w:gridCol w:w="624"/>
        <w:gridCol w:w="4647"/>
      </w:tblGrid>
      <w:tr w:rsidR="002F3B7C" w14:paraId="113D1F3F" w14:textId="77777777" w:rsidTr="002F3B7C">
        <w:trPr>
          <w:cantSplit/>
        </w:trPr>
        <w:tc>
          <w:tcPr>
            <w:tcW w:w="1871" w:type="dxa"/>
          </w:tcPr>
          <w:p w14:paraId="1A5CF4F9" w14:textId="4B628C06" w:rsidR="002F3B7C" w:rsidRDefault="002F3B7C" w:rsidP="002F3B7C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הוספת סעיף 5א</w:t>
            </w:r>
          </w:p>
        </w:tc>
        <w:tc>
          <w:tcPr>
            <w:tcW w:w="624" w:type="dxa"/>
          </w:tcPr>
          <w:p w14:paraId="7B2EAB9A" w14:textId="77777777" w:rsidR="002F3B7C" w:rsidRDefault="002F3B7C" w:rsidP="002F3B7C">
            <w:pPr>
              <w:pStyle w:val="TableText"/>
              <w:keepLines w:val="0"/>
              <w:numPr>
                <w:ilvl w:val="0"/>
                <w:numId w:val="12"/>
              </w:numPr>
              <w:tabs>
                <w:tab w:val="clear" w:pos="624"/>
              </w:tabs>
            </w:pPr>
          </w:p>
        </w:tc>
        <w:tc>
          <w:tcPr>
            <w:tcW w:w="7143" w:type="dxa"/>
            <w:gridSpan w:val="3"/>
          </w:tcPr>
          <w:p w14:paraId="487A2729" w14:textId="0DA96155" w:rsidR="002F3B7C" w:rsidRPr="00C34DE2" w:rsidRDefault="002F3B7C" w:rsidP="002F3B7C">
            <w:pPr>
              <w:pStyle w:val="TableBlock"/>
              <w:tabs>
                <w:tab w:val="left" w:pos="624"/>
                <w:tab w:val="left" w:pos="1247"/>
              </w:tabs>
            </w:pPr>
            <w:r w:rsidRPr="00125AEA">
              <w:rPr>
                <w:rFonts w:hint="cs"/>
                <w:rtl/>
              </w:rPr>
              <w:t>בחוק</w:t>
            </w:r>
            <w:r w:rsidRPr="00125AEA">
              <w:rPr>
                <w:rtl/>
              </w:rPr>
              <w:t xml:space="preserve"> שירות</w:t>
            </w:r>
            <w:r w:rsidRPr="00125AEA">
              <w:rPr>
                <w:rFonts w:hint="cs"/>
                <w:rtl/>
              </w:rPr>
              <w:t>י</w:t>
            </w:r>
            <w:r w:rsidRPr="00125AEA">
              <w:rPr>
                <w:rtl/>
              </w:rPr>
              <w:t xml:space="preserve"> הדת היהודיים </w:t>
            </w:r>
            <w:r w:rsidRPr="00125AEA">
              <w:rPr>
                <w:rFonts w:hint="cs"/>
                <w:rtl/>
              </w:rPr>
              <w:t>[</w:t>
            </w:r>
            <w:r w:rsidRPr="00125AEA">
              <w:rPr>
                <w:rtl/>
              </w:rPr>
              <w:t>נוסח משולב</w:t>
            </w:r>
            <w:r w:rsidRPr="00125AEA">
              <w:rPr>
                <w:rFonts w:hint="cs"/>
                <w:rtl/>
              </w:rPr>
              <w:t>]</w:t>
            </w:r>
            <w:r w:rsidRPr="00125AEA">
              <w:rPr>
                <w:rtl/>
              </w:rPr>
              <w:t xml:space="preserve">, </w:t>
            </w:r>
            <w:r w:rsidRPr="00125AEA">
              <w:rPr>
                <w:rFonts w:hint="cs"/>
                <w:rtl/>
              </w:rPr>
              <w:t>ה</w:t>
            </w:r>
            <w:r w:rsidRPr="00125AEA">
              <w:rPr>
                <w:rtl/>
              </w:rPr>
              <w:t>תשל"א</w:t>
            </w:r>
            <w:r w:rsidRPr="00125AEA">
              <w:rPr>
                <w:rFonts w:hint="cs"/>
                <w:rtl/>
              </w:rPr>
              <w:t>–</w:t>
            </w:r>
            <w:r>
              <w:rPr>
                <w:rFonts w:hint="cs"/>
                <w:rtl/>
              </w:rPr>
              <w:t>1971</w:t>
            </w:r>
            <w:r w:rsidRPr="002F3B7C">
              <w:rPr>
                <w:rStyle w:val="a6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 (להלן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החוק העיקרי)</w:t>
            </w:r>
            <w:r w:rsidRPr="00125AEA">
              <w:rPr>
                <w:rFonts w:hint="cs"/>
                <w:rtl/>
              </w:rPr>
              <w:t xml:space="preserve">, אחרי סעיף 5 </w:t>
            </w:r>
            <w:r w:rsidRPr="00125AEA">
              <w:rPr>
                <w:rtl/>
              </w:rPr>
              <w:t>יבוא:</w:t>
            </w:r>
            <w:r w:rsidRPr="00125AEA" w:rsidDel="00ED576D">
              <w:rPr>
                <w:rtl/>
              </w:rPr>
              <w:t xml:space="preserve"> </w:t>
            </w:r>
            <w:r w:rsidRPr="00125AEA">
              <w:rPr>
                <w:rtl/>
              </w:rPr>
              <w:t xml:space="preserve"> </w:t>
            </w:r>
          </w:p>
        </w:tc>
      </w:tr>
      <w:tr w:rsidR="002F3B7C" w14:paraId="6B026566" w14:textId="77777777" w:rsidTr="002F3B7C">
        <w:trPr>
          <w:cantSplit/>
        </w:trPr>
        <w:tc>
          <w:tcPr>
            <w:tcW w:w="1871" w:type="dxa"/>
          </w:tcPr>
          <w:p w14:paraId="739E5BD6" w14:textId="77777777" w:rsidR="002F3B7C" w:rsidRDefault="002F3B7C" w:rsidP="002F3B7C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1D361DBA" w14:textId="77777777" w:rsidR="002F3B7C" w:rsidRDefault="002F3B7C" w:rsidP="002F3B7C">
            <w:pPr>
              <w:pStyle w:val="TableText"/>
              <w:keepLines w:val="0"/>
            </w:pPr>
          </w:p>
        </w:tc>
        <w:tc>
          <w:tcPr>
            <w:tcW w:w="1872" w:type="dxa"/>
          </w:tcPr>
          <w:p w14:paraId="401F1B26" w14:textId="768E2AC4" w:rsidR="002F3B7C" w:rsidRDefault="002F3B7C" w:rsidP="002F3B7C">
            <w:pPr>
              <w:pStyle w:val="TableInnerSideHeading"/>
            </w:pPr>
            <w:r>
              <w:rPr>
                <w:rFonts w:hint="cs"/>
                <w:rtl/>
              </w:rPr>
              <w:t xml:space="preserve">"ייצוג הולם לנשים </w:t>
            </w:r>
          </w:p>
        </w:tc>
        <w:tc>
          <w:tcPr>
            <w:tcW w:w="624" w:type="dxa"/>
          </w:tcPr>
          <w:p w14:paraId="04614B96" w14:textId="470BAAD9" w:rsidR="002F3B7C" w:rsidRDefault="002F3B7C" w:rsidP="002F3B7C">
            <w:pPr>
              <w:pStyle w:val="TableText"/>
            </w:pPr>
            <w:r>
              <w:rPr>
                <w:rFonts w:hint="cs"/>
                <w:rtl/>
              </w:rPr>
              <w:t>5א.</w:t>
            </w:r>
          </w:p>
        </w:tc>
        <w:tc>
          <w:tcPr>
            <w:tcW w:w="4647" w:type="dxa"/>
          </w:tcPr>
          <w:p w14:paraId="239D779C" w14:textId="25A6143C" w:rsidR="002F3B7C" w:rsidRDefault="002F3B7C" w:rsidP="002F3B7C">
            <w:pPr>
              <w:pStyle w:val="TableBlock"/>
              <w:tabs>
                <w:tab w:val="left" w:pos="624"/>
                <w:tab w:val="left" w:pos="1247"/>
              </w:tabs>
            </w:pPr>
            <w:r w:rsidRPr="00125AEA">
              <w:rPr>
                <w:rFonts w:hint="cs"/>
                <w:rtl/>
              </w:rPr>
              <w:t>ל</w:t>
            </w:r>
            <w:r w:rsidRPr="00125AEA">
              <w:rPr>
                <w:rtl/>
              </w:rPr>
              <w:t>פחות</w:t>
            </w:r>
            <w:r>
              <w:rPr>
                <w:rtl/>
              </w:rPr>
              <w:t xml:space="preserve"> מחצית חברי המועצה תהיינה נשים"</w:t>
            </w:r>
            <w:r>
              <w:rPr>
                <w:rFonts w:hint="cs"/>
                <w:rtl/>
              </w:rPr>
              <w:t>.</w:t>
            </w:r>
            <w:r>
              <w:rPr>
                <w:rtl/>
              </w:rPr>
              <w:t xml:space="preserve"> </w:t>
            </w:r>
          </w:p>
        </w:tc>
      </w:tr>
      <w:tr w:rsidR="002F3B7C" w14:paraId="57354E40" w14:textId="77777777" w:rsidTr="002F3B7C">
        <w:trPr>
          <w:cantSplit/>
        </w:trPr>
        <w:tc>
          <w:tcPr>
            <w:tcW w:w="1871" w:type="dxa"/>
          </w:tcPr>
          <w:p w14:paraId="4A09E9FE" w14:textId="30D22A6E" w:rsidR="002F3B7C" w:rsidRDefault="002F3B7C" w:rsidP="002F3B7C">
            <w:pPr>
              <w:pStyle w:val="TableSideHeading"/>
            </w:pPr>
            <w:r>
              <w:rPr>
                <w:rFonts w:hint="cs"/>
                <w:rtl/>
              </w:rPr>
              <w:t>תיקון סעיף 6</w:t>
            </w:r>
          </w:p>
        </w:tc>
        <w:tc>
          <w:tcPr>
            <w:tcW w:w="624" w:type="dxa"/>
          </w:tcPr>
          <w:p w14:paraId="79628B53" w14:textId="1128AB4B" w:rsidR="002F3B7C" w:rsidRDefault="002F3B7C" w:rsidP="002F3B7C">
            <w:pPr>
              <w:pStyle w:val="TableText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  <w:gridSpan w:val="3"/>
          </w:tcPr>
          <w:p w14:paraId="032C57EA" w14:textId="37A0A5D1" w:rsidR="002F3B7C" w:rsidRDefault="002F3B7C" w:rsidP="002F3B7C">
            <w:pPr>
              <w:pStyle w:val="TableBlock"/>
            </w:pPr>
            <w:r>
              <w:rPr>
                <w:rFonts w:hint="cs"/>
                <w:rtl/>
              </w:rPr>
              <w:t>בסעיף 6(ב2) לחוק העיקרי, אחרי "</w:t>
            </w:r>
            <w:r w:rsidRPr="00CC1CCC">
              <w:rPr>
                <w:rtl/>
              </w:rPr>
              <w:t>צוות בן שני חברים</w:t>
            </w:r>
            <w:r>
              <w:rPr>
                <w:rFonts w:hint="cs"/>
                <w:rtl/>
              </w:rPr>
              <w:t>" יבוא "גבר ואשה".</w:t>
            </w:r>
          </w:p>
        </w:tc>
      </w:tr>
    </w:tbl>
    <w:p w14:paraId="075EDF90" w14:textId="3502C4B5" w:rsidR="00541AE5" w:rsidRDefault="00541AE5" w:rsidP="00541AE5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DB35D4B" w14:textId="77777777" w:rsidR="00541AE5" w:rsidRPr="00125AEA" w:rsidRDefault="00541AE5" w:rsidP="00541AE5">
      <w:pPr>
        <w:pStyle w:val="Hesber"/>
        <w:rPr>
          <w:rtl/>
        </w:rPr>
      </w:pPr>
      <w:bookmarkStart w:id="8" w:name="_GoBack"/>
      <w:bookmarkEnd w:id="8"/>
      <w:r w:rsidRPr="00125AEA">
        <w:rPr>
          <w:rtl/>
        </w:rPr>
        <w:t>המועצות הדתיות בישראל, שמעמדן וסמכותן מוסדר בחוק שירות</w:t>
      </w:r>
      <w:r>
        <w:rPr>
          <w:rFonts w:hint="cs"/>
          <w:rtl/>
        </w:rPr>
        <w:t>י</w:t>
      </w:r>
      <w:r w:rsidRPr="00125AEA">
        <w:rPr>
          <w:rtl/>
        </w:rPr>
        <w:t xml:space="preserve"> הדת היהודיים </w:t>
      </w:r>
      <w:r w:rsidRPr="00125AEA">
        <w:rPr>
          <w:rFonts w:hint="cs"/>
          <w:rtl/>
        </w:rPr>
        <w:t>[</w:t>
      </w:r>
      <w:r w:rsidRPr="00125AEA">
        <w:rPr>
          <w:rtl/>
        </w:rPr>
        <w:t>נוסח משולב</w:t>
      </w:r>
      <w:r w:rsidRPr="00125AEA">
        <w:rPr>
          <w:rFonts w:hint="cs"/>
          <w:rtl/>
        </w:rPr>
        <w:t>]</w:t>
      </w:r>
      <w:r w:rsidRPr="00125AEA">
        <w:rPr>
          <w:rtl/>
        </w:rPr>
        <w:t xml:space="preserve">, </w:t>
      </w:r>
      <w:r>
        <w:rPr>
          <w:rFonts w:hint="cs"/>
          <w:rtl/>
        </w:rPr>
        <w:t>ה</w:t>
      </w:r>
      <w:r w:rsidRPr="00125AEA">
        <w:rPr>
          <w:rtl/>
        </w:rPr>
        <w:t>תשל"א</w:t>
      </w:r>
      <w:r>
        <w:rPr>
          <w:rFonts w:hint="cs"/>
          <w:rtl/>
        </w:rPr>
        <w:t>–</w:t>
      </w:r>
      <w:r w:rsidRPr="00125AEA">
        <w:rPr>
          <w:rtl/>
        </w:rPr>
        <w:t>1971, אמונות על אספקת שירותי דת וגביית אגרות בעבור שירותי הדת שהיא מספקת ברשות המקומית שבמסגרתה היא פועלת.</w:t>
      </w:r>
    </w:p>
    <w:p w14:paraId="450EF91C" w14:textId="77777777" w:rsidR="00541AE5" w:rsidRPr="00125AEA" w:rsidRDefault="00541AE5" w:rsidP="00541AE5">
      <w:pPr>
        <w:pStyle w:val="Hesber"/>
        <w:rPr>
          <w:rtl/>
        </w:rPr>
      </w:pPr>
      <w:r w:rsidRPr="00125AEA">
        <w:rPr>
          <w:rtl/>
        </w:rPr>
        <w:t>כך, אמונה המועצה הדתית בדרך כלל על התנהלותם התקינה של בתי קברות, מקוואות, בתי כנסת וכדומה. מטבע הדברים, מדובר בשירותים שניתנים לכלל ציבורי האזרחים היהודיים</w:t>
      </w:r>
      <w:r>
        <w:rPr>
          <w:rtl/>
        </w:rPr>
        <w:t xml:space="preserve"> ברשות המקומית הרלוונטית. לפיכך</w:t>
      </w:r>
      <w:r w:rsidRPr="00125AEA">
        <w:rPr>
          <w:rtl/>
        </w:rPr>
        <w:t xml:space="preserve"> ראוי כי ייצוגן של נשים במועצות הדתיות, המוסמכות לקבל החלטות הנוגעות לאורך חייהם של נשים וגברים כאחד, יובטח.</w:t>
      </w:r>
    </w:p>
    <w:p w14:paraId="6A779278" w14:textId="77777777" w:rsidR="00541AE5" w:rsidRPr="00DC5B11" w:rsidRDefault="00541AE5" w:rsidP="00541AE5">
      <w:pPr>
        <w:pStyle w:val="Hesber"/>
        <w:rPr>
          <w:rtl/>
        </w:rPr>
      </w:pPr>
      <w:r w:rsidRPr="00125AEA">
        <w:rPr>
          <w:rtl/>
        </w:rPr>
        <w:t>במהלך פורץ דרך, סללה הגב</w:t>
      </w:r>
      <w:r w:rsidRPr="00125AEA">
        <w:rPr>
          <w:rFonts w:hint="cs"/>
          <w:rtl/>
        </w:rPr>
        <w:t>רת</w:t>
      </w:r>
      <w:r w:rsidRPr="00125AEA">
        <w:rPr>
          <w:rtl/>
        </w:rPr>
        <w:t xml:space="preserve"> לאה שקדיאל בעקבות עתירתה </w:t>
      </w:r>
      <w:r>
        <w:rPr>
          <w:rFonts w:hint="cs"/>
          <w:rtl/>
        </w:rPr>
        <w:t>(</w:t>
      </w:r>
      <w:r w:rsidRPr="00125AEA">
        <w:rPr>
          <w:rtl/>
        </w:rPr>
        <w:t xml:space="preserve">בג"ץ 153/87 </w:t>
      </w:r>
      <w:r w:rsidRPr="00697940">
        <w:rPr>
          <w:b/>
          <w:bCs/>
          <w:rtl/>
        </w:rPr>
        <w:t>שקדיאל נ' השר לענייני דתות</w:t>
      </w:r>
      <w:r w:rsidRPr="00125AEA">
        <w:rPr>
          <w:rtl/>
        </w:rPr>
        <w:t>, מב (2) 221</w:t>
      </w:r>
      <w:r>
        <w:rPr>
          <w:rFonts w:hint="cs"/>
          <w:rtl/>
        </w:rPr>
        <w:t xml:space="preserve"> (1988)</w:t>
      </w:r>
      <w:r w:rsidRPr="00125AEA">
        <w:rPr>
          <w:rtl/>
        </w:rPr>
        <w:t xml:space="preserve">) את דרכן </w:t>
      </w:r>
      <w:r w:rsidRPr="00DC5B11">
        <w:rPr>
          <w:rtl/>
        </w:rPr>
        <w:t>של נשים לחברות במועצות הדתיות בישראל.</w:t>
      </w:r>
    </w:p>
    <w:p w14:paraId="083AE3A2" w14:textId="77777777" w:rsidR="00541AE5" w:rsidRDefault="00541AE5" w:rsidP="00541AE5">
      <w:pPr>
        <w:pStyle w:val="Hesber"/>
        <w:rPr>
          <w:rtl/>
        </w:rPr>
      </w:pPr>
      <w:r w:rsidRPr="00DC5B11">
        <w:rPr>
          <w:rFonts w:hint="cs"/>
          <w:rtl/>
        </w:rPr>
        <w:t>ו</w:t>
      </w:r>
      <w:r w:rsidRPr="00DC5B11">
        <w:rPr>
          <w:rtl/>
        </w:rPr>
        <w:t xml:space="preserve">אולם, ייצוגן במועצות מועט ואינו הולם. מנתוני עמותת "חדו"ש" לחופש דת ושוויון, עולה כי נשים מהוות </w:t>
      </w:r>
      <w:r w:rsidRPr="00DC5B11">
        <w:rPr>
          <w:rFonts w:hint="cs"/>
          <w:rtl/>
        </w:rPr>
        <w:t>17%</w:t>
      </w:r>
      <w:r w:rsidRPr="00DC5B11">
        <w:rPr>
          <w:rtl/>
        </w:rPr>
        <w:t xml:space="preserve"> בלבד מכלל חברי המועצות</w:t>
      </w:r>
      <w:r>
        <w:rPr>
          <w:rFonts w:hint="cs"/>
          <w:rtl/>
        </w:rPr>
        <w:t>; ברוב המועצות בהן מכהנות נשים יש נציגות של אישה אחת בלבד; ואף אישה לא מכהנת כיו"ר מועצה דתית</w:t>
      </w:r>
      <w:r w:rsidRPr="00125AEA">
        <w:rPr>
          <w:rtl/>
        </w:rPr>
        <w:t xml:space="preserve">. </w:t>
      </w:r>
    </w:p>
    <w:p w14:paraId="563B6FC1" w14:textId="77777777" w:rsidR="00541AE5" w:rsidRDefault="00541AE5" w:rsidP="00541AE5">
      <w:pPr>
        <w:pStyle w:val="Hesber"/>
        <w:rPr>
          <w:rtl/>
        </w:rPr>
      </w:pPr>
      <w:r>
        <w:rPr>
          <w:rtl/>
        </w:rPr>
        <w:lastRenderedPageBreak/>
        <w:t>מוצע</w:t>
      </w:r>
      <w:r w:rsidRPr="00125AEA">
        <w:rPr>
          <w:rtl/>
        </w:rPr>
        <w:t xml:space="preserve"> כי ייצוגן השווה של נשים יובטח במסגרת החוק ובהתאם לעקרונות השוויון של המשפט הישראלי. הבטחת ייצוגן </w:t>
      </w:r>
      <w:r>
        <w:rPr>
          <w:rFonts w:hint="cs"/>
          <w:rtl/>
        </w:rPr>
        <w:t xml:space="preserve">של נשים כאמור </w:t>
      </w:r>
      <w:r w:rsidRPr="00125AEA">
        <w:rPr>
          <w:rtl/>
        </w:rPr>
        <w:t>יסייע בקידום השתתפותן</w:t>
      </w:r>
      <w:r>
        <w:rPr>
          <w:rFonts w:hint="cs"/>
          <w:rtl/>
        </w:rPr>
        <w:t xml:space="preserve"> </w:t>
      </w:r>
      <w:r w:rsidRPr="00125AEA">
        <w:rPr>
          <w:rtl/>
        </w:rPr>
        <w:t>בקבלת החלטות ובקביעת מדיניות המשפיעה על הציבור היהודי בישראל בתחום שירותי</w:t>
      </w:r>
      <w:r w:rsidRPr="00125AEA">
        <w:rPr>
          <w:rFonts w:hint="cs"/>
          <w:rtl/>
        </w:rPr>
        <w:t xml:space="preserve"> הדת. </w:t>
      </w:r>
    </w:p>
    <w:p w14:paraId="413B17E7" w14:textId="77777777" w:rsidR="00541AE5" w:rsidRPr="00125AEA" w:rsidRDefault="00541AE5" w:rsidP="00541AE5">
      <w:pPr>
        <w:pStyle w:val="Hesber"/>
        <w:rPr>
          <w:rtl/>
        </w:rPr>
      </w:pPr>
      <w:r>
        <w:rPr>
          <w:rFonts w:hint="cs"/>
          <w:rtl/>
        </w:rPr>
        <w:t>לפיכך, מוצע לקבוע כי לפחות חצי מחברי המועצה הדתית תהיינה נשים. כמו כן, מוצע כי במקרה בו לא חודש הרכב המועצה בתום שנה מיום בחירת המועצה של הרשות המקומית,</w:t>
      </w:r>
      <w:r w:rsidRPr="00125AEA">
        <w:rPr>
          <w:rtl/>
        </w:rPr>
        <w:t xml:space="preserve"> </w:t>
      </w:r>
      <w:r>
        <w:rPr>
          <w:rFonts w:hint="cs"/>
          <w:rtl/>
        </w:rPr>
        <w:t xml:space="preserve">שני הממונים מטעם השר עד לחידוש הרכב המועצה, אשר ימלאו את התפקידים שאותם מוסמכת המועצה למלא יהיו גבר ואישה.  </w:t>
      </w:r>
    </w:p>
    <w:p w14:paraId="1310DC20" w14:textId="5369C9C6" w:rsidR="00541AE5" w:rsidRDefault="00541AE5" w:rsidP="00541AE5">
      <w:pPr>
        <w:pStyle w:val="Hesber"/>
        <w:rPr>
          <w:rtl/>
        </w:rPr>
      </w:pPr>
      <w:r>
        <w:rPr>
          <w:rFonts w:hint="cs"/>
          <w:rtl/>
        </w:rPr>
        <w:t xml:space="preserve">הצעות חוק דומות בעיקרן הונחו על שולחן הכנסת התשע-עשרה על ידי חברת הכנסת עליזה לביא וקבוצת חברי הכנסת </w:t>
      </w:r>
      <w:bookmarkStart w:id="9" w:name="LawNum"/>
      <w:r>
        <w:rPr>
          <w:rFonts w:hint="cs"/>
          <w:sz w:val="26"/>
          <w:rtl/>
        </w:rPr>
        <w:t>(</w:t>
      </w:r>
      <w:r w:rsidRPr="00BE56A1">
        <w:rPr>
          <w:sz w:val="26"/>
          <w:rtl/>
        </w:rPr>
        <w:t>פ/2406/19</w:t>
      </w:r>
      <w:bookmarkEnd w:id="9"/>
      <w:r>
        <w:rPr>
          <w:rFonts w:hint="cs"/>
          <w:rtl/>
        </w:rPr>
        <w:t>), על שולחן הכנסת העשרים על ידי חברת הכנסת עליזה לביא (פ/181/20), ועל שולחן הכנסת העשרים ושלוש על ידי חבר הכנסת עודד פורר וקבוצת חברי כנסת (פ/1774/23).</w:t>
      </w:r>
    </w:p>
    <w:p w14:paraId="6A8B58F5" w14:textId="44568ABC" w:rsidR="00F0029A" w:rsidRDefault="00F0029A" w:rsidP="00541AE5">
      <w:pPr>
        <w:pStyle w:val="Hesber"/>
        <w:ind w:firstLine="0"/>
        <w:rPr>
          <w:rtl/>
        </w:rPr>
      </w:pPr>
    </w:p>
    <w:p w14:paraId="7F6961CB" w14:textId="77777777" w:rsidR="00E13C27" w:rsidRDefault="00E13C27" w:rsidP="00F0029A">
      <w:pPr>
        <w:pStyle w:val="Hesber"/>
        <w:rPr>
          <w:rtl/>
        </w:rPr>
      </w:pPr>
    </w:p>
    <w:p w14:paraId="7EBEC702" w14:textId="77777777" w:rsidR="003375B0" w:rsidRDefault="002F3B7C">
      <w:pPr>
        <w:jc w:val="left"/>
      </w:pPr>
      <w:bookmarkStart w:id="10" w:name="selectedDocDateB"/>
      <w:bookmarkEnd w:id="10"/>
      <w:r>
        <w:rPr>
          <w:rFonts w:eastAsia="David" w:hint="cs"/>
          <w:sz w:val="26"/>
          <w:szCs w:val="26"/>
          <w:rtl/>
        </w:rPr>
        <w:t>-----------</w:t>
      </w:r>
      <w:r>
        <w:rPr>
          <w:rFonts w:eastAsia="David" w:hint="cs"/>
          <w:sz w:val="26"/>
          <w:szCs w:val="26"/>
          <w:rtl/>
        </w:rPr>
        <w:t>---------------------</w:t>
      </w:r>
    </w:p>
    <w:p w14:paraId="77E5971A" w14:textId="77777777" w:rsidR="003375B0" w:rsidRDefault="002F3B7C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3DE2B88E" w14:textId="77777777" w:rsidR="003375B0" w:rsidRDefault="002F3B7C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3DCF0005" w14:textId="77777777" w:rsidR="003375B0" w:rsidRDefault="002F3B7C">
      <w:pPr>
        <w:jc w:val="left"/>
      </w:pPr>
      <w:r>
        <w:rPr>
          <w:rFonts w:eastAsia="David" w:hint="cs"/>
          <w:sz w:val="26"/>
          <w:szCs w:val="26"/>
          <w:rtl/>
        </w:rPr>
        <w:t xml:space="preserve">כ"ט בשבט התשפ"ב (31.01.2022) </w:t>
      </w:r>
    </w:p>
    <w:p w14:paraId="30C13298" w14:textId="77777777" w:rsidR="003375B0" w:rsidRDefault="003375B0">
      <w:pPr>
        <w:spacing w:line="276" w:lineRule="auto"/>
        <w:jc w:val="left"/>
      </w:pPr>
    </w:p>
    <w:sectPr w:rsidR="003375B0" w:rsidSect="002F3B7C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09CB2BAE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2F3B7C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 w:rsidP="002F3B7C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3607AB2F" w14:textId="77777777" w:rsidR="002F3B7C" w:rsidRDefault="002F3B7C" w:rsidP="002F3B7C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התשל"א, עמ' 130.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45B1A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2F3B7C"/>
    <w:rsid w:val="003232A2"/>
    <w:rsid w:val="00325C14"/>
    <w:rsid w:val="003375B0"/>
    <w:rsid w:val="0036422C"/>
    <w:rsid w:val="003710F6"/>
    <w:rsid w:val="00386E88"/>
    <w:rsid w:val="00396585"/>
    <w:rsid w:val="003D6E38"/>
    <w:rsid w:val="003D74A0"/>
    <w:rsid w:val="004033D8"/>
    <w:rsid w:val="004073F0"/>
    <w:rsid w:val="00407F47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41AE5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C53C1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A7D0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0029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42CD799F-6FEA-4FAF-A27B-65B0A011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7C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3B7C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2F3B7C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2F3B7C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2F3B7C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F3B7C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2F3B7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F3B7C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2F3B7C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2F3B7C"/>
    <w:rPr>
      <w:sz w:val="36"/>
      <w:szCs w:val="52"/>
    </w:rPr>
  </w:style>
  <w:style w:type="paragraph" w:customStyle="1" w:styleId="Cover3-Haknesset">
    <w:name w:val="Cover 3-Haknesset"/>
    <w:basedOn w:val="Cover1-Reshumot"/>
    <w:rsid w:val="002F3B7C"/>
    <w:rPr>
      <w:b/>
      <w:bCs/>
      <w:spacing w:val="60"/>
    </w:rPr>
  </w:style>
  <w:style w:type="paragraph" w:customStyle="1" w:styleId="Cover4-Date">
    <w:name w:val="Cover 4-Date"/>
    <w:basedOn w:val="a"/>
    <w:rsid w:val="002F3B7C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2F3B7C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2F3B7C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2F3B7C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2F3B7C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2F3B7C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2F3B7C"/>
    <w:pPr>
      <w:outlineLvl w:val="2"/>
    </w:pPr>
  </w:style>
  <w:style w:type="paragraph" w:customStyle="1" w:styleId="TableBlock">
    <w:name w:val="Table Block"/>
    <w:basedOn w:val="TableText"/>
    <w:rsid w:val="002F3B7C"/>
    <w:pPr>
      <w:jc w:val="both"/>
    </w:pPr>
  </w:style>
  <w:style w:type="paragraph" w:customStyle="1" w:styleId="TableHead">
    <w:name w:val="Table Head"/>
    <w:basedOn w:val="TableText"/>
    <w:rsid w:val="002F3B7C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2F3B7C"/>
    <w:pPr>
      <w:outlineLvl w:val="9"/>
    </w:pPr>
  </w:style>
  <w:style w:type="paragraph" w:customStyle="1" w:styleId="Hesber">
    <w:name w:val="Hesber"/>
    <w:basedOn w:val="a"/>
    <w:rsid w:val="002F3B7C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2F3B7C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2F3B7C"/>
    <w:rPr>
      <w:vertAlign w:val="superscript"/>
    </w:rPr>
  </w:style>
  <w:style w:type="paragraph" w:customStyle="1" w:styleId="HesberHeading">
    <w:name w:val="Hesber Heading"/>
    <w:basedOn w:val="Hesber"/>
    <w:rsid w:val="002F3B7C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2F3B7C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2F3B7C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2F3B7C"/>
    <w:rPr>
      <w:vertAlign w:val="superscript"/>
    </w:rPr>
  </w:style>
  <w:style w:type="paragraph" w:customStyle="1" w:styleId="TableBlockOutdent">
    <w:name w:val="Table BlockOutdent"/>
    <w:basedOn w:val="TableBlock"/>
    <w:rsid w:val="002F3B7C"/>
    <w:pPr>
      <w:ind w:left="624" w:hanging="624"/>
    </w:pPr>
  </w:style>
  <w:style w:type="paragraph" w:styleId="a8">
    <w:name w:val="header"/>
    <w:basedOn w:val="a"/>
    <w:rsid w:val="002F3B7C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F3B7C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2F3B7C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2F3B7C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2F3B7C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locked/>
    <w:rsid w:val="00F0029A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2F3B7C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2F3B7C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2F3B7C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2F3B7C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2F3B7C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2F3B7C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2F3B7C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2F3B7C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2F3B7C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2F3B7C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2F3B7C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2F3B7C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2F3B7C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2F3B7C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2F3B7C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2F3B7C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2F3B7C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2F3B7C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2F3B7C"/>
    <w:rPr>
      <w:rFonts w:eastAsia="Times New Roman"/>
    </w:rPr>
  </w:style>
  <w:style w:type="paragraph" w:styleId="af">
    <w:name w:val="List Paragraph"/>
    <w:basedOn w:val="a"/>
    <w:uiPriority w:val="34"/>
    <w:qFormat/>
    <w:rsid w:val="002F3B7C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2F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2F3B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2F3B7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2F3B7C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2F3B7C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2F77-E8F2-4F83-86E7-36F145F55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8DEFAE-33BF-42AC-B915-A7CAE04E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394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9</cp:revision>
  <cp:lastPrinted>2013-07-04T08:25:00Z</cp:lastPrinted>
  <dcterms:created xsi:type="dcterms:W3CDTF">2015-04-20T09:58:00Z</dcterms:created>
  <dcterms:modified xsi:type="dcterms:W3CDTF">2022-01-26T06:17:00Z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2168388</vt:r8>
  </property>
</Properties>
</file>