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2168813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A" w14:textId="47D55E45" w:rsidR="00E13C27" w:rsidRPr="00CF1AA2" w:rsidRDefault="008F6665" w:rsidP="009F0505">
      <w:pPr>
        <w:pStyle w:val="David"/>
        <w:spacing w:line="360" w:lineRule="auto"/>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אלון טל</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פ/3131/24</w:t>
      </w:r>
      <w:bookmarkEnd w:id="6"/>
    </w:p>
    <w:p w14:paraId="7F6961AC" w14:textId="77777777" w:rsidR="00E13C27" w:rsidRDefault="00E13C27" w:rsidP="00E13C27">
      <w:pPr>
        <w:spacing w:before="0" w:line="360" w:lineRule="auto"/>
        <w:ind w:left="2880" w:firstLine="720"/>
        <w:rPr>
          <w:rFonts w:cs="David"/>
          <w:sz w:val="26"/>
          <w:szCs w:val="26"/>
          <w:rtl/>
        </w:rPr>
      </w:pPr>
    </w:p>
    <w:p w14:paraId="7F6961AE" w14:textId="2DEB5E9F" w:rsidR="00E13C27" w:rsidRDefault="00A443CF" w:rsidP="00927352">
      <w:pPr>
        <w:pStyle w:val="HeadHatzaotHok"/>
        <w:rPr>
          <w:rtl/>
        </w:rPr>
      </w:pPr>
      <w:bookmarkStart w:id="7" w:name="LGS_Subject"/>
      <w:r>
        <w:rPr>
          <w:rFonts w:hint="cs"/>
          <w:rtl/>
        </w:rPr>
        <w:t>הצעת חוק התכנון והבנייה (תיקון – שילוב נציגי משרד הבריאות וחובת תסקיר השפעה על הבריאות), התשפ"ב–2022</w:t>
      </w:r>
      <w:bookmarkEnd w:id="7"/>
    </w:p>
    <w:tbl>
      <w:tblPr>
        <w:bidiVisual/>
        <w:tblW w:w="0" w:type="dxa"/>
        <w:tblLayout w:type="fixed"/>
        <w:tblCellMar>
          <w:top w:w="57" w:type="dxa"/>
          <w:left w:w="0" w:type="dxa"/>
          <w:bottom w:w="57" w:type="dxa"/>
          <w:right w:w="0" w:type="dxa"/>
        </w:tblCellMar>
        <w:tblLook w:val="04A0" w:firstRow="1" w:lastRow="0" w:firstColumn="1" w:lastColumn="0" w:noHBand="0" w:noVBand="1"/>
      </w:tblPr>
      <w:tblGrid>
        <w:gridCol w:w="1870"/>
        <w:gridCol w:w="624"/>
        <w:gridCol w:w="624"/>
        <w:gridCol w:w="1247"/>
        <w:gridCol w:w="624"/>
        <w:gridCol w:w="4648"/>
      </w:tblGrid>
      <w:tr w:rsidR="00927352" w14:paraId="0B0A494A" w14:textId="77777777" w:rsidTr="007D0D31">
        <w:trPr>
          <w:cantSplit/>
        </w:trPr>
        <w:tc>
          <w:tcPr>
            <w:tcW w:w="1870" w:type="dxa"/>
            <w:hideMark/>
          </w:tcPr>
          <w:p w14:paraId="45948277" w14:textId="77777777" w:rsidR="00927352" w:rsidRDefault="00927352">
            <w:pPr>
              <w:pStyle w:val="TableSideHeading"/>
              <w:rPr>
                <w:rFonts w:ascii="David" w:hAnsi="David"/>
                <w:sz w:val="26"/>
              </w:rPr>
            </w:pPr>
            <w:r>
              <w:rPr>
                <w:rFonts w:ascii="David" w:hAnsi="David"/>
                <w:sz w:val="26"/>
                <w:rtl/>
              </w:rPr>
              <w:t>תיקון סעיף 1</w:t>
            </w:r>
          </w:p>
        </w:tc>
        <w:tc>
          <w:tcPr>
            <w:tcW w:w="624" w:type="dxa"/>
            <w:hideMark/>
          </w:tcPr>
          <w:p w14:paraId="6D5DE83E" w14:textId="77777777" w:rsidR="00927352" w:rsidRDefault="00927352">
            <w:pPr>
              <w:pStyle w:val="TableText"/>
              <w:jc w:val="both"/>
              <w:rPr>
                <w:rFonts w:ascii="David" w:hAnsi="David"/>
                <w:color w:val="auto"/>
                <w:sz w:val="26"/>
                <w:lang w:eastAsia="en-US"/>
              </w:rPr>
            </w:pPr>
            <w:r>
              <w:rPr>
                <w:rFonts w:ascii="David" w:hAnsi="David"/>
                <w:sz w:val="26"/>
                <w:rtl/>
              </w:rPr>
              <w:t>1.</w:t>
            </w:r>
          </w:p>
        </w:tc>
        <w:tc>
          <w:tcPr>
            <w:tcW w:w="7143" w:type="dxa"/>
            <w:gridSpan w:val="4"/>
            <w:hideMark/>
          </w:tcPr>
          <w:p w14:paraId="46A38AA2" w14:textId="08BDFFA8" w:rsidR="00927352" w:rsidRDefault="00927352" w:rsidP="009F0505">
            <w:pPr>
              <w:pStyle w:val="TableBlock"/>
              <w:rPr>
                <w:rFonts w:ascii="David" w:hAnsi="David"/>
                <w:sz w:val="26"/>
                <w:rtl/>
              </w:rPr>
            </w:pPr>
            <w:r>
              <w:rPr>
                <w:rFonts w:ascii="David" w:hAnsi="David"/>
                <w:sz w:val="26"/>
                <w:rtl/>
              </w:rPr>
              <w:t>בחוק התכנון והבנייה, התשכ"ה–1965</w:t>
            </w:r>
            <w:r>
              <w:rPr>
                <w:rStyle w:val="a6"/>
                <w:rFonts w:ascii="David" w:hAnsi="David"/>
                <w:sz w:val="26"/>
                <w:rtl/>
              </w:rPr>
              <w:footnoteReference w:id="2"/>
            </w:r>
            <w:bookmarkStart w:id="8" w:name="_GoBack"/>
            <w:bookmarkEnd w:id="8"/>
            <w:r>
              <w:rPr>
                <w:rFonts w:ascii="David" w:hAnsi="David"/>
                <w:sz w:val="26"/>
                <w:rtl/>
              </w:rPr>
              <w:t xml:space="preserve"> (להלן – החוק העיקרי), בסעיף 1, אחרי ההגדרה "תכנית בסמכות ועדה מחוזית" יבוא:</w:t>
            </w:r>
          </w:p>
        </w:tc>
      </w:tr>
      <w:tr w:rsidR="00927352" w14:paraId="527400AC" w14:textId="77777777" w:rsidTr="007D0D31">
        <w:trPr>
          <w:cantSplit/>
        </w:trPr>
        <w:tc>
          <w:tcPr>
            <w:tcW w:w="1870" w:type="dxa"/>
          </w:tcPr>
          <w:p w14:paraId="24AA4698" w14:textId="77777777" w:rsidR="00927352" w:rsidRDefault="00927352">
            <w:pPr>
              <w:pStyle w:val="TableSideHeading"/>
              <w:rPr>
                <w:rFonts w:ascii="David" w:hAnsi="David"/>
                <w:sz w:val="26"/>
                <w:rtl/>
              </w:rPr>
            </w:pPr>
          </w:p>
        </w:tc>
        <w:tc>
          <w:tcPr>
            <w:tcW w:w="624" w:type="dxa"/>
          </w:tcPr>
          <w:p w14:paraId="3362FD3A" w14:textId="77777777" w:rsidR="00927352" w:rsidRDefault="00927352">
            <w:pPr>
              <w:pStyle w:val="TableText"/>
              <w:jc w:val="both"/>
              <w:rPr>
                <w:rFonts w:ascii="David" w:hAnsi="David"/>
                <w:sz w:val="26"/>
                <w:rtl/>
              </w:rPr>
            </w:pPr>
          </w:p>
        </w:tc>
        <w:tc>
          <w:tcPr>
            <w:tcW w:w="7143" w:type="dxa"/>
            <w:gridSpan w:val="4"/>
            <w:hideMark/>
          </w:tcPr>
          <w:p w14:paraId="779962E6" w14:textId="77777777" w:rsidR="00927352" w:rsidRDefault="00927352" w:rsidP="007D0D31">
            <w:pPr>
              <w:pStyle w:val="TableBlockOutdent"/>
              <w:rPr>
                <w:rFonts w:ascii="David" w:hAnsi="David"/>
                <w:sz w:val="26"/>
              </w:rPr>
            </w:pPr>
            <w:r>
              <w:rPr>
                <w:rFonts w:ascii="David" w:hAnsi="David"/>
                <w:sz w:val="26"/>
                <w:rtl/>
              </w:rPr>
              <w:t>""תסקיר השפעה על הבריאות" – מסמך הסוקר את הקשר שבין תכנית מוצעת לבין הבריאות של תושבי המקום שבו היא מיועדת להתבצע, לרבות הערכות לגבי השפעות צפויות או חזויות של התכנית על הבריאות ופירוט האמצעים הדרושים למניעה או לצמצום השפעות שליליות, כפי שייקבע בתקנות;".</w:t>
            </w:r>
          </w:p>
        </w:tc>
      </w:tr>
      <w:tr w:rsidR="00927352" w14:paraId="09885C28" w14:textId="77777777" w:rsidTr="007D0D31">
        <w:trPr>
          <w:cantSplit/>
        </w:trPr>
        <w:tc>
          <w:tcPr>
            <w:tcW w:w="1870" w:type="dxa"/>
            <w:hideMark/>
          </w:tcPr>
          <w:p w14:paraId="474AAEB6" w14:textId="77777777" w:rsidR="00927352" w:rsidRDefault="00927352">
            <w:pPr>
              <w:pStyle w:val="TableSideHeading"/>
              <w:rPr>
                <w:rFonts w:ascii="David" w:hAnsi="David"/>
                <w:sz w:val="26"/>
                <w:rtl/>
              </w:rPr>
            </w:pPr>
            <w:r>
              <w:rPr>
                <w:rFonts w:ascii="David" w:hAnsi="David"/>
                <w:sz w:val="26"/>
                <w:rtl/>
              </w:rPr>
              <w:t>תיקון סעיף 2</w:t>
            </w:r>
          </w:p>
        </w:tc>
        <w:tc>
          <w:tcPr>
            <w:tcW w:w="624" w:type="dxa"/>
            <w:hideMark/>
          </w:tcPr>
          <w:p w14:paraId="171D48FF" w14:textId="77777777" w:rsidR="00927352" w:rsidRDefault="00927352">
            <w:pPr>
              <w:pStyle w:val="TableText"/>
              <w:jc w:val="both"/>
              <w:rPr>
                <w:rFonts w:ascii="David" w:hAnsi="David"/>
                <w:sz w:val="26"/>
                <w:rtl/>
              </w:rPr>
            </w:pPr>
            <w:r>
              <w:rPr>
                <w:rFonts w:ascii="David" w:hAnsi="David"/>
                <w:sz w:val="26"/>
                <w:rtl/>
              </w:rPr>
              <w:t xml:space="preserve">2. </w:t>
            </w:r>
          </w:p>
        </w:tc>
        <w:tc>
          <w:tcPr>
            <w:tcW w:w="7143" w:type="dxa"/>
            <w:gridSpan w:val="4"/>
            <w:hideMark/>
          </w:tcPr>
          <w:p w14:paraId="5986200C" w14:textId="77777777" w:rsidR="00927352" w:rsidRDefault="00927352" w:rsidP="007D0D31">
            <w:pPr>
              <w:pStyle w:val="TableBlock"/>
              <w:rPr>
                <w:rFonts w:ascii="David" w:hAnsi="David"/>
                <w:sz w:val="26"/>
                <w:rtl/>
              </w:rPr>
            </w:pPr>
            <w:r>
              <w:rPr>
                <w:rFonts w:ascii="David" w:hAnsi="David"/>
                <w:sz w:val="26"/>
                <w:rtl/>
              </w:rPr>
              <w:t>בסעיף 2(ב) לחוק העיקרי, אחרי פסקה (1) יבוא:</w:t>
            </w:r>
          </w:p>
        </w:tc>
      </w:tr>
      <w:tr w:rsidR="00927352" w14:paraId="7ACAA273" w14:textId="77777777" w:rsidTr="007D0D31">
        <w:trPr>
          <w:cantSplit/>
        </w:trPr>
        <w:tc>
          <w:tcPr>
            <w:tcW w:w="1870" w:type="dxa"/>
          </w:tcPr>
          <w:p w14:paraId="4F441E4E" w14:textId="77777777" w:rsidR="00927352" w:rsidRDefault="00927352">
            <w:pPr>
              <w:pStyle w:val="TableSideHeading"/>
              <w:rPr>
                <w:rFonts w:ascii="David" w:hAnsi="David"/>
                <w:sz w:val="26"/>
                <w:rtl/>
              </w:rPr>
            </w:pPr>
          </w:p>
        </w:tc>
        <w:tc>
          <w:tcPr>
            <w:tcW w:w="624" w:type="dxa"/>
          </w:tcPr>
          <w:p w14:paraId="034B83E3" w14:textId="77777777" w:rsidR="00927352" w:rsidRDefault="00927352">
            <w:pPr>
              <w:pStyle w:val="TableText"/>
              <w:jc w:val="both"/>
              <w:rPr>
                <w:rFonts w:ascii="David" w:hAnsi="David"/>
                <w:sz w:val="26"/>
                <w:rtl/>
              </w:rPr>
            </w:pPr>
          </w:p>
        </w:tc>
        <w:tc>
          <w:tcPr>
            <w:tcW w:w="7143" w:type="dxa"/>
            <w:gridSpan w:val="4"/>
            <w:hideMark/>
          </w:tcPr>
          <w:p w14:paraId="030F3E03" w14:textId="77777777" w:rsidR="00927352" w:rsidRDefault="00927352" w:rsidP="007D0D31">
            <w:pPr>
              <w:pStyle w:val="TableBlock"/>
              <w:rPr>
                <w:rFonts w:ascii="David" w:hAnsi="David"/>
                <w:sz w:val="26"/>
                <w:rtl/>
              </w:rPr>
            </w:pPr>
            <w:r>
              <w:rPr>
                <w:rFonts w:ascii="David" w:hAnsi="David"/>
                <w:sz w:val="26"/>
                <w:rtl/>
              </w:rPr>
              <w:t>"(1א)</w:t>
            </w:r>
            <w:r>
              <w:rPr>
                <w:rFonts w:ascii="David" w:hAnsi="David"/>
                <w:sz w:val="26"/>
                <w:rtl/>
              </w:rPr>
              <w:tab/>
              <w:t>נציג שר הבריאות שהוא רופא מומחה בבריאות הציבור."</w:t>
            </w:r>
          </w:p>
        </w:tc>
      </w:tr>
      <w:tr w:rsidR="00927352" w14:paraId="3336FE6D" w14:textId="77777777" w:rsidTr="007D0D31">
        <w:trPr>
          <w:cantSplit/>
        </w:trPr>
        <w:tc>
          <w:tcPr>
            <w:tcW w:w="1870" w:type="dxa"/>
            <w:hideMark/>
          </w:tcPr>
          <w:p w14:paraId="4AC710CE" w14:textId="77777777" w:rsidR="00927352" w:rsidRDefault="00927352">
            <w:pPr>
              <w:pStyle w:val="TableSideHeading"/>
              <w:rPr>
                <w:rFonts w:ascii="David" w:hAnsi="David"/>
                <w:sz w:val="26"/>
                <w:rtl/>
              </w:rPr>
            </w:pPr>
            <w:r>
              <w:rPr>
                <w:rFonts w:ascii="David" w:hAnsi="David"/>
                <w:sz w:val="26"/>
                <w:rtl/>
              </w:rPr>
              <w:t>תיקון סעיף 6א</w:t>
            </w:r>
          </w:p>
        </w:tc>
        <w:tc>
          <w:tcPr>
            <w:tcW w:w="624" w:type="dxa"/>
            <w:hideMark/>
          </w:tcPr>
          <w:p w14:paraId="51DC8AEC" w14:textId="77777777" w:rsidR="00927352" w:rsidRDefault="00927352">
            <w:pPr>
              <w:pStyle w:val="TableText"/>
              <w:jc w:val="both"/>
              <w:rPr>
                <w:rFonts w:ascii="David" w:hAnsi="David"/>
                <w:sz w:val="26"/>
                <w:rtl/>
              </w:rPr>
            </w:pPr>
            <w:r>
              <w:rPr>
                <w:rFonts w:ascii="David" w:hAnsi="David"/>
                <w:sz w:val="26"/>
                <w:rtl/>
              </w:rPr>
              <w:t>3.</w:t>
            </w:r>
          </w:p>
        </w:tc>
        <w:tc>
          <w:tcPr>
            <w:tcW w:w="7143" w:type="dxa"/>
            <w:gridSpan w:val="4"/>
            <w:hideMark/>
          </w:tcPr>
          <w:p w14:paraId="14CA62A5" w14:textId="77777777" w:rsidR="00927352" w:rsidRDefault="00927352" w:rsidP="007D0D31">
            <w:pPr>
              <w:pStyle w:val="TableBlock"/>
              <w:rPr>
                <w:rFonts w:ascii="David" w:hAnsi="David"/>
                <w:sz w:val="26"/>
                <w:rtl/>
              </w:rPr>
            </w:pPr>
            <w:r>
              <w:rPr>
                <w:rFonts w:ascii="David" w:hAnsi="David"/>
                <w:sz w:val="26"/>
                <w:rtl/>
              </w:rPr>
              <w:t>בסעיף 6א(א) לחוק העיקרי, אחרי פסקה (11א) יבוא:</w:t>
            </w:r>
          </w:p>
        </w:tc>
      </w:tr>
      <w:tr w:rsidR="00927352" w14:paraId="23B875C7" w14:textId="77777777" w:rsidTr="007D0D31">
        <w:trPr>
          <w:cantSplit/>
        </w:trPr>
        <w:tc>
          <w:tcPr>
            <w:tcW w:w="1870" w:type="dxa"/>
          </w:tcPr>
          <w:p w14:paraId="5FCB750F" w14:textId="77777777" w:rsidR="00927352" w:rsidRDefault="00927352">
            <w:pPr>
              <w:pStyle w:val="TableSideHeading"/>
              <w:rPr>
                <w:rFonts w:ascii="David" w:hAnsi="David"/>
                <w:sz w:val="26"/>
                <w:rtl/>
              </w:rPr>
            </w:pPr>
          </w:p>
        </w:tc>
        <w:tc>
          <w:tcPr>
            <w:tcW w:w="624" w:type="dxa"/>
          </w:tcPr>
          <w:p w14:paraId="1B56BC02" w14:textId="77777777" w:rsidR="00927352" w:rsidRDefault="00927352">
            <w:pPr>
              <w:pStyle w:val="TableText"/>
              <w:jc w:val="both"/>
              <w:rPr>
                <w:rFonts w:ascii="David" w:hAnsi="David"/>
                <w:sz w:val="26"/>
                <w:rtl/>
              </w:rPr>
            </w:pPr>
          </w:p>
        </w:tc>
        <w:tc>
          <w:tcPr>
            <w:tcW w:w="7143" w:type="dxa"/>
            <w:gridSpan w:val="4"/>
            <w:hideMark/>
          </w:tcPr>
          <w:p w14:paraId="6977605B" w14:textId="7EB0F051" w:rsidR="00927352" w:rsidRDefault="009F0505" w:rsidP="007D0D31">
            <w:pPr>
              <w:pStyle w:val="TableBlock"/>
              <w:rPr>
                <w:rFonts w:ascii="David" w:hAnsi="David"/>
                <w:sz w:val="26"/>
                <w:rtl/>
              </w:rPr>
            </w:pPr>
            <w:r>
              <w:rPr>
                <w:rFonts w:ascii="David" w:hAnsi="David"/>
                <w:sz w:val="26"/>
                <w:rtl/>
              </w:rPr>
              <w:t>"(11ב)</w:t>
            </w:r>
            <w:r>
              <w:rPr>
                <w:rFonts w:ascii="David" w:hAnsi="David"/>
                <w:sz w:val="26"/>
                <w:rtl/>
              </w:rPr>
              <w:tab/>
            </w:r>
            <w:r w:rsidR="00927352">
              <w:rPr>
                <w:rFonts w:ascii="David" w:hAnsi="David"/>
                <w:sz w:val="26"/>
                <w:rtl/>
              </w:rPr>
              <w:t>נציג שר הבריאות שהוא רופא מומחה בבריאות הציבור."</w:t>
            </w:r>
          </w:p>
        </w:tc>
      </w:tr>
      <w:tr w:rsidR="00927352" w14:paraId="2F92DEDA" w14:textId="77777777" w:rsidTr="007D0D31">
        <w:trPr>
          <w:cantSplit/>
        </w:trPr>
        <w:tc>
          <w:tcPr>
            <w:tcW w:w="1870" w:type="dxa"/>
            <w:hideMark/>
          </w:tcPr>
          <w:p w14:paraId="768B0A4A" w14:textId="77777777" w:rsidR="00927352" w:rsidRDefault="00927352">
            <w:pPr>
              <w:pStyle w:val="TableSideHeading"/>
              <w:rPr>
                <w:rFonts w:ascii="David" w:hAnsi="David"/>
                <w:sz w:val="26"/>
                <w:rtl/>
              </w:rPr>
            </w:pPr>
            <w:r>
              <w:rPr>
                <w:rFonts w:ascii="David" w:hAnsi="David"/>
                <w:sz w:val="26"/>
                <w:rtl/>
              </w:rPr>
              <w:t>תיקון סעיף 6ד</w:t>
            </w:r>
          </w:p>
        </w:tc>
        <w:tc>
          <w:tcPr>
            <w:tcW w:w="624" w:type="dxa"/>
            <w:hideMark/>
          </w:tcPr>
          <w:p w14:paraId="4F169F29" w14:textId="77777777" w:rsidR="00927352" w:rsidRDefault="00927352">
            <w:pPr>
              <w:pStyle w:val="TableText"/>
              <w:jc w:val="both"/>
              <w:rPr>
                <w:rFonts w:ascii="David" w:hAnsi="David"/>
                <w:sz w:val="26"/>
                <w:rtl/>
              </w:rPr>
            </w:pPr>
            <w:r>
              <w:rPr>
                <w:rFonts w:ascii="David" w:hAnsi="David"/>
                <w:sz w:val="26"/>
                <w:rtl/>
              </w:rPr>
              <w:t>4.</w:t>
            </w:r>
          </w:p>
        </w:tc>
        <w:tc>
          <w:tcPr>
            <w:tcW w:w="7143" w:type="dxa"/>
            <w:gridSpan w:val="4"/>
            <w:hideMark/>
          </w:tcPr>
          <w:p w14:paraId="31E4BF7D" w14:textId="77777777" w:rsidR="00927352" w:rsidRDefault="00927352" w:rsidP="007D0D31">
            <w:pPr>
              <w:pStyle w:val="TableBlock"/>
              <w:rPr>
                <w:rFonts w:ascii="David" w:hAnsi="David"/>
                <w:sz w:val="26"/>
                <w:rtl/>
              </w:rPr>
            </w:pPr>
            <w:r>
              <w:rPr>
                <w:rFonts w:ascii="David" w:hAnsi="David"/>
                <w:sz w:val="26"/>
                <w:rtl/>
              </w:rPr>
              <w:t>בסעיף 6ד לחוק העיקרי –</w:t>
            </w:r>
          </w:p>
        </w:tc>
      </w:tr>
      <w:tr w:rsidR="00927352" w14:paraId="7A3588DB" w14:textId="77777777" w:rsidTr="007D0D31">
        <w:trPr>
          <w:cantSplit/>
        </w:trPr>
        <w:tc>
          <w:tcPr>
            <w:tcW w:w="1870" w:type="dxa"/>
          </w:tcPr>
          <w:p w14:paraId="307C0CC4" w14:textId="77777777" w:rsidR="00927352" w:rsidRDefault="00927352">
            <w:pPr>
              <w:pStyle w:val="TableSideHeading"/>
              <w:keepLines w:val="0"/>
              <w:rPr>
                <w:rFonts w:ascii="David" w:hAnsi="David"/>
                <w:sz w:val="26"/>
                <w:rtl/>
              </w:rPr>
            </w:pPr>
          </w:p>
        </w:tc>
        <w:tc>
          <w:tcPr>
            <w:tcW w:w="624" w:type="dxa"/>
          </w:tcPr>
          <w:p w14:paraId="22027E31" w14:textId="77777777" w:rsidR="00927352" w:rsidRDefault="00927352">
            <w:pPr>
              <w:pStyle w:val="TableText"/>
              <w:jc w:val="both"/>
              <w:rPr>
                <w:rFonts w:ascii="David" w:hAnsi="David"/>
                <w:sz w:val="26"/>
                <w:rtl/>
              </w:rPr>
            </w:pPr>
          </w:p>
        </w:tc>
        <w:tc>
          <w:tcPr>
            <w:tcW w:w="7143" w:type="dxa"/>
            <w:gridSpan w:val="4"/>
            <w:hideMark/>
          </w:tcPr>
          <w:p w14:paraId="54AFE01D" w14:textId="77777777" w:rsidR="00927352" w:rsidRDefault="00927352" w:rsidP="007D0D31">
            <w:pPr>
              <w:pStyle w:val="TableBlock"/>
              <w:rPr>
                <w:rFonts w:ascii="David" w:hAnsi="David"/>
                <w:sz w:val="26"/>
                <w:rtl/>
              </w:rPr>
            </w:pPr>
            <w:r>
              <w:rPr>
                <w:rFonts w:ascii="David" w:hAnsi="David"/>
                <w:sz w:val="26"/>
                <w:rtl/>
              </w:rPr>
              <w:t>(1)</w:t>
            </w:r>
            <w:r>
              <w:rPr>
                <w:rFonts w:ascii="David" w:hAnsi="David"/>
                <w:sz w:val="26"/>
                <w:rtl/>
              </w:rPr>
              <w:tab/>
              <w:t>במקום "חמישה חברים" יבוא "שישה חברים";</w:t>
            </w:r>
          </w:p>
        </w:tc>
      </w:tr>
      <w:tr w:rsidR="00927352" w14:paraId="1473E0FA" w14:textId="77777777" w:rsidTr="007D0D31">
        <w:trPr>
          <w:cantSplit/>
        </w:trPr>
        <w:tc>
          <w:tcPr>
            <w:tcW w:w="1870" w:type="dxa"/>
          </w:tcPr>
          <w:p w14:paraId="72D02EF8" w14:textId="77777777" w:rsidR="00927352" w:rsidRDefault="00927352">
            <w:pPr>
              <w:pStyle w:val="TableSideHeading"/>
              <w:keepLines w:val="0"/>
              <w:rPr>
                <w:rFonts w:ascii="David" w:hAnsi="David"/>
                <w:sz w:val="26"/>
              </w:rPr>
            </w:pPr>
          </w:p>
        </w:tc>
        <w:tc>
          <w:tcPr>
            <w:tcW w:w="624" w:type="dxa"/>
          </w:tcPr>
          <w:p w14:paraId="37A6D236" w14:textId="77777777" w:rsidR="00927352" w:rsidRDefault="00927352">
            <w:pPr>
              <w:pStyle w:val="TableText"/>
              <w:jc w:val="both"/>
              <w:rPr>
                <w:rFonts w:ascii="David" w:hAnsi="David"/>
                <w:sz w:val="26"/>
                <w:rtl/>
              </w:rPr>
            </w:pPr>
          </w:p>
        </w:tc>
        <w:tc>
          <w:tcPr>
            <w:tcW w:w="7143" w:type="dxa"/>
            <w:gridSpan w:val="4"/>
            <w:hideMark/>
          </w:tcPr>
          <w:p w14:paraId="15DB2DAC" w14:textId="77777777" w:rsidR="00927352" w:rsidRDefault="00927352" w:rsidP="007D0D31">
            <w:pPr>
              <w:pStyle w:val="TableBlock"/>
              <w:rPr>
                <w:rFonts w:ascii="David" w:hAnsi="David"/>
                <w:sz w:val="26"/>
              </w:rPr>
            </w:pPr>
            <w:r>
              <w:rPr>
                <w:rFonts w:ascii="David" w:hAnsi="David"/>
                <w:sz w:val="26"/>
                <w:rtl/>
              </w:rPr>
              <w:t>(2)</w:t>
            </w:r>
            <w:r>
              <w:rPr>
                <w:rFonts w:ascii="David" w:hAnsi="David"/>
                <w:sz w:val="26"/>
                <w:rtl/>
              </w:rPr>
              <w:tab/>
              <w:t>אחרי פסקה (5) יבוא:</w:t>
            </w:r>
          </w:p>
        </w:tc>
      </w:tr>
      <w:tr w:rsidR="00927352" w14:paraId="1769CA41" w14:textId="77777777" w:rsidTr="007D0D31">
        <w:trPr>
          <w:cantSplit/>
        </w:trPr>
        <w:tc>
          <w:tcPr>
            <w:tcW w:w="1870" w:type="dxa"/>
          </w:tcPr>
          <w:p w14:paraId="3C8A80DB" w14:textId="77777777" w:rsidR="00927352" w:rsidRDefault="00927352">
            <w:pPr>
              <w:pStyle w:val="TableSideHeading"/>
              <w:rPr>
                <w:rFonts w:ascii="David" w:hAnsi="David"/>
                <w:sz w:val="26"/>
              </w:rPr>
            </w:pPr>
          </w:p>
        </w:tc>
        <w:tc>
          <w:tcPr>
            <w:tcW w:w="624" w:type="dxa"/>
          </w:tcPr>
          <w:p w14:paraId="287E2794" w14:textId="77777777" w:rsidR="00927352" w:rsidRDefault="00927352">
            <w:pPr>
              <w:pStyle w:val="TableText"/>
              <w:rPr>
                <w:rFonts w:ascii="David" w:hAnsi="David"/>
                <w:sz w:val="26"/>
                <w:rtl/>
              </w:rPr>
            </w:pPr>
          </w:p>
        </w:tc>
        <w:tc>
          <w:tcPr>
            <w:tcW w:w="624" w:type="dxa"/>
          </w:tcPr>
          <w:p w14:paraId="0AC12053" w14:textId="77777777" w:rsidR="00927352" w:rsidRDefault="00927352">
            <w:pPr>
              <w:pStyle w:val="TableText"/>
              <w:rPr>
                <w:rFonts w:ascii="David" w:hAnsi="David"/>
                <w:sz w:val="26"/>
                <w:rtl/>
              </w:rPr>
            </w:pPr>
          </w:p>
        </w:tc>
        <w:tc>
          <w:tcPr>
            <w:tcW w:w="6519" w:type="dxa"/>
            <w:gridSpan w:val="3"/>
            <w:hideMark/>
          </w:tcPr>
          <w:p w14:paraId="2E01D58A" w14:textId="77777777" w:rsidR="00927352" w:rsidRDefault="00927352" w:rsidP="007D0D31">
            <w:pPr>
              <w:pStyle w:val="TableBlock"/>
              <w:rPr>
                <w:rFonts w:ascii="David" w:hAnsi="David"/>
                <w:sz w:val="26"/>
              </w:rPr>
            </w:pPr>
            <w:r>
              <w:rPr>
                <w:rFonts w:ascii="David" w:hAnsi="David"/>
                <w:sz w:val="26"/>
                <w:rtl/>
              </w:rPr>
              <w:t>"(6)</w:t>
            </w:r>
            <w:r>
              <w:rPr>
                <w:rFonts w:ascii="David" w:hAnsi="David"/>
                <w:sz w:val="26"/>
                <w:rtl/>
              </w:rPr>
              <w:tab/>
              <w:t>נציג שר הבריאות שהוא רופא מומחה בבריאות הציבור."</w:t>
            </w:r>
          </w:p>
        </w:tc>
      </w:tr>
      <w:tr w:rsidR="00927352" w14:paraId="308EC3D9" w14:textId="77777777" w:rsidTr="007D0D31">
        <w:trPr>
          <w:cantSplit/>
        </w:trPr>
        <w:tc>
          <w:tcPr>
            <w:tcW w:w="1870" w:type="dxa"/>
            <w:hideMark/>
          </w:tcPr>
          <w:p w14:paraId="5080DF27" w14:textId="77777777" w:rsidR="00927352" w:rsidRDefault="00927352">
            <w:pPr>
              <w:pStyle w:val="TableSideHeading"/>
              <w:rPr>
                <w:rFonts w:ascii="David" w:hAnsi="David"/>
                <w:sz w:val="26"/>
              </w:rPr>
            </w:pPr>
            <w:r>
              <w:rPr>
                <w:rFonts w:ascii="David" w:hAnsi="David"/>
                <w:sz w:val="26"/>
                <w:rtl/>
              </w:rPr>
              <w:t>תיקון סעיף 7</w:t>
            </w:r>
          </w:p>
        </w:tc>
        <w:tc>
          <w:tcPr>
            <w:tcW w:w="624" w:type="dxa"/>
            <w:hideMark/>
          </w:tcPr>
          <w:p w14:paraId="7AFDB634" w14:textId="77777777" w:rsidR="00927352" w:rsidRDefault="00927352">
            <w:pPr>
              <w:pStyle w:val="TableText"/>
              <w:jc w:val="both"/>
              <w:rPr>
                <w:rFonts w:ascii="David" w:hAnsi="David"/>
                <w:sz w:val="26"/>
                <w:rtl/>
              </w:rPr>
            </w:pPr>
            <w:r>
              <w:rPr>
                <w:rFonts w:ascii="David" w:hAnsi="David"/>
                <w:sz w:val="26"/>
                <w:rtl/>
              </w:rPr>
              <w:t>5.</w:t>
            </w:r>
          </w:p>
        </w:tc>
        <w:tc>
          <w:tcPr>
            <w:tcW w:w="7143" w:type="dxa"/>
            <w:gridSpan w:val="4"/>
            <w:hideMark/>
          </w:tcPr>
          <w:p w14:paraId="7243DD54" w14:textId="77777777" w:rsidR="00927352" w:rsidRDefault="00927352" w:rsidP="007D0D31">
            <w:pPr>
              <w:pStyle w:val="TableBlock"/>
              <w:rPr>
                <w:rFonts w:ascii="David" w:hAnsi="David"/>
                <w:sz w:val="26"/>
              </w:rPr>
            </w:pPr>
            <w:r>
              <w:rPr>
                <w:rFonts w:ascii="David" w:hAnsi="David"/>
                <w:sz w:val="26"/>
                <w:rtl/>
              </w:rPr>
              <w:t>בסעיף 7(א) לחוק העיקרי, אחרי פסקה (9א) יבוא:</w:t>
            </w:r>
          </w:p>
        </w:tc>
      </w:tr>
      <w:tr w:rsidR="00927352" w14:paraId="35951698" w14:textId="77777777" w:rsidTr="007D0D31">
        <w:trPr>
          <w:cantSplit/>
        </w:trPr>
        <w:tc>
          <w:tcPr>
            <w:tcW w:w="1870" w:type="dxa"/>
          </w:tcPr>
          <w:p w14:paraId="6FFC17B2" w14:textId="77777777" w:rsidR="00927352" w:rsidRDefault="00927352">
            <w:pPr>
              <w:pStyle w:val="TableSideHeading"/>
              <w:rPr>
                <w:rFonts w:ascii="David" w:hAnsi="David"/>
                <w:sz w:val="26"/>
                <w:rtl/>
              </w:rPr>
            </w:pPr>
          </w:p>
        </w:tc>
        <w:tc>
          <w:tcPr>
            <w:tcW w:w="624" w:type="dxa"/>
          </w:tcPr>
          <w:p w14:paraId="35260CE3" w14:textId="77777777" w:rsidR="00927352" w:rsidRDefault="00927352">
            <w:pPr>
              <w:pStyle w:val="TableText"/>
              <w:jc w:val="both"/>
              <w:rPr>
                <w:rFonts w:ascii="David" w:hAnsi="David"/>
                <w:sz w:val="26"/>
                <w:rtl/>
              </w:rPr>
            </w:pPr>
          </w:p>
        </w:tc>
        <w:tc>
          <w:tcPr>
            <w:tcW w:w="7143" w:type="dxa"/>
            <w:gridSpan w:val="4"/>
            <w:hideMark/>
          </w:tcPr>
          <w:p w14:paraId="0FC938CF" w14:textId="77777777" w:rsidR="00927352" w:rsidRDefault="00927352" w:rsidP="007D0D31">
            <w:pPr>
              <w:pStyle w:val="TableBlock"/>
              <w:rPr>
                <w:rFonts w:ascii="David" w:hAnsi="David"/>
                <w:sz w:val="26"/>
                <w:rtl/>
              </w:rPr>
            </w:pPr>
            <w:r>
              <w:rPr>
                <w:rFonts w:ascii="David" w:hAnsi="David"/>
                <w:sz w:val="26"/>
                <w:rtl/>
              </w:rPr>
              <w:t>"(9ב)</w:t>
            </w:r>
            <w:r>
              <w:rPr>
                <w:rFonts w:ascii="David" w:hAnsi="David"/>
                <w:sz w:val="26"/>
                <w:rtl/>
              </w:rPr>
              <w:tab/>
              <w:t>נציג שר הבריאות שהוא רופא מומחה בבריאות הציבור."</w:t>
            </w:r>
          </w:p>
        </w:tc>
      </w:tr>
      <w:tr w:rsidR="00927352" w14:paraId="087EFD17" w14:textId="77777777" w:rsidTr="007D0D31">
        <w:trPr>
          <w:cantSplit/>
        </w:trPr>
        <w:tc>
          <w:tcPr>
            <w:tcW w:w="1870" w:type="dxa"/>
            <w:hideMark/>
          </w:tcPr>
          <w:p w14:paraId="3390A44E" w14:textId="77777777" w:rsidR="00927352" w:rsidRDefault="00927352">
            <w:pPr>
              <w:pStyle w:val="TableSideHeading"/>
              <w:rPr>
                <w:rFonts w:ascii="David" w:hAnsi="David"/>
                <w:sz w:val="26"/>
                <w:rtl/>
              </w:rPr>
            </w:pPr>
            <w:r>
              <w:rPr>
                <w:rFonts w:ascii="David" w:hAnsi="David"/>
                <w:sz w:val="26"/>
                <w:rtl/>
              </w:rPr>
              <w:t>הוספת סעיף 83ב1</w:t>
            </w:r>
          </w:p>
        </w:tc>
        <w:tc>
          <w:tcPr>
            <w:tcW w:w="624" w:type="dxa"/>
            <w:hideMark/>
          </w:tcPr>
          <w:p w14:paraId="4EFC0B11" w14:textId="77777777" w:rsidR="00927352" w:rsidRDefault="00927352">
            <w:pPr>
              <w:pStyle w:val="TableText"/>
              <w:jc w:val="both"/>
              <w:rPr>
                <w:rFonts w:ascii="David" w:hAnsi="David"/>
                <w:sz w:val="26"/>
                <w:rtl/>
              </w:rPr>
            </w:pPr>
            <w:r>
              <w:rPr>
                <w:rFonts w:ascii="David" w:hAnsi="David"/>
                <w:sz w:val="26"/>
                <w:rtl/>
              </w:rPr>
              <w:t>6.</w:t>
            </w:r>
          </w:p>
        </w:tc>
        <w:tc>
          <w:tcPr>
            <w:tcW w:w="7143" w:type="dxa"/>
            <w:gridSpan w:val="4"/>
            <w:hideMark/>
          </w:tcPr>
          <w:p w14:paraId="36417700" w14:textId="77777777" w:rsidR="00927352" w:rsidRDefault="00927352" w:rsidP="007D0D31">
            <w:pPr>
              <w:pStyle w:val="TableBlock"/>
              <w:rPr>
                <w:rFonts w:ascii="David" w:hAnsi="David"/>
                <w:sz w:val="26"/>
                <w:rtl/>
              </w:rPr>
            </w:pPr>
            <w:r>
              <w:rPr>
                <w:rFonts w:ascii="David" w:hAnsi="David"/>
                <w:sz w:val="26"/>
                <w:rtl/>
              </w:rPr>
              <w:t xml:space="preserve">אחרי סעיף 83ב לחוק העיקרי יבוא: </w:t>
            </w:r>
          </w:p>
        </w:tc>
      </w:tr>
      <w:tr w:rsidR="00927352" w14:paraId="00319006" w14:textId="77777777" w:rsidTr="007D0D31">
        <w:trPr>
          <w:cantSplit/>
        </w:trPr>
        <w:tc>
          <w:tcPr>
            <w:tcW w:w="1870" w:type="dxa"/>
          </w:tcPr>
          <w:p w14:paraId="0AC016C7" w14:textId="77777777" w:rsidR="00927352" w:rsidRDefault="00927352">
            <w:pPr>
              <w:pStyle w:val="TableSideHeading"/>
              <w:rPr>
                <w:rFonts w:ascii="David" w:hAnsi="David"/>
                <w:sz w:val="26"/>
                <w:rtl/>
              </w:rPr>
            </w:pPr>
          </w:p>
        </w:tc>
        <w:tc>
          <w:tcPr>
            <w:tcW w:w="624" w:type="dxa"/>
          </w:tcPr>
          <w:p w14:paraId="06368559" w14:textId="77777777" w:rsidR="00927352" w:rsidRDefault="00927352">
            <w:pPr>
              <w:pStyle w:val="TableText"/>
              <w:jc w:val="both"/>
              <w:rPr>
                <w:rFonts w:ascii="David" w:hAnsi="David"/>
                <w:sz w:val="26"/>
                <w:rtl/>
              </w:rPr>
            </w:pPr>
          </w:p>
        </w:tc>
        <w:tc>
          <w:tcPr>
            <w:tcW w:w="1871" w:type="dxa"/>
            <w:gridSpan w:val="2"/>
            <w:hideMark/>
          </w:tcPr>
          <w:p w14:paraId="74A64B85" w14:textId="77777777" w:rsidR="00927352" w:rsidRDefault="00927352">
            <w:pPr>
              <w:pStyle w:val="TableInnerSideHeading"/>
              <w:rPr>
                <w:rFonts w:ascii="David" w:hAnsi="David"/>
                <w:sz w:val="26"/>
              </w:rPr>
            </w:pPr>
            <w:r>
              <w:rPr>
                <w:rFonts w:ascii="David" w:hAnsi="David"/>
                <w:sz w:val="26"/>
                <w:rtl/>
              </w:rPr>
              <w:t>"חובת תסקירי השפעה על הבריאות</w:t>
            </w:r>
          </w:p>
        </w:tc>
        <w:tc>
          <w:tcPr>
            <w:tcW w:w="624" w:type="dxa"/>
            <w:hideMark/>
          </w:tcPr>
          <w:p w14:paraId="2AAC2341" w14:textId="77777777" w:rsidR="00927352" w:rsidRDefault="00927352">
            <w:pPr>
              <w:pStyle w:val="TableText"/>
              <w:jc w:val="both"/>
              <w:rPr>
                <w:rFonts w:ascii="David" w:hAnsi="David"/>
                <w:sz w:val="26"/>
              </w:rPr>
            </w:pPr>
            <w:r>
              <w:rPr>
                <w:rFonts w:ascii="David" w:hAnsi="David"/>
                <w:sz w:val="26"/>
                <w:rtl/>
              </w:rPr>
              <w:t>83ב1.</w:t>
            </w:r>
          </w:p>
        </w:tc>
        <w:tc>
          <w:tcPr>
            <w:tcW w:w="4648" w:type="dxa"/>
            <w:hideMark/>
          </w:tcPr>
          <w:p w14:paraId="28D14ADC" w14:textId="77777777" w:rsidR="00927352" w:rsidRDefault="00927352" w:rsidP="007D0D31">
            <w:pPr>
              <w:pStyle w:val="TableBlock"/>
              <w:rPr>
                <w:rFonts w:ascii="David" w:hAnsi="David"/>
                <w:sz w:val="26"/>
                <w:rtl/>
              </w:rPr>
            </w:pPr>
            <w:r>
              <w:rPr>
                <w:rFonts w:ascii="David" w:hAnsi="David"/>
                <w:sz w:val="26"/>
                <w:rtl/>
              </w:rPr>
              <w:t>(א)</w:t>
            </w:r>
            <w:r>
              <w:rPr>
                <w:rFonts w:ascii="David" w:hAnsi="David"/>
                <w:sz w:val="26"/>
                <w:rtl/>
              </w:rPr>
              <w:tab/>
              <w:t>שר הבריאות יקבע בתקנות סוגי תכניות שלגביהן נדרש תסקיר השפעה על הבריאות מטעם משרד הבריאות.</w:t>
            </w:r>
          </w:p>
        </w:tc>
      </w:tr>
      <w:tr w:rsidR="00927352" w14:paraId="3BFDD6B1" w14:textId="77777777" w:rsidTr="007D0D31">
        <w:trPr>
          <w:cantSplit/>
        </w:trPr>
        <w:tc>
          <w:tcPr>
            <w:tcW w:w="1870" w:type="dxa"/>
          </w:tcPr>
          <w:p w14:paraId="086EEF34" w14:textId="77777777" w:rsidR="00927352" w:rsidRDefault="00927352">
            <w:pPr>
              <w:pStyle w:val="TableSideHeading"/>
              <w:keepLines w:val="0"/>
              <w:rPr>
                <w:rFonts w:ascii="David" w:hAnsi="David"/>
                <w:sz w:val="26"/>
              </w:rPr>
            </w:pPr>
          </w:p>
        </w:tc>
        <w:tc>
          <w:tcPr>
            <w:tcW w:w="624" w:type="dxa"/>
          </w:tcPr>
          <w:p w14:paraId="22DB5A23" w14:textId="77777777" w:rsidR="00927352" w:rsidRDefault="00927352">
            <w:pPr>
              <w:pStyle w:val="TableText"/>
              <w:jc w:val="both"/>
              <w:rPr>
                <w:rFonts w:ascii="David" w:hAnsi="David"/>
                <w:sz w:val="26"/>
                <w:rtl/>
              </w:rPr>
            </w:pPr>
          </w:p>
        </w:tc>
        <w:tc>
          <w:tcPr>
            <w:tcW w:w="1871" w:type="dxa"/>
            <w:gridSpan w:val="2"/>
          </w:tcPr>
          <w:p w14:paraId="541DB411" w14:textId="77777777" w:rsidR="00927352" w:rsidRDefault="00927352">
            <w:pPr>
              <w:pStyle w:val="TableInnerSideHeading"/>
              <w:rPr>
                <w:rFonts w:ascii="David" w:hAnsi="David"/>
                <w:sz w:val="26"/>
              </w:rPr>
            </w:pPr>
          </w:p>
        </w:tc>
        <w:tc>
          <w:tcPr>
            <w:tcW w:w="624" w:type="dxa"/>
          </w:tcPr>
          <w:p w14:paraId="1291C616" w14:textId="77777777" w:rsidR="00927352" w:rsidRDefault="00927352">
            <w:pPr>
              <w:pStyle w:val="TableText"/>
              <w:jc w:val="both"/>
              <w:rPr>
                <w:rFonts w:ascii="David" w:hAnsi="David"/>
                <w:sz w:val="26"/>
              </w:rPr>
            </w:pPr>
          </w:p>
        </w:tc>
        <w:tc>
          <w:tcPr>
            <w:tcW w:w="4648" w:type="dxa"/>
            <w:hideMark/>
          </w:tcPr>
          <w:p w14:paraId="7D68E3F3" w14:textId="77777777" w:rsidR="00927352" w:rsidRDefault="00927352" w:rsidP="007D0D31">
            <w:pPr>
              <w:pStyle w:val="TableBlock"/>
              <w:rPr>
                <w:rFonts w:ascii="David" w:hAnsi="David"/>
                <w:sz w:val="26"/>
              </w:rPr>
            </w:pPr>
            <w:r>
              <w:rPr>
                <w:rFonts w:ascii="David" w:hAnsi="David"/>
                <w:sz w:val="26"/>
                <w:rtl/>
              </w:rPr>
              <w:t>(ב)</w:t>
            </w:r>
            <w:r>
              <w:rPr>
                <w:rFonts w:ascii="David" w:hAnsi="David"/>
                <w:sz w:val="26"/>
                <w:rtl/>
              </w:rPr>
              <w:tab/>
              <w:t xml:space="preserve">תסקיר לפי סעיף קטן (א) יוזמן ויפוקח על ידי משרד הבריאות. </w:t>
            </w:r>
          </w:p>
        </w:tc>
      </w:tr>
      <w:tr w:rsidR="00927352" w14:paraId="72B993CF" w14:textId="77777777" w:rsidTr="007D0D31">
        <w:trPr>
          <w:cantSplit/>
        </w:trPr>
        <w:tc>
          <w:tcPr>
            <w:tcW w:w="1870" w:type="dxa"/>
          </w:tcPr>
          <w:p w14:paraId="1422100E" w14:textId="77777777" w:rsidR="00927352" w:rsidRDefault="00927352">
            <w:pPr>
              <w:pStyle w:val="TableSideHeading"/>
              <w:keepLines w:val="0"/>
              <w:rPr>
                <w:rFonts w:ascii="David" w:hAnsi="David"/>
                <w:sz w:val="26"/>
                <w:rtl/>
              </w:rPr>
            </w:pPr>
          </w:p>
        </w:tc>
        <w:tc>
          <w:tcPr>
            <w:tcW w:w="624" w:type="dxa"/>
          </w:tcPr>
          <w:p w14:paraId="79CEB50F" w14:textId="77777777" w:rsidR="00927352" w:rsidRDefault="00927352">
            <w:pPr>
              <w:pStyle w:val="TableText"/>
              <w:jc w:val="both"/>
              <w:rPr>
                <w:rFonts w:ascii="David" w:hAnsi="David"/>
                <w:sz w:val="26"/>
                <w:rtl/>
              </w:rPr>
            </w:pPr>
          </w:p>
        </w:tc>
        <w:tc>
          <w:tcPr>
            <w:tcW w:w="1871" w:type="dxa"/>
            <w:gridSpan w:val="2"/>
          </w:tcPr>
          <w:p w14:paraId="0A0507B3" w14:textId="77777777" w:rsidR="00927352" w:rsidRDefault="00927352">
            <w:pPr>
              <w:pStyle w:val="TableInnerSideHeading"/>
              <w:rPr>
                <w:rFonts w:ascii="David" w:hAnsi="David"/>
                <w:sz w:val="26"/>
                <w:rtl/>
              </w:rPr>
            </w:pPr>
          </w:p>
        </w:tc>
        <w:tc>
          <w:tcPr>
            <w:tcW w:w="624" w:type="dxa"/>
          </w:tcPr>
          <w:p w14:paraId="7E050C41" w14:textId="77777777" w:rsidR="00927352" w:rsidRDefault="00927352">
            <w:pPr>
              <w:pStyle w:val="TableText"/>
              <w:jc w:val="both"/>
              <w:rPr>
                <w:rFonts w:ascii="David" w:hAnsi="David"/>
                <w:sz w:val="26"/>
              </w:rPr>
            </w:pPr>
          </w:p>
        </w:tc>
        <w:tc>
          <w:tcPr>
            <w:tcW w:w="4648" w:type="dxa"/>
            <w:hideMark/>
          </w:tcPr>
          <w:p w14:paraId="22B41C97" w14:textId="77777777" w:rsidR="00927352" w:rsidRDefault="00927352" w:rsidP="007D0D31">
            <w:pPr>
              <w:pStyle w:val="TableBlock"/>
              <w:rPr>
                <w:rFonts w:ascii="David" w:hAnsi="David"/>
                <w:sz w:val="26"/>
              </w:rPr>
            </w:pPr>
            <w:r>
              <w:rPr>
                <w:rFonts w:ascii="David" w:hAnsi="David"/>
                <w:sz w:val="26"/>
                <w:rtl/>
              </w:rPr>
              <w:t>(ג)</w:t>
            </w:r>
            <w:r>
              <w:rPr>
                <w:rFonts w:ascii="David" w:hAnsi="David"/>
                <w:sz w:val="26"/>
                <w:rtl/>
              </w:rPr>
              <w:tab/>
              <w:t>תכנית שנדרש לגביה תסקיר כאמור בסעיף קטן (א), לא תאושר, אלא לאחר הטמעת הערות והנחיות התסקיר בתכנית."</w:t>
            </w:r>
          </w:p>
        </w:tc>
      </w:tr>
      <w:tr w:rsidR="00927352" w14:paraId="316FD6D0" w14:textId="77777777" w:rsidTr="007D0D31">
        <w:trPr>
          <w:cantSplit/>
        </w:trPr>
        <w:tc>
          <w:tcPr>
            <w:tcW w:w="1870" w:type="dxa"/>
            <w:hideMark/>
          </w:tcPr>
          <w:p w14:paraId="54686CED" w14:textId="77777777" w:rsidR="00927352" w:rsidRDefault="00927352">
            <w:pPr>
              <w:pStyle w:val="TableSideHeading"/>
              <w:keepLines w:val="0"/>
              <w:rPr>
                <w:rFonts w:ascii="David" w:hAnsi="David"/>
                <w:sz w:val="26"/>
                <w:rtl/>
              </w:rPr>
            </w:pPr>
            <w:r>
              <w:rPr>
                <w:rFonts w:ascii="David" w:hAnsi="David"/>
                <w:sz w:val="26"/>
                <w:rtl/>
              </w:rPr>
              <w:t>תקנות ראשונות</w:t>
            </w:r>
          </w:p>
        </w:tc>
        <w:tc>
          <w:tcPr>
            <w:tcW w:w="624" w:type="dxa"/>
            <w:hideMark/>
          </w:tcPr>
          <w:p w14:paraId="45279C56" w14:textId="77777777" w:rsidR="00927352" w:rsidRDefault="00927352">
            <w:pPr>
              <w:pStyle w:val="TableText"/>
              <w:jc w:val="both"/>
              <w:rPr>
                <w:rFonts w:ascii="David" w:hAnsi="David"/>
                <w:sz w:val="26"/>
                <w:rtl/>
              </w:rPr>
            </w:pPr>
            <w:r>
              <w:rPr>
                <w:rFonts w:ascii="David" w:hAnsi="David"/>
                <w:sz w:val="26"/>
                <w:rtl/>
              </w:rPr>
              <w:t>7.</w:t>
            </w:r>
          </w:p>
        </w:tc>
        <w:tc>
          <w:tcPr>
            <w:tcW w:w="7143" w:type="dxa"/>
            <w:gridSpan w:val="4"/>
            <w:hideMark/>
          </w:tcPr>
          <w:p w14:paraId="1BA559B9" w14:textId="77777777" w:rsidR="00927352" w:rsidRDefault="00927352" w:rsidP="007D0D31">
            <w:pPr>
              <w:pStyle w:val="TableBlock"/>
              <w:rPr>
                <w:rFonts w:ascii="David" w:hAnsi="David"/>
                <w:sz w:val="26"/>
                <w:rtl/>
              </w:rPr>
            </w:pPr>
            <w:r>
              <w:rPr>
                <w:rFonts w:ascii="David" w:hAnsi="David"/>
                <w:sz w:val="26"/>
                <w:rtl/>
              </w:rPr>
              <w:t xml:space="preserve">תקנות ראשונות לפי סעיף 83ב1 לחוק העיקרי, כנוסחו בסעיף 6 לחוק זה, יובאו לאישור ועדת הפנים והגנת הסביבה של הכנסת בתוך שישה חודשים מיום פרסומו של חוק זה. </w:t>
            </w:r>
          </w:p>
        </w:tc>
      </w:tr>
    </w:tbl>
    <w:p w14:paraId="0EB37772" w14:textId="77777777" w:rsidR="00927352" w:rsidRPr="00927352" w:rsidRDefault="00927352" w:rsidP="00927352">
      <w:pPr>
        <w:pStyle w:val="HeadDivreiHesber"/>
        <w:rPr>
          <w:rtl/>
        </w:rPr>
      </w:pPr>
      <w:r w:rsidRPr="00927352">
        <w:rPr>
          <w:rtl/>
        </w:rPr>
        <w:t>דברי הסבר</w:t>
      </w:r>
    </w:p>
    <w:p w14:paraId="15FA1533" w14:textId="77777777" w:rsidR="00927352" w:rsidRDefault="00927352" w:rsidP="009F0505">
      <w:pPr>
        <w:pStyle w:val="Hesber"/>
        <w:spacing w:line="276" w:lineRule="auto"/>
        <w:rPr>
          <w:rtl/>
        </w:rPr>
      </w:pPr>
      <w:r>
        <w:rPr>
          <w:rtl/>
        </w:rPr>
        <w:t xml:space="preserve">בשנים האחרונות אנו עדים לחשיבות הגדולה של שיקולי בריאות בהליכי התכנון והבניה והשפעתם על בריאות הציבור. עם זאת, הליכי התכנון והבנייה בישראל אינם כוללים שיקולי בריאות באופן מקיף ומערכתי בתהליכי קבלת ההחלטות ואישור התוכניות השונות. </w:t>
      </w:r>
    </w:p>
    <w:p w14:paraId="360C15A0" w14:textId="77777777" w:rsidR="00927352" w:rsidRDefault="00927352" w:rsidP="009F0505">
      <w:pPr>
        <w:pStyle w:val="Hesber"/>
        <w:spacing w:line="276" w:lineRule="auto"/>
        <w:rPr>
          <w:rtl/>
        </w:rPr>
      </w:pPr>
      <w:r>
        <w:rPr>
          <w:rtl/>
        </w:rPr>
        <w:t xml:space="preserve">לאחרונה, אנו עדים לתוכניות בנייה המבקשות להרחיב את המפעלים המזהמים באזור מפרץ חיפה. כידוע, נתוני משרד הבריאות ומחקרים שונים מורים על תחלואה עודפת באזור המפרץ. נדרש היה במקרה הזה לבצע סקר בריאות מקיף שמסקנותיו יוטמעו בתוכנית. דוגמא נוספת לעניין היא תוכנית הכרייה בשדה בריר. התוכנית נמצאת בשלבי אישור בוועדות התכנון חרף חוות דעת של מומחה בינלאומי שהוזמנה על ידי משרד הבריאות המעידה כי אישור הכרייה בשדה בריר יגרום לתחלואה ואף למוות באזור. מקרים אלה הם רק דוגמאות לצורך במתן משקל לסקרים בריאותיים והטמעתם בתוכניות השונות. </w:t>
      </w:r>
    </w:p>
    <w:p w14:paraId="08A67BA3" w14:textId="77777777" w:rsidR="00927352" w:rsidRDefault="00927352" w:rsidP="009F0505">
      <w:pPr>
        <w:pStyle w:val="Hesber"/>
        <w:spacing w:line="276" w:lineRule="auto"/>
        <w:rPr>
          <w:rtl/>
        </w:rPr>
      </w:pPr>
      <w:r>
        <w:rPr>
          <w:rtl/>
        </w:rPr>
        <w:t>התיקון המוצע מבקש לחזק את משקל השיקול הבריאותי תוך שמירת האפשרות לאיזון עם שיקולים תכנוניים נוספים. להצעת החוק שני אפיקים מקבילים: (1) שילוב מומחים בבריאות הציבור מטעם משרד הבריאות במוסדות התכנון הרלוונטיים; (2) מתן סמכות לשר הבריאות לקבוע בתקנות מקרים בהם נדרש תסקיר השפעה על הבריאות טרם אישור תוכנית. במקרים אלה התסקיר יוזמן ויפוקח על ידי משרד הבריאות על מנת למנוע מקרים של ניגוד עניינים בביצוע התסקיר.</w:t>
      </w:r>
    </w:p>
    <w:p w14:paraId="75E1CDE4" w14:textId="77777777" w:rsidR="00927352" w:rsidRDefault="00927352" w:rsidP="009F0505">
      <w:pPr>
        <w:pStyle w:val="Hesber"/>
        <w:spacing w:line="276" w:lineRule="auto"/>
        <w:rPr>
          <w:rtl/>
        </w:rPr>
      </w:pPr>
      <w:r>
        <w:rPr>
          <w:rtl/>
        </w:rPr>
        <w:t>הצעות חוק זהות הונחו על שולחן הכנסת העשרים על ידי חברת הכנסת יעל גרמן וקבוצת חברי הכנסת (פ/2856/20; הוסרה מסדר היום ביום כ"ג בסיוון התשע"ח (6 ביוני 2018)), ועל ידי חברת הכנסת יעל גרמן (פ/5487/20), על שולחן הכנסת העשרים ואחת ועל שולחן הכנסת העשרים ושתיים על ידי חברת הכנסת יעל גרמן (פ/222/21;פ/30/22).</w:t>
      </w:r>
    </w:p>
    <w:p w14:paraId="7F6961CB" w14:textId="77777777" w:rsidR="00E13C27" w:rsidRDefault="00E13C27" w:rsidP="00E13C27">
      <w:pPr>
        <w:pStyle w:val="Hesber"/>
        <w:rPr>
          <w:rtl/>
        </w:rPr>
      </w:pPr>
    </w:p>
    <w:p w14:paraId="2E205DCF" w14:textId="77777777" w:rsidR="00D80A7E" w:rsidRDefault="009F0505">
      <w:pPr>
        <w:spacing w:before="0" w:line="360" w:lineRule="auto"/>
        <w:jc w:val="left"/>
      </w:pPr>
      <w:bookmarkStart w:id="9" w:name="selectedDocDateB"/>
      <w:bookmarkEnd w:id="9"/>
      <w:r>
        <w:rPr>
          <w:rFonts w:ascii="David" w:eastAsia="David" w:hAnsi="David" w:cs="David" w:hint="cs"/>
          <w:sz w:val="26"/>
          <w:szCs w:val="26"/>
          <w:rtl/>
        </w:rPr>
        <w:t>--------------------------------</w:t>
      </w:r>
    </w:p>
    <w:p w14:paraId="2ABBA75E" w14:textId="77777777" w:rsidR="00D80A7E" w:rsidRDefault="009F0505">
      <w:pPr>
        <w:spacing w:before="0" w:line="360" w:lineRule="auto"/>
        <w:jc w:val="left"/>
      </w:pPr>
      <w:r>
        <w:rPr>
          <w:rFonts w:ascii="David" w:eastAsia="David" w:hAnsi="David" w:cs="David" w:hint="cs"/>
          <w:sz w:val="26"/>
          <w:szCs w:val="26"/>
          <w:rtl/>
        </w:rPr>
        <w:t>הוגשה ליו"ר הכנסת והסגנים</w:t>
      </w:r>
    </w:p>
    <w:p w14:paraId="7C107A77" w14:textId="77777777" w:rsidR="00D80A7E" w:rsidRDefault="009F0505">
      <w:pPr>
        <w:spacing w:before="0" w:line="360" w:lineRule="auto"/>
        <w:jc w:val="left"/>
      </w:pPr>
      <w:r>
        <w:rPr>
          <w:rFonts w:ascii="David" w:eastAsia="David" w:hAnsi="David" w:cs="David" w:hint="cs"/>
          <w:sz w:val="26"/>
          <w:szCs w:val="26"/>
          <w:rtl/>
        </w:rPr>
        <w:t xml:space="preserve">והונחה על שולחן </w:t>
      </w:r>
      <w:r>
        <w:rPr>
          <w:rFonts w:ascii="David" w:eastAsia="David" w:hAnsi="David" w:cs="David" w:hint="cs"/>
          <w:sz w:val="26"/>
          <w:szCs w:val="26"/>
          <w:rtl/>
        </w:rPr>
        <w:t>הכנסת ביום</w:t>
      </w:r>
    </w:p>
    <w:p w14:paraId="1F3725B6" w14:textId="77777777" w:rsidR="00D80A7E" w:rsidRDefault="009F0505">
      <w:pPr>
        <w:spacing w:before="0" w:line="360" w:lineRule="auto"/>
        <w:jc w:val="left"/>
      </w:pPr>
      <w:r>
        <w:rPr>
          <w:rFonts w:ascii="David" w:eastAsia="David" w:hAnsi="David" w:cs="David" w:hint="cs"/>
          <w:sz w:val="26"/>
          <w:szCs w:val="26"/>
          <w:rtl/>
        </w:rPr>
        <w:t xml:space="preserve">כ"ט בשבט התשפ"ב (31.01.2022) </w:t>
      </w:r>
    </w:p>
    <w:p w14:paraId="3BF481B2" w14:textId="77777777" w:rsidR="00D80A7E" w:rsidRDefault="00D80A7E">
      <w:pPr>
        <w:spacing w:before="0" w:line="276" w:lineRule="auto"/>
        <w:jc w:val="left"/>
      </w:pPr>
    </w:p>
    <w:sectPr w:rsidR="00D80A7E" w:rsidSect="007D0D31">
      <w:footerReference w:type="even" r:id="rId11"/>
      <w:footerReference w:type="default" r:id="rId12"/>
      <w:pgSz w:w="11907" w:h="16840" w:code="9"/>
      <w:pgMar w:top="1701" w:right="1134" w:bottom="1417"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27FB68F5"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9F0505">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2A48E13" w14:textId="77777777" w:rsidR="00927352" w:rsidRDefault="00927352" w:rsidP="00927352">
      <w:pPr>
        <w:pStyle w:val="a4"/>
        <w:rPr>
          <w:rtl/>
        </w:rPr>
      </w:pPr>
      <w:r>
        <w:rPr>
          <w:rStyle w:val="a6"/>
        </w:rPr>
        <w:footnoteRef/>
      </w:r>
      <w:r>
        <w:rPr>
          <w:rtl/>
        </w:rPr>
        <w:t xml:space="preserve"> </w:t>
      </w:r>
      <w:r>
        <w:rPr>
          <w:rFonts w:hint="cs"/>
          <w:rtl/>
        </w:rPr>
        <w:t>ס"ח התשכ"ה, עמ' 307.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0D31"/>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27352"/>
    <w:rsid w:val="00930EFE"/>
    <w:rsid w:val="00943386"/>
    <w:rsid w:val="009456B6"/>
    <w:rsid w:val="00957589"/>
    <w:rsid w:val="00966D06"/>
    <w:rsid w:val="00982412"/>
    <w:rsid w:val="00983A8D"/>
    <w:rsid w:val="009A0DB8"/>
    <w:rsid w:val="009A7257"/>
    <w:rsid w:val="009D6E0A"/>
    <w:rsid w:val="009E1E33"/>
    <w:rsid w:val="009F0505"/>
    <w:rsid w:val="00A14672"/>
    <w:rsid w:val="00A26BD6"/>
    <w:rsid w:val="00A443CF"/>
    <w:rsid w:val="00A6611D"/>
    <w:rsid w:val="00A82CB7"/>
    <w:rsid w:val="00A942C1"/>
    <w:rsid w:val="00AA2F03"/>
    <w:rsid w:val="00AC36F7"/>
    <w:rsid w:val="00AC63A4"/>
    <w:rsid w:val="00AD239E"/>
    <w:rsid w:val="00B003DB"/>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0A7E"/>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470CE41-5880-4606-A550-84B3128D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B003DB"/>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84611">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76A0A-595F-42FA-BD86-FFD8970CA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9F1C6AB4-44CB-447B-9D8E-CA38C6BB8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554</Words>
  <Characters>2775</Characters>
  <Application>Microsoft Office Word</Application>
  <DocSecurity>0</DocSecurity>
  <Lines>23</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2013-07-04T08:25:00Z</cp:lastPrinted>
  <dcterms:created xsi:type="dcterms:W3CDTF">2015-04-20T09:58:00Z</dcterms:created>
  <dcterms:modified xsi:type="dcterms:W3CDTF">2022-01-26T10:58:00Z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2168813</vt:r8>
  </property>
</Properties>
</file>