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635A2" w:rsidR="002C2E29" w:rsidP="00E635A2" w:rsidRDefault="004033D8" w14:paraId="7F6961A1" w14:textId="77777777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hint="cs" w:cs="David"/>
          <w:sz w:val="20"/>
          <w:szCs w:val="20"/>
          <w:rtl/>
        </w:rPr>
        <w:t xml:space="preserve">מספר פנימי: </w:t>
      </w:r>
      <w:bookmarkStart w:name="LGS_Internal_ID" w:id="0"/>
      <w:r>
        <w:rPr>
          <w:rFonts w:hint="cs" w:cs="David"/>
          <w:sz w:val="20"/>
          <w:szCs w:val="20"/>
          <w:rtl/>
        </w:rPr>
        <w:t>2166727</w:t>
      </w:r>
      <w:bookmarkEnd w:id="0"/>
    </w:p>
    <w:p w:rsidRPr="00DB7060" w:rsidR="00E13C27" w:rsidP="00A443CF" w:rsidRDefault="00E13C27" w14:paraId="7F6961A2" w14:textId="53D639AE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name="LGS_Knesset_Num" w:id="1"/>
      <w:r>
        <w:rPr>
          <w:rFonts w:hint="cs"/>
          <w:sz w:val="28"/>
          <w:szCs w:val="28"/>
          <w:rtl/>
        </w:rPr>
        <w:t>העשרים וארבע</w:t>
      </w:r>
      <w:bookmarkEnd w:id="1"/>
    </w:p>
    <w:p w:rsidRPr="00F67051" w:rsidR="00E13C27" w:rsidP="00E13C27" w:rsidRDefault="00E13C27" w14:paraId="7F6961A3" w14:textId="77777777">
      <w:pPr>
        <w:rPr>
          <w:rFonts w:cs="David"/>
          <w:b/>
          <w:bCs/>
          <w:sz w:val="26"/>
          <w:szCs w:val="26"/>
          <w:rtl/>
        </w:rPr>
      </w:pPr>
    </w:p>
    <w:p w:rsidRPr="00CF1AA2" w:rsidR="00E13C27" w:rsidP="002245EA" w:rsidRDefault="008F6665" w14:paraId="7F6961AA" w14:textId="2B4B63FE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name="LGS_Initiators_List" w:id="2"/>
      <w:r>
        <w:rPr>
          <w:b/>
          <w:bCs/>
          <w:rtl/>
        </w:rPr>
        <w:t>יוזמים:      חברי הכנסת</w:t>
      </w:r>
      <w:bookmarkEnd w:id="2"/>
      <w:r w:rsidRPr="00F67051" w:rsidR="00B35784">
        <w:rPr>
          <w:b/>
          <w:bCs/>
        </w:rPr>
        <w:tab/>
      </w:r>
      <w:bookmarkStart w:name="LGS_PM_Names" w:id="3"/>
      <w:r>
        <w:rPr>
          <w:rFonts w:hint="cs"/>
          <w:b/>
          <w:bCs/>
          <w:rtl/>
        </w:rPr>
        <w:t>יעקב אשר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מיכאל מרדכי ביטון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משה גפני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אורי </w:t>
      </w:r>
      <w:proofErr w:type="spellStart"/>
      <w:r>
        <w:rPr>
          <w:rFonts w:hint="cs"/>
          <w:b/>
          <w:bCs/>
          <w:rtl/>
        </w:rPr>
        <w:t>מקלב</w:t>
      </w:r>
      <w:bookmarkStart w:name="LGS_Join_List" w:id="4"/>
      <w:bookmarkEnd w:id="3"/>
      <w:proofErr w:type="spellEnd"/>
      <w:r w:rsidR="007D585A">
        <w:rPr>
          <w:rtl/>
        </w:rPr>
        <w:t xml:space="preserve"> </w:t>
      </w:r>
      <w:bookmarkEnd w:id="4"/>
      <w:r w:rsidRPr="00CF1AA2" w:rsidR="002200A1">
        <w:rPr>
          <w:rFonts w:hint="cs"/>
          <w:rtl/>
        </w:rPr>
        <w:tab/>
      </w:r>
      <w:bookmarkStart w:name="LGS_PM_NamesJoin" w:id="5"/>
      <w:r w:rsidR="007D585A">
        <w:rPr>
          <w:rFonts w:hint="cs"/>
          <w:rtl/>
        </w:rPr>
        <w:t xml:space="preserve"> </w:t>
      </w:r>
      <w:bookmarkEnd w:id="5"/>
    </w:p>
    <w:p w:rsidRPr="00904591" w:rsidR="00904591" w:rsidP="0036422C" w:rsidRDefault="00266D86" w14:paraId="34DB4103" w14:textId="77777777">
      <w:pPr>
        <w:pStyle w:val="David"/>
        <w:spacing w:before="0" w:line="360" w:lineRule="auto"/>
        <w:ind w:left="3544"/>
        <w:rPr>
          <w:rFonts w:hint="cs"/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Pr="00E06736" w:rsidR="00E06736">
        <w:tab/>
      </w:r>
      <w:r w:rsidRPr="00E06736" w:rsidR="00E13C27">
        <w:rPr>
          <w:rFonts w:hint="cs"/>
          <w:rtl/>
        </w:rPr>
        <w:tab/>
      </w:r>
      <w:r w:rsidRPr="00E06736" w:rsidR="00E13C27">
        <w:rPr>
          <w:rFonts w:hint="cs"/>
          <w:rtl/>
        </w:rPr>
        <w:tab/>
      </w:r>
      <w:r w:rsidRPr="00E06736" w:rsidR="00E13C27">
        <w:rPr>
          <w:rFonts w:hint="cs"/>
          <w:rtl/>
        </w:rPr>
        <w:tab/>
      </w:r>
      <w:r w:rsidR="00904591">
        <w:t xml:space="preserve">           </w:t>
      </w:r>
    </w:p>
    <w:p w:rsidR="00E13C27" w:rsidP="002245EA" w:rsidRDefault="00904591" w14:paraId="7F6961AC" w14:textId="1410FDF7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name="Private_Number" w:id="6"/>
      <w:r>
        <w:rPr>
          <w:rFonts w:hint="cs"/>
          <w:rtl/>
        </w:rPr>
        <w:t>פ/2906/24</w:t>
      </w:r>
      <w:bookmarkEnd w:id="6"/>
    </w:p>
    <w:p w:rsidRPr="00F67051" w:rsidR="00E13C27" w:rsidP="00D109B0" w:rsidRDefault="00A443CF" w14:paraId="7F6961AD" w14:textId="0867F6BE">
      <w:pPr>
        <w:pStyle w:val="HeadHatzaotHok"/>
        <w:rPr>
          <w:rtl/>
        </w:rPr>
      </w:pPr>
      <w:bookmarkStart w:name="LGS_Subject" w:id="7"/>
      <w:r xmlns:w="http://schemas.openxmlformats.org/wordprocessingml/2006/main">
        <w:rPr xmlns:w="http://schemas.openxmlformats.org/wordprocessingml/2006/main">
          <w:rFonts w:hint="cs"/>
          <w:rtl/>
        </w:rPr>
        <w:t xml:space="preserve">הצעת חוק הבנקאות (שירות ללקוח) (תיקון – העברת משכנתה בין בנקים), התשפ"ב–2022</w:t>
      </w:r>
      <w:proofErr w:type="spellStart"/>
      <w:proofErr w:type="spellEnd"/>
      <w:bookmarkEnd w:id="7"/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19"/>
      </w:tblGrid>
      <w:tr w:rsidR="0075262C" w:rsidTr="006335E8" w14:paraId="7304ADE7" w14:textId="77777777">
        <w:trPr>
          <w:cantSplit/>
        </w:trPr>
        <w:tc>
          <w:tcPr>
            <w:tcW w:w="1871" w:type="dxa"/>
          </w:tcPr>
          <w:p w:rsidR="0075262C" w:rsidP="0060673C" w:rsidRDefault="0075262C" w14:paraId="12A6879C" w14:textId="75C6297B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תיקון סעיף 5ב1</w:t>
            </w:r>
          </w:p>
        </w:tc>
        <w:tc>
          <w:tcPr>
            <w:tcW w:w="624" w:type="dxa"/>
          </w:tcPr>
          <w:p w:rsidR="0075262C" w:rsidP="0060673C" w:rsidRDefault="0075262C" w14:paraId="19AD30D5" w14:textId="3D33DF60">
            <w:pPr>
              <w:pStyle w:val="TableText"/>
              <w:keepLines w:val="0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3" w:type="dxa"/>
            <w:gridSpan w:val="2"/>
          </w:tcPr>
          <w:p w:rsidRPr="0075262C" w:rsidR="0075262C" w:rsidP="006335E8" w:rsidRDefault="0075262C" w14:paraId="243727F5" w14:textId="103C326F">
            <w:pPr>
              <w:pStyle w:val="TableBlock"/>
            </w:pPr>
            <w:r w:rsidRPr="0075262C">
              <w:rPr>
                <w:rFonts w:hint="cs"/>
                <w:rtl/>
              </w:rPr>
              <w:t xml:space="preserve">בחוק הבנקאות (שירות ללקוח), </w:t>
            </w:r>
            <w:proofErr w:type="spellStart"/>
            <w:r w:rsidRPr="0075262C">
              <w:rPr>
                <w:rFonts w:hint="cs"/>
                <w:rtl/>
              </w:rPr>
              <w:t>התשמ"א</w:t>
            </w:r>
            <w:proofErr w:type="spellEnd"/>
            <w:r w:rsidRPr="0075262C">
              <w:rPr>
                <w:rFonts w:hint="eastAsia"/>
              </w:rPr>
              <w:t>–</w:t>
            </w:r>
            <w:r w:rsidRPr="0075262C">
              <w:rPr>
                <w:rFonts w:hint="cs"/>
                <w:rtl/>
              </w:rPr>
              <w:t>1981</w:t>
            </w:r>
            <w:r w:rsidR="004D11BB">
              <w:rPr>
                <w:rStyle w:val="a5"/>
                <w:rtl/>
              </w:rPr>
              <w:footnoteReference w:id="2"/>
            </w:r>
            <w:r w:rsidRPr="0075262C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בסעיף 5ב1 </w:t>
            </w:r>
            <w:r>
              <w:rPr>
                <w:rFonts w:hint="eastAsia"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75262C" w:rsidTr="006335E8" w14:paraId="59009985" w14:textId="77777777">
        <w:trPr>
          <w:cantSplit/>
        </w:trPr>
        <w:tc>
          <w:tcPr>
            <w:tcW w:w="1871" w:type="dxa"/>
          </w:tcPr>
          <w:p w:rsidR="0075262C" w:rsidP="0060673C" w:rsidRDefault="0075262C" w14:paraId="6D384149" w14:textId="77777777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75262C" w:rsidP="0075262C" w:rsidRDefault="0075262C" w14:paraId="222D797E" w14:textId="77777777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2"/>
          </w:tcPr>
          <w:p w:rsidRPr="0075262C" w:rsidR="0075262C" w:rsidP="006335E8" w:rsidRDefault="0075262C" w14:paraId="459AA6DF" w14:textId="7C744634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9E29C1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בסעיף קטן (א), בהגדרה "פעילות פיננסית", אחרי "שירותים ומוצרים שהבנק מציע ללקוח" יבוא "לרבות הלוואה לדיור</w:t>
            </w:r>
            <w:r w:rsidR="005A3B50">
              <w:rPr>
                <w:rFonts w:hint="cs"/>
                <w:rtl/>
              </w:rPr>
              <w:t xml:space="preserve"> כהגדרתה בסעיף 9ב.</w:t>
            </w:r>
            <w:r>
              <w:rPr>
                <w:rFonts w:hint="cs"/>
                <w:rtl/>
              </w:rPr>
              <w:t>"</w:t>
            </w:r>
            <w:r w:rsidR="009E29C1">
              <w:rPr>
                <w:rFonts w:hint="cs"/>
                <w:rtl/>
              </w:rPr>
              <w:t>;</w:t>
            </w:r>
          </w:p>
        </w:tc>
      </w:tr>
      <w:tr w:rsidR="0075262C" w:rsidTr="006335E8" w14:paraId="44E91769" w14:textId="77777777">
        <w:trPr>
          <w:cantSplit/>
        </w:trPr>
        <w:tc>
          <w:tcPr>
            <w:tcW w:w="1871" w:type="dxa"/>
          </w:tcPr>
          <w:p w:rsidR="0075262C" w:rsidP="0060673C" w:rsidRDefault="0075262C" w14:paraId="15907733" w14:textId="1EE4203F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75262C" w:rsidP="0075262C" w:rsidRDefault="0075262C" w14:paraId="623991CD" w14:textId="77777777">
            <w:pPr>
              <w:pStyle w:val="TableText"/>
              <w:keepLines w:val="0"/>
              <w:tabs>
                <w:tab w:val="clear" w:pos="624"/>
              </w:tabs>
              <w:autoSpaceDE/>
              <w:autoSpaceDN/>
              <w:adjustRightInd/>
              <w:ind w:right="0"/>
              <w:contextualSpacing/>
              <w:textAlignment w:val="auto"/>
            </w:pPr>
          </w:p>
        </w:tc>
        <w:tc>
          <w:tcPr>
            <w:tcW w:w="7143" w:type="dxa"/>
            <w:gridSpan w:val="2"/>
          </w:tcPr>
          <w:p w:rsidRPr="00C34DE2" w:rsidR="0075262C" w:rsidP="006335E8" w:rsidRDefault="0075262C" w14:paraId="559B611A" w14:textId="4F23D1C6">
            <w:pPr>
              <w:pStyle w:val="TableBlock"/>
            </w:pPr>
            <w:r>
              <w:rPr>
                <w:rFonts w:hint="cs"/>
                <w:rtl/>
              </w:rPr>
              <w:t>(</w:t>
            </w:r>
            <w:r w:rsidR="009E29C1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  <w:r w:rsidR="004E26D1">
              <w:rPr>
                <w:rtl/>
              </w:rPr>
              <w:tab/>
            </w:r>
            <w:r>
              <w:rPr>
                <w:rFonts w:hint="cs"/>
                <w:rtl/>
              </w:rPr>
              <w:t>אחרי  סעיף קטן (ז) יבוא:</w:t>
            </w:r>
          </w:p>
        </w:tc>
      </w:tr>
      <w:tr w:rsidR="002245EA" w:rsidTr="002245EA" w14:paraId="3AE94651" w14:textId="77777777">
        <w:trPr>
          <w:cantSplit/>
        </w:trPr>
        <w:tc>
          <w:tcPr>
            <w:tcW w:w="1871" w:type="dxa"/>
          </w:tcPr>
          <w:p w:rsidR="002245EA" w:rsidP="002245EA" w:rsidRDefault="002245EA" w14:paraId="40EA326C" w14:textId="77777777">
            <w:pPr>
              <w:pStyle w:val="TableSideHeading"/>
              <w:ind w:right="0"/>
            </w:pPr>
          </w:p>
        </w:tc>
        <w:tc>
          <w:tcPr>
            <w:tcW w:w="624" w:type="dxa"/>
          </w:tcPr>
          <w:p w:rsidR="002245EA" w:rsidP="002245EA" w:rsidRDefault="002245EA" w14:paraId="739D2EA6" w14:textId="77777777">
            <w:pPr>
              <w:pStyle w:val="TableText"/>
              <w:ind w:right="0"/>
              <w:jc w:val="both"/>
            </w:pPr>
          </w:p>
        </w:tc>
        <w:tc>
          <w:tcPr>
            <w:tcW w:w="624" w:type="dxa"/>
          </w:tcPr>
          <w:p w:rsidRPr="002245EA" w:rsidR="002245EA" w:rsidP="002245EA" w:rsidRDefault="002245EA" w14:paraId="31BA0579" w14:textId="77777777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19" w:type="dxa"/>
          </w:tcPr>
          <w:p w:rsidRPr="002245EA" w:rsidR="002245EA" w:rsidP="002245EA" w:rsidRDefault="002245EA" w14:paraId="70139934" w14:textId="67D3DB36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"(ח)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הנגיד יקבע בכללים תנאים ועמלות להעברת הלוואה לדיור בין בנקים."</w:t>
            </w:r>
          </w:p>
        </w:tc>
      </w:tr>
    </w:tbl>
    <w:p w:rsidR="002D1EE3" w:rsidP="002D1EE3" w:rsidRDefault="002D1EE3" w14:paraId="7F6961CA" w14:textId="77777777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:rsidR="00253AFC" w:rsidP="002245EA" w:rsidRDefault="00253AFC" w14:paraId="016A4EBB" w14:textId="7FE91158">
      <w:pPr>
        <w:pStyle w:val="Hesber"/>
        <w:spacing w:line="276" w:lineRule="auto"/>
        <w:rPr>
          <w:rtl/>
        </w:rPr>
      </w:pPr>
      <w:r>
        <w:rPr>
          <w:rFonts w:hint="cs"/>
          <w:rtl/>
        </w:rPr>
        <w:t xml:space="preserve">בשנת </w:t>
      </w:r>
      <w:r w:rsidRPr="007B4532">
        <w:rPr>
          <w:rtl/>
        </w:rPr>
        <w:t xml:space="preserve"> 2018 </w:t>
      </w:r>
      <w:r>
        <w:rPr>
          <w:rtl/>
        </w:rPr>
        <w:t>ת</w:t>
      </w:r>
      <w:r w:rsidR="00D63DFB">
        <w:rPr>
          <w:rFonts w:hint="cs"/>
          <w:rtl/>
        </w:rPr>
        <w:t xml:space="preserve">וקן </w:t>
      </w:r>
      <w:r>
        <w:rPr>
          <w:rtl/>
        </w:rPr>
        <w:t>חוק הבנקאות</w:t>
      </w:r>
      <w:r w:rsidR="009E29C1">
        <w:rPr>
          <w:rFonts w:hint="cs"/>
          <w:rtl/>
        </w:rPr>
        <w:t xml:space="preserve"> (שירות ללקוח), </w:t>
      </w:r>
      <w:proofErr w:type="spellStart"/>
      <w:r w:rsidR="009E29C1">
        <w:rPr>
          <w:rFonts w:hint="cs"/>
          <w:rtl/>
        </w:rPr>
        <w:t>התשמ"א</w:t>
      </w:r>
      <w:proofErr w:type="spellEnd"/>
      <w:r w:rsidR="002245EA">
        <w:rPr>
          <w:rFonts w:hint="eastAsia"/>
          <w:rtl/>
        </w:rPr>
        <w:t>–</w:t>
      </w:r>
      <w:r w:rsidR="009E29C1">
        <w:rPr>
          <w:rFonts w:hint="cs"/>
          <w:rtl/>
        </w:rPr>
        <w:t>1981,</w:t>
      </w:r>
      <w:r>
        <w:rPr>
          <w:rtl/>
        </w:rPr>
        <w:t xml:space="preserve"> </w:t>
      </w:r>
      <w:r w:rsidR="00D63DFB">
        <w:rPr>
          <w:rFonts w:hint="cs"/>
          <w:rtl/>
        </w:rPr>
        <w:t>כך ש</w:t>
      </w:r>
      <w:r>
        <w:rPr>
          <w:rFonts w:hint="cs"/>
          <w:rtl/>
        </w:rPr>
        <w:t>לק</w:t>
      </w:r>
      <w:r w:rsidR="00D63DFB">
        <w:rPr>
          <w:rFonts w:hint="cs"/>
          <w:rtl/>
        </w:rPr>
        <w:t>ו</w:t>
      </w:r>
      <w:r>
        <w:rPr>
          <w:rFonts w:hint="cs"/>
          <w:rtl/>
        </w:rPr>
        <w:t>חות</w:t>
      </w:r>
      <w:r w:rsidR="00D63DFB">
        <w:rPr>
          <w:rFonts w:hint="cs"/>
          <w:rtl/>
        </w:rPr>
        <w:t xml:space="preserve"> יכולים</w:t>
      </w:r>
      <w:r>
        <w:rPr>
          <w:rFonts w:hint="cs"/>
          <w:rtl/>
        </w:rPr>
        <w:t xml:space="preserve"> להעביר את הפעילות מבנק אחד למשנהו באופן יעיל, צעד שמעודד את </w:t>
      </w:r>
      <w:r w:rsidR="00B65C33">
        <w:rPr>
          <w:rFonts w:hint="cs"/>
          <w:rtl/>
        </w:rPr>
        <w:t>ה</w:t>
      </w:r>
      <w:r>
        <w:rPr>
          <w:rFonts w:hint="cs"/>
          <w:rtl/>
        </w:rPr>
        <w:t xml:space="preserve">תחרות </w:t>
      </w:r>
      <w:r w:rsidR="00B65C33">
        <w:rPr>
          <w:rFonts w:hint="cs"/>
          <w:rtl/>
        </w:rPr>
        <w:t>בין הבנקים ומביא ל</w:t>
      </w:r>
      <w:r>
        <w:rPr>
          <w:rFonts w:hint="cs"/>
          <w:rtl/>
        </w:rPr>
        <w:t>הוזלת עמלות ושיפור השירות.</w:t>
      </w:r>
    </w:p>
    <w:p w:rsidR="00253AFC" w:rsidP="002245EA" w:rsidRDefault="00253AFC" w14:paraId="665B0A63" w14:textId="67B30D33">
      <w:pPr>
        <w:pStyle w:val="Hesber"/>
        <w:spacing w:line="276" w:lineRule="auto"/>
        <w:rPr>
          <w:rtl/>
        </w:rPr>
      </w:pPr>
      <w:r>
        <w:rPr>
          <w:rFonts w:hint="cs"/>
          <w:rtl/>
        </w:rPr>
        <w:t>עם זאת, התיקון לחוק אינו כולל העברת הלוואה לדיור בין בנק לבנק</w:t>
      </w:r>
      <w:r w:rsidR="00D63DFB">
        <w:rPr>
          <w:rFonts w:hint="cs"/>
          <w:rtl/>
        </w:rPr>
        <w:t>,</w:t>
      </w:r>
      <w:r>
        <w:rPr>
          <w:rFonts w:hint="cs"/>
          <w:rtl/>
        </w:rPr>
        <w:t xml:space="preserve"> כשכיום העברת הלוואה לדיור בין בנקים כרוכה בפירעון מלא של ההלוואה הקודמת ובלקיחת הלוואה </w:t>
      </w:r>
      <w:r w:rsidR="00B65C33">
        <w:rPr>
          <w:rFonts w:hint="cs"/>
          <w:rtl/>
        </w:rPr>
        <w:t>חדשה עם כל ה</w:t>
      </w:r>
      <w:r w:rsidR="00D63DFB">
        <w:rPr>
          <w:rFonts w:hint="cs"/>
          <w:rtl/>
        </w:rPr>
        <w:t>בירוקרטיה</w:t>
      </w:r>
      <w:r w:rsidR="00B65C33">
        <w:rPr>
          <w:rFonts w:hint="cs"/>
          <w:rtl/>
        </w:rPr>
        <w:t xml:space="preserve"> הכרוכה בכך, בעוד שהתחשבנות בין הבנקים תהיה יותר יעילה הן לבנקים והן ללקוחות, תפחית בירוקרטיה רבה ותחסוך עלויות.</w:t>
      </w:r>
    </w:p>
    <w:p w:rsidR="00253AFC" w:rsidP="002245EA" w:rsidRDefault="00253AFC" w14:paraId="4DAA697B" w14:textId="5B0E40B6">
      <w:pPr>
        <w:pStyle w:val="Hesber"/>
        <w:spacing w:line="276" w:lineRule="auto"/>
        <w:rPr>
          <w:rtl/>
        </w:rPr>
      </w:pPr>
      <w:r w:rsidRPr="00083DBD">
        <w:rPr>
          <w:rFonts w:hint="cs"/>
          <w:rtl/>
        </w:rPr>
        <w:t xml:space="preserve">לפיכך, מוצע לקבוע כי </w:t>
      </w:r>
      <w:r>
        <w:rPr>
          <w:rFonts w:hint="cs"/>
          <w:rtl/>
        </w:rPr>
        <w:t>גם הלוואות לדיור יהיה ניתן להעביר בין בנקים</w:t>
      </w:r>
      <w:r w:rsidR="00D63DFB">
        <w:rPr>
          <w:rFonts w:hint="cs"/>
          <w:rtl/>
        </w:rPr>
        <w:t>,</w:t>
      </w:r>
      <w:r>
        <w:rPr>
          <w:rFonts w:hint="cs"/>
          <w:rtl/>
        </w:rPr>
        <w:t xml:space="preserve"> בדומה להעברת פעילות פיננסית אחרת</w:t>
      </w:r>
      <w:r w:rsidR="00D63DFB">
        <w:rPr>
          <w:rFonts w:hint="cs"/>
          <w:rtl/>
        </w:rPr>
        <w:t>.</w:t>
      </w:r>
      <w:r>
        <w:rPr>
          <w:rFonts w:hint="cs"/>
          <w:rtl/>
        </w:rPr>
        <w:t xml:space="preserve"> עם זאת בשל הייחודיו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בהלוואות לדיור מוצע לקבוע סמכות לנגיד</w:t>
      </w:r>
      <w:r w:rsidR="00D63DFB">
        <w:rPr>
          <w:rFonts w:hint="cs"/>
          <w:rtl/>
        </w:rPr>
        <w:t xml:space="preserve"> בנק ישראל</w:t>
      </w:r>
      <w:r>
        <w:rPr>
          <w:rFonts w:hint="cs"/>
          <w:rtl/>
        </w:rPr>
        <w:t xml:space="preserve"> לקבוע </w:t>
      </w:r>
      <w:r>
        <w:rPr>
          <w:rFonts w:hint="cs"/>
          <w:rtl/>
        </w:rPr>
        <w:lastRenderedPageBreak/>
        <w:t>בכללים תנאים ועמלות להעברת הלוואה לדיור באופן שונה מהעברת פעילות פיננסית רגילה.</w:t>
      </w:r>
    </w:p>
    <w:p w:rsidRPr="00253AFC" w:rsidR="00E13C27" w:rsidP="002245EA" w:rsidRDefault="00D63DFB" w14:paraId="7F6961CB" w14:textId="35AA5BC6">
      <w:pPr>
        <w:pStyle w:val="Hesber"/>
        <w:spacing w:line="276" w:lineRule="auto"/>
        <w:rPr>
          <w:rtl/>
        </w:rPr>
      </w:pPr>
      <w:r>
        <w:rPr>
          <w:rFonts w:hint="cs"/>
          <w:rtl/>
        </w:rPr>
        <w:t>כך, מוצע</w:t>
      </w:r>
      <w:r w:rsidR="00253AFC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="00253AFC">
        <w:rPr>
          <w:rFonts w:hint="cs"/>
          <w:rtl/>
        </w:rPr>
        <w:t xml:space="preserve">עודד תחרות בשוק המשכנתאות, </w:t>
      </w:r>
      <w:r>
        <w:rPr>
          <w:rFonts w:hint="cs"/>
          <w:rtl/>
        </w:rPr>
        <w:t>לה</w:t>
      </w:r>
      <w:r w:rsidR="00253AFC">
        <w:rPr>
          <w:rFonts w:hint="cs"/>
          <w:rtl/>
        </w:rPr>
        <w:t xml:space="preserve">פחית בירוקרטיה סבוכה </w:t>
      </w:r>
      <w:proofErr w:type="spellStart"/>
      <w:r w:rsidR="00253AFC">
        <w:rPr>
          <w:rFonts w:hint="cs"/>
          <w:rtl/>
        </w:rPr>
        <w:t>במיחזור</w:t>
      </w:r>
      <w:proofErr w:type="spellEnd"/>
      <w:r w:rsidR="00253AFC">
        <w:rPr>
          <w:rFonts w:hint="cs"/>
          <w:rtl/>
        </w:rPr>
        <w:t xml:space="preserve"> משכנתא ו</w:t>
      </w:r>
      <w:r>
        <w:rPr>
          <w:rFonts w:hint="cs"/>
          <w:rtl/>
        </w:rPr>
        <w:t>ל</w:t>
      </w:r>
      <w:r w:rsidR="00253AFC">
        <w:rPr>
          <w:rFonts w:hint="cs"/>
          <w:rtl/>
        </w:rPr>
        <w:t>חסוך כסף ללקוחות.</w:t>
      </w:r>
    </w:p>
    <w:p w:rsidR="0090552B" w:rsidP="002245EA" w:rsidRDefault="002245EA" w14:paraId="292054C7" w14:textId="77777777">
      <w:pPr>
        <w:spacing w:before="0" w:line="276" w:lineRule="auto"/>
        <w:jc w:val="left"/>
      </w:pPr>
      <w:bookmarkStart w:name="selectedDocDateB" w:id="8"/>
      <w:bookmarkEnd w:id="8"/>
      <w:r>
        <w:rPr>
          <w:rFonts w:hint="cs" w:ascii="David" w:hAnsi="David" w:eastAsia="David" w:cs="David"/>
          <w:sz w:val="26"/>
          <w:szCs w:val="26"/>
          <w:rtl/>
        </w:rPr>
        <w:t>-----</w:t>
      </w:r>
      <w:r>
        <w:rPr>
          <w:rFonts w:hint="cs" w:ascii="David" w:hAnsi="David" w:eastAsia="David" w:cs="David"/>
          <w:sz w:val="26"/>
          <w:szCs w:val="26"/>
          <w:rtl/>
        </w:rPr>
        <w:t>---------------------------</w:t>
      </w:r>
    </w:p>
    <w:p w:rsidR="0090552B" w:rsidP="002245EA" w:rsidRDefault="002245EA" w14:paraId="58612484" w14:textId="77777777">
      <w:pPr>
        <w:spacing w:before="0" w:line="276" w:lineRule="auto"/>
        <w:jc w:val="left"/>
      </w:pPr>
      <w:r>
        <w:rPr>
          <w:rFonts w:hint="cs" w:ascii="David" w:hAnsi="David" w:eastAsia="David" w:cs="David"/>
          <w:sz w:val="26"/>
          <w:szCs w:val="26"/>
          <w:rtl/>
        </w:rPr>
        <w:t>הוגשה ליו"ר הכנסת והסגנים</w:t>
      </w:r>
    </w:p>
    <w:p w:rsidR="0090552B" w:rsidP="002245EA" w:rsidRDefault="002245EA" w14:paraId="21C2CE12" w14:textId="77777777">
      <w:pPr>
        <w:spacing w:before="0" w:line="276" w:lineRule="auto"/>
        <w:jc w:val="left"/>
      </w:pPr>
      <w:r>
        <w:rPr>
          <w:rFonts w:hint="cs" w:ascii="David" w:hAnsi="David" w:eastAsia="David" w:cs="David"/>
          <w:sz w:val="26"/>
          <w:szCs w:val="26"/>
          <w:rtl/>
        </w:rPr>
        <w:t>והונחה על שולחן הכנסת ביום</w:t>
      </w:r>
    </w:p>
    <w:p w:rsidR="0090552B" w:rsidP="002245EA" w:rsidRDefault="002245EA" w14:paraId="427F2CD6" w14:textId="367E869F">
      <w:pPr>
        <w:spacing w:before="0" w:line="276" w:lineRule="auto"/>
        <w:jc w:val="left"/>
      </w:pPr>
      <w:r>
        <w:rPr>
          <w:rFonts w:hint="cs" w:ascii="David" w:hAnsi="David" w:eastAsia="David" w:cs="David"/>
          <w:sz w:val="26"/>
          <w:szCs w:val="26"/>
          <w:rtl/>
        </w:rPr>
        <w:t xml:space="preserve">א' בשבט התשפ"ב (03.01.2022) </w:t>
      </w:r>
      <w:bookmarkStart w:name="_GoBack" w:id="9"/>
      <w:bookmarkEnd w:id="9"/>
    </w:p>
    <w:sectPr w:rsidR="0090552B" w:rsidSect="006335E8">
      <w:footerReference w:type="even" r:id="rId11"/>
      <w:footerReference w:type="default" r:id="rId12"/>
      <w:pgSz w:w="11907" w:h="16840" w:code="9"/>
      <w:pgMar w:top="1701" w:right="1134" w:bottom="1417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B4C1" w14:textId="77777777" w:rsidR="00D142D3" w:rsidRDefault="00D142D3">
      <w:r>
        <w:separator/>
      </w:r>
    </w:p>
  </w:endnote>
  <w:endnote w:type="continuationSeparator" w:id="0">
    <w:p w14:paraId="0E546755" w14:textId="77777777" w:rsidR="00D142D3" w:rsidRDefault="00D142D3">
      <w:r>
        <w:continuationSeparator/>
      </w:r>
    </w:p>
  </w:endnote>
  <w:endnote w:type="continuationNotice" w:id="1">
    <w:p w14:paraId="24369900" w14:textId="77777777" w:rsidR="00D142D3" w:rsidRDefault="00D142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2245EA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74C0" w14:textId="77777777" w:rsidR="00D142D3" w:rsidRDefault="00D142D3" w:rsidP="004D11BB">
      <w:r>
        <w:separator/>
      </w:r>
    </w:p>
  </w:footnote>
  <w:footnote w:type="continuationSeparator" w:id="0">
    <w:p w14:paraId="401CF485" w14:textId="77777777" w:rsidR="00D142D3" w:rsidRDefault="00D142D3">
      <w:r>
        <w:continuationSeparator/>
      </w:r>
    </w:p>
  </w:footnote>
  <w:footnote w:type="continuationNotice" w:id="1">
    <w:p w14:paraId="173A6451" w14:textId="77777777" w:rsidR="00D142D3" w:rsidRDefault="00D142D3"/>
  </w:footnote>
  <w:footnote w:id="2">
    <w:p w14:paraId="39D7B8CF" w14:textId="33F3C1B7" w:rsidR="004D11BB" w:rsidRDefault="004D11BB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התשמ"א</w:t>
      </w:r>
      <w:proofErr w:type="spellEnd"/>
      <w:r>
        <w:rPr>
          <w:rFonts w:hint="cs"/>
          <w:rtl/>
        </w:rPr>
        <w:t>, עמ' 258.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5758E"/>
    <w:multiLevelType w:val="hybridMultilevel"/>
    <w:tmpl w:val="1B2A7F56"/>
    <w:lvl w:ilvl="0" w:tplc="B07E477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245EA"/>
    <w:rsid w:val="002362BF"/>
    <w:rsid w:val="00240F8C"/>
    <w:rsid w:val="00241B97"/>
    <w:rsid w:val="002425D1"/>
    <w:rsid w:val="00246756"/>
    <w:rsid w:val="00251E58"/>
    <w:rsid w:val="00253AFC"/>
    <w:rsid w:val="00254605"/>
    <w:rsid w:val="00266D86"/>
    <w:rsid w:val="002728B4"/>
    <w:rsid w:val="0027600C"/>
    <w:rsid w:val="00292712"/>
    <w:rsid w:val="0029322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11BB"/>
    <w:rsid w:val="004D2D82"/>
    <w:rsid w:val="004D3876"/>
    <w:rsid w:val="004E26D1"/>
    <w:rsid w:val="004E4552"/>
    <w:rsid w:val="004E6CDF"/>
    <w:rsid w:val="00553C9D"/>
    <w:rsid w:val="00562A66"/>
    <w:rsid w:val="005A3B50"/>
    <w:rsid w:val="005B064E"/>
    <w:rsid w:val="005D51AE"/>
    <w:rsid w:val="0062674B"/>
    <w:rsid w:val="006335E8"/>
    <w:rsid w:val="006363B2"/>
    <w:rsid w:val="00644940"/>
    <w:rsid w:val="006818A9"/>
    <w:rsid w:val="006A2D81"/>
    <w:rsid w:val="006C1D0D"/>
    <w:rsid w:val="0070601E"/>
    <w:rsid w:val="00712C72"/>
    <w:rsid w:val="00735FE9"/>
    <w:rsid w:val="0075262C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468E3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52B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D6E0A"/>
    <w:rsid w:val="009E1E33"/>
    <w:rsid w:val="009E29C1"/>
    <w:rsid w:val="00A0488D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65C33"/>
    <w:rsid w:val="00B733A7"/>
    <w:rsid w:val="00B75C91"/>
    <w:rsid w:val="00B975AD"/>
    <w:rsid w:val="00BC45FB"/>
    <w:rsid w:val="00BF148D"/>
    <w:rsid w:val="00C23B1A"/>
    <w:rsid w:val="00C310EB"/>
    <w:rsid w:val="00C9176A"/>
    <w:rsid w:val="00CF0C94"/>
    <w:rsid w:val="00CF1AA2"/>
    <w:rsid w:val="00D109B0"/>
    <w:rsid w:val="00D142D3"/>
    <w:rsid w:val="00D17774"/>
    <w:rsid w:val="00D63620"/>
    <w:rsid w:val="00D63DFB"/>
    <w:rsid w:val="00D8410D"/>
    <w:rsid w:val="00D867D7"/>
    <w:rsid w:val="00DB7060"/>
    <w:rsid w:val="00DE3153"/>
    <w:rsid w:val="00DE6CA1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435FE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379B8E40-3172-45E5-9B0B-2F85818F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table" w:styleId="ad">
    <w:name w:val="Table Grid"/>
    <w:basedOn w:val="a1"/>
    <w:rsid w:val="0075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5262C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5262C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75262C"/>
    <w:rPr>
      <w:rFonts w:ascii="Hadasa Roso SL" w:hAnsi="Hadasa Roso SL" w:cs="Hadasa Roso SL"/>
      <w:color w:val="000000"/>
      <w:spacing w:val="1"/>
      <w:lang w:eastAsia="ja-JP"/>
    </w:rPr>
  </w:style>
  <w:style w:type="paragraph" w:styleId="af1">
    <w:name w:val="annotation subject"/>
    <w:basedOn w:val="af"/>
    <w:next w:val="af"/>
    <w:link w:val="af2"/>
    <w:semiHidden/>
    <w:unhideWhenUsed/>
    <w:rsid w:val="0075262C"/>
    <w:rPr>
      <w:b/>
      <w:bCs/>
    </w:rPr>
  </w:style>
  <w:style w:type="character" w:customStyle="1" w:styleId="af2">
    <w:name w:val="נושא הערה תו"/>
    <w:basedOn w:val="af0"/>
    <w:link w:val="af1"/>
    <w:semiHidden/>
    <w:rsid w:val="0075262C"/>
    <w:rPr>
      <w:rFonts w:ascii="Hadasa Roso SL" w:hAnsi="Hadasa Roso SL" w:cs="Hadasa Roso SL"/>
      <w:b/>
      <w:bCs/>
      <w:color w:val="000000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BE13442BF316646AF5951F2A6F4E844" ma:contentTypeVersion="" ma:contentTypeDescription="צור מסמך חדש." ma:contentTypeScope="" ma:versionID="3e09f08e861ef8c9ca8a66bc33319a22">
  <xsd:schema xmlns:xsd="http://www.w3.org/2001/XMLSchema" xmlns:xs="http://www.w3.org/2001/XMLSchema" xmlns:p="http://schemas.microsoft.com/office/2006/metadata/properties" xmlns:ns2="290d5b49-c690-4c6f-bbb9-1e50dab33eee" targetNamespace="http://schemas.microsoft.com/office/2006/metadata/properties" ma:root="true" ma:fieldsID="d7dd2f529bbe50785394ddfd47ca1ac1" ns2:_="">
    <xsd:import namespace="290d5b49-c690-4c6f-bbb9-1e50dab3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5b49-c690-4c6f-bbb9-1e50dab3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schemas.microsoft.com/office/infopath/2007/PartnerControls"/>
    <ds:schemaRef ds:uri="http://www.w3.org/XML/1998/namespace"/>
    <ds:schemaRef ds:uri="290d5b49-c690-4c6f-bbb9-1e50dab33ee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4842C1-A22E-4BC4-AD55-BCB348B8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d5b49-c690-4c6f-bbb9-1e50dab3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1E31-8F71-4245-8101-CB0EAAE5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דפנה ברנאי</cp:lastModifiedBy>
  <cp:revision>21</cp:revision>
  <cp:lastPrinted>2021-12-29T12:42:00Z</cp:lastPrinted>
  <dcterms:created xsi:type="dcterms:W3CDTF">2015-04-20T09:58:00Z</dcterms:created>
  <dcterms:modified xsi:type="dcterms:W3CDTF">2021-12-29T12:42:00Z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0x010100ABE13442BF316646AF5951F2A6F4E844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2166727</vt:r8>
  </property>
</Properties>
</file>