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2167084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A" w14:textId="7BFA98BC" w:rsidR="00E13C27" w:rsidRPr="00CF1AA2" w:rsidRDefault="008F6665" w:rsidP="00216C70">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אופיר סופר</w:t>
      </w:r>
      <w:r>
        <w:br/>
      </w:r>
      <w:r>
        <w:rPr>
          <w:rFonts w:hint="cs"/>
          <w:b/>
          <w:bCs/>
          <w:rtl/>
        </w:rPr>
        <w:t xml:space="preserve"> </w:t>
      </w:r>
      <w:r>
        <w:tab/>
      </w:r>
      <w:r>
        <w:tab/>
      </w:r>
      <w:r>
        <w:tab/>
      </w:r>
      <w:r>
        <w:tab/>
      </w:r>
      <w:r>
        <w:rPr>
          <w:rFonts w:hint="cs"/>
          <w:b/>
          <w:bCs/>
          <w:rtl/>
        </w:rPr>
        <w:t>יעקב מרגי</w:t>
      </w:r>
      <w:r>
        <w:br/>
      </w:r>
      <w:r>
        <w:rPr>
          <w:rFonts w:hint="cs"/>
          <w:b/>
          <w:bCs/>
          <w:rtl/>
        </w:rPr>
        <w:t xml:space="preserve"> </w:t>
      </w:r>
      <w:r>
        <w:tab/>
      </w:r>
      <w:r>
        <w:tab/>
      </w:r>
      <w:r>
        <w:tab/>
      </w:r>
      <w:r>
        <w:tab/>
      </w:r>
      <w:r>
        <w:rPr>
          <w:rFonts w:hint="cs"/>
          <w:b/>
          <w:bCs/>
          <w:rtl/>
        </w:rPr>
        <w:t>רם בן ברק</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עמיחי שיקלי</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CFBA1CB" w:rsidR="00E13C27" w:rsidRPr="00E06736" w:rsidRDefault="00904591" w:rsidP="00216C70">
      <w:pPr>
        <w:pStyle w:val="David"/>
        <w:spacing w:before="0" w:line="240" w:lineRule="auto"/>
        <w:ind w:left="6424" w:firstLine="56"/>
        <w:rPr>
          <w:rtl/>
        </w:rPr>
      </w:pPr>
      <w:bookmarkStart w:id="6" w:name="Private_Number"/>
      <w:r>
        <w:rPr>
          <w:rFonts w:hint="cs"/>
          <w:rtl/>
        </w:rPr>
        <w:t>פ/2935/24</w:t>
      </w:r>
      <w:bookmarkEnd w:id="6"/>
    </w:p>
    <w:p w14:paraId="7F6961AD" w14:textId="466D97FC" w:rsidR="00E13C27" w:rsidRPr="00F67051" w:rsidRDefault="00A443CF" w:rsidP="002D0ECF">
      <w:pPr>
        <w:pStyle w:val="HeadHatzaotHok"/>
        <w:rPr>
          <w:rtl/>
        </w:rPr>
      </w:pPr>
      <w:bookmarkStart w:id="7" w:name="LGS_Subject"/>
      <w:r>
        <w:rPr>
          <w:rFonts w:hint="cs"/>
          <w:rtl/>
        </w:rPr>
        <w:t>הצעת חוק חילוט תקבולי עבירה בפשיעה חקלאית, התשפ"ב–2022</w:t>
      </w:r>
      <w:bookmarkEnd w:id="7"/>
    </w:p>
    <w:p w14:paraId="22366F94" w14:textId="77777777" w:rsidR="00BD24C0" w:rsidRDefault="00BD24C0" w:rsidP="00BD24C0">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48100A" w14:paraId="3B55CDDE" w14:textId="77777777">
        <w:trPr>
          <w:cantSplit/>
          <w:trHeight w:val="60"/>
        </w:trPr>
        <w:tc>
          <w:tcPr>
            <w:tcW w:w="1871" w:type="dxa"/>
          </w:tcPr>
          <w:p w14:paraId="6B3C5A84" w14:textId="3686D703" w:rsidR="0048100A" w:rsidRDefault="0048100A">
            <w:pPr>
              <w:pStyle w:val="TableSideHeading"/>
            </w:pPr>
            <w:r>
              <w:rPr>
                <w:rFonts w:hint="cs"/>
                <w:rtl/>
              </w:rPr>
              <w:t>צו לחילוט שווי תקבולי עבירה</w:t>
            </w:r>
          </w:p>
        </w:tc>
        <w:tc>
          <w:tcPr>
            <w:tcW w:w="624" w:type="dxa"/>
          </w:tcPr>
          <w:p w14:paraId="0569779D" w14:textId="6DF36095" w:rsidR="0048100A" w:rsidRDefault="0048100A">
            <w:pPr>
              <w:pStyle w:val="TableText"/>
            </w:pPr>
            <w:r>
              <w:rPr>
                <w:rFonts w:hint="cs"/>
                <w:rtl/>
              </w:rPr>
              <w:t>1.</w:t>
            </w:r>
          </w:p>
        </w:tc>
        <w:tc>
          <w:tcPr>
            <w:tcW w:w="7146" w:type="dxa"/>
            <w:gridSpan w:val="2"/>
          </w:tcPr>
          <w:p w14:paraId="3A1E66AD" w14:textId="4AF7DE89" w:rsidR="0048100A" w:rsidRPr="00C34DE2" w:rsidRDefault="0048100A" w:rsidP="0048100A">
            <w:pPr>
              <w:pStyle w:val="TableBlock"/>
            </w:pPr>
            <w:r>
              <w:rPr>
                <w:rFonts w:hint="cs"/>
                <w:rtl/>
              </w:rPr>
              <w:t xml:space="preserve">הורשע נידון בעבירה לפי סעיף 384א(א)(2) לחוק </w:t>
            </w:r>
            <w:r w:rsidRPr="00400515">
              <w:rPr>
                <w:rFonts w:hint="eastAsia"/>
                <w:rtl/>
              </w:rPr>
              <w:t>העונשין</w:t>
            </w:r>
            <w:r w:rsidRPr="00400515">
              <w:rPr>
                <w:rtl/>
              </w:rPr>
              <w:t xml:space="preserve">, </w:t>
            </w:r>
            <w:r w:rsidRPr="00400515">
              <w:rPr>
                <w:rFonts w:hint="eastAsia"/>
                <w:rtl/>
              </w:rPr>
              <w:t>התשל</w:t>
            </w:r>
            <w:r w:rsidRPr="00400515">
              <w:rPr>
                <w:rtl/>
              </w:rPr>
              <w:t>"ז</w:t>
            </w:r>
            <w:r w:rsidRPr="00400515">
              <w:rPr>
                <w:rFonts w:hint="eastAsia"/>
                <w:rtl/>
              </w:rPr>
              <w:t>–</w:t>
            </w:r>
            <w:r w:rsidRPr="00400515">
              <w:rPr>
                <w:rtl/>
              </w:rPr>
              <w:t>1977</w:t>
            </w:r>
            <w:r>
              <w:rPr>
                <w:rStyle w:val="a6"/>
                <w:rtl/>
              </w:rPr>
              <w:footnoteReference w:id="2"/>
            </w:r>
            <w:r w:rsidRPr="00400515">
              <w:rPr>
                <w:rtl/>
              </w:rPr>
              <w:t xml:space="preserve"> או בעבירה שנעברה לפי סעיפים 397, 398, </w:t>
            </w:r>
            <w:r w:rsidRPr="00153C8C">
              <w:rPr>
                <w:rtl/>
              </w:rPr>
              <w:t>40</w:t>
            </w:r>
            <w:r w:rsidRPr="00400515">
              <w:rPr>
                <w:rtl/>
              </w:rPr>
              <w:t xml:space="preserve">7, 428, 448 , 451, 452, 453 ו-460 לחוק האמור ביחס לדבר כאמור בסעיף 384א(א)(2) לחוק האמור, רשאי בית המשפט, </w:t>
            </w:r>
            <w:r w:rsidRPr="00153C8C">
              <w:rPr>
                <w:rFonts w:hint="eastAsia"/>
                <w:rtl/>
              </w:rPr>
              <w:t>לבקשת</w:t>
            </w:r>
            <w:r w:rsidRPr="00153C8C">
              <w:rPr>
                <w:rtl/>
              </w:rPr>
              <w:t xml:space="preserve"> </w:t>
            </w:r>
            <w:r w:rsidRPr="00153C8C">
              <w:rPr>
                <w:rFonts w:hint="eastAsia"/>
                <w:rtl/>
              </w:rPr>
              <w:t>תובע</w:t>
            </w:r>
            <w:r w:rsidRPr="00153C8C">
              <w:rPr>
                <w:rtl/>
              </w:rPr>
              <w:t xml:space="preserve">, </w:t>
            </w:r>
            <w:r w:rsidRPr="00153C8C">
              <w:rPr>
                <w:rFonts w:hint="eastAsia"/>
                <w:rtl/>
              </w:rPr>
              <w:t>לצוות</w:t>
            </w:r>
            <w:r w:rsidRPr="00153C8C">
              <w:rPr>
                <w:rtl/>
              </w:rPr>
              <w:t xml:space="preserve"> על חילוטו של רכוש </w:t>
            </w:r>
            <w:r w:rsidRPr="00153C8C">
              <w:rPr>
                <w:rFonts w:hint="eastAsia"/>
                <w:rtl/>
              </w:rPr>
              <w:t>בשווי</w:t>
            </w:r>
            <w:r w:rsidRPr="00153C8C">
              <w:rPr>
                <w:rtl/>
              </w:rPr>
              <w:t xml:space="preserve"> </w:t>
            </w:r>
            <w:r w:rsidRPr="00153C8C">
              <w:rPr>
                <w:rFonts w:hint="eastAsia"/>
                <w:rtl/>
              </w:rPr>
              <w:t>תקבולי</w:t>
            </w:r>
            <w:r w:rsidRPr="00153C8C">
              <w:rPr>
                <w:rtl/>
              </w:rPr>
              <w:t xml:space="preserve"> </w:t>
            </w:r>
            <w:r w:rsidRPr="00153C8C">
              <w:rPr>
                <w:rFonts w:hint="eastAsia"/>
                <w:rtl/>
              </w:rPr>
              <w:t>העבירה</w:t>
            </w:r>
            <w:r w:rsidRPr="00153C8C">
              <w:rPr>
                <w:rtl/>
              </w:rPr>
              <w:t xml:space="preserve"> </w:t>
            </w:r>
            <w:r>
              <w:rPr>
                <w:rFonts w:hint="cs"/>
                <w:rtl/>
              </w:rPr>
              <w:t xml:space="preserve">שבה הורשע </w:t>
            </w:r>
            <w:r w:rsidRPr="0048100A">
              <w:rPr>
                <w:rFonts w:ascii="David" w:hAnsi="David"/>
                <w:sz w:val="26"/>
                <w:rtl/>
              </w:rPr>
              <w:t>הנידון</w:t>
            </w:r>
            <w:r w:rsidRPr="0048100A">
              <w:rPr>
                <w:rFonts w:ascii="David" w:hAnsi="David"/>
                <w:sz w:val="26"/>
              </w:rPr>
              <w:t>;</w:t>
            </w:r>
            <w:r w:rsidRPr="00400515">
              <w:rPr>
                <w:rtl/>
              </w:rPr>
              <w:t xml:space="preserve">  </w:t>
            </w:r>
            <w:r w:rsidRPr="00400515">
              <w:rPr>
                <w:rFonts w:hint="eastAsia"/>
                <w:rtl/>
              </w:rPr>
              <w:t>לעניין</w:t>
            </w:r>
            <w:r w:rsidRPr="00400515">
              <w:rPr>
                <w:rtl/>
              </w:rPr>
              <w:t xml:space="preserve"> </w:t>
            </w:r>
            <w:r w:rsidRPr="00400515">
              <w:rPr>
                <w:rFonts w:hint="eastAsia"/>
                <w:rtl/>
              </w:rPr>
              <w:t>חוק</w:t>
            </w:r>
            <w:r w:rsidRPr="00400515">
              <w:rPr>
                <w:rtl/>
              </w:rPr>
              <w:t xml:space="preserve"> זה, "תקבולי עבירה" – </w:t>
            </w:r>
            <w:r w:rsidRPr="00400515">
              <w:rPr>
                <w:rFonts w:hint="eastAsia"/>
                <w:color w:val="auto"/>
                <w:rtl/>
              </w:rPr>
              <w:t>רכוש</w:t>
            </w:r>
            <w:r w:rsidRPr="00400515">
              <w:rPr>
                <w:color w:val="auto"/>
                <w:rtl/>
              </w:rPr>
              <w:t xml:space="preserve"> </w:t>
            </w:r>
            <w:r w:rsidRPr="00400515">
              <w:rPr>
                <w:rFonts w:hint="eastAsia"/>
                <w:color w:val="auto"/>
                <w:rtl/>
              </w:rPr>
              <w:t>שהושג</w:t>
            </w:r>
            <w:r w:rsidRPr="00400515">
              <w:rPr>
                <w:color w:val="auto"/>
                <w:rtl/>
              </w:rPr>
              <w:t xml:space="preserve"> </w:t>
            </w:r>
            <w:r w:rsidRPr="00400515">
              <w:rPr>
                <w:rFonts w:hint="eastAsia"/>
                <w:color w:val="auto"/>
                <w:rtl/>
              </w:rPr>
              <w:t>כשכר</w:t>
            </w:r>
            <w:r w:rsidRPr="00400515">
              <w:rPr>
                <w:color w:val="auto"/>
                <w:rtl/>
              </w:rPr>
              <w:t xml:space="preserve"> </w:t>
            </w:r>
            <w:r w:rsidRPr="00400515">
              <w:rPr>
                <w:rFonts w:hint="eastAsia"/>
                <w:color w:val="auto"/>
                <w:rtl/>
              </w:rPr>
              <w:t>או</w:t>
            </w:r>
            <w:r w:rsidRPr="00400515">
              <w:rPr>
                <w:color w:val="auto"/>
                <w:rtl/>
              </w:rPr>
              <w:t xml:space="preserve"> </w:t>
            </w:r>
            <w:r w:rsidRPr="00400515">
              <w:rPr>
                <w:rFonts w:hint="eastAsia"/>
                <w:color w:val="auto"/>
                <w:rtl/>
              </w:rPr>
              <w:t>כתגמול</w:t>
            </w:r>
            <w:r w:rsidRPr="00400515">
              <w:rPr>
                <w:color w:val="auto"/>
                <w:rtl/>
              </w:rPr>
              <w:t xml:space="preserve"> </w:t>
            </w:r>
            <w:r w:rsidRPr="00400515">
              <w:rPr>
                <w:rFonts w:hint="eastAsia"/>
                <w:color w:val="auto"/>
                <w:rtl/>
              </w:rPr>
              <w:t>בעד</w:t>
            </w:r>
            <w:r w:rsidRPr="00400515">
              <w:rPr>
                <w:color w:val="auto"/>
                <w:rtl/>
              </w:rPr>
              <w:t xml:space="preserve"> </w:t>
            </w:r>
            <w:r w:rsidRPr="00400515">
              <w:rPr>
                <w:rFonts w:hint="eastAsia"/>
                <w:color w:val="auto"/>
                <w:rtl/>
              </w:rPr>
              <w:t>ביצוע</w:t>
            </w:r>
            <w:r w:rsidRPr="00400515">
              <w:rPr>
                <w:color w:val="auto"/>
                <w:rtl/>
              </w:rPr>
              <w:t xml:space="preserve"> </w:t>
            </w:r>
            <w:r w:rsidRPr="00400515">
              <w:rPr>
                <w:rFonts w:hint="eastAsia"/>
                <w:color w:val="auto"/>
                <w:rtl/>
              </w:rPr>
              <w:t>עבירה</w:t>
            </w:r>
            <w:r w:rsidRPr="00400515">
              <w:rPr>
                <w:color w:val="auto"/>
                <w:rtl/>
              </w:rPr>
              <w:t xml:space="preserve"> </w:t>
            </w:r>
            <w:r w:rsidRPr="00400515">
              <w:rPr>
                <w:rFonts w:hint="eastAsia"/>
                <w:color w:val="auto"/>
                <w:rtl/>
              </w:rPr>
              <w:t>או</w:t>
            </w:r>
            <w:r w:rsidRPr="00400515">
              <w:rPr>
                <w:color w:val="auto"/>
                <w:rtl/>
              </w:rPr>
              <w:t xml:space="preserve"> </w:t>
            </w:r>
            <w:r w:rsidRPr="00400515">
              <w:rPr>
                <w:rFonts w:hint="eastAsia"/>
                <w:color w:val="auto"/>
                <w:rtl/>
              </w:rPr>
              <w:t>שהושג</w:t>
            </w:r>
            <w:r w:rsidRPr="00400515">
              <w:rPr>
                <w:color w:val="auto"/>
                <w:rtl/>
              </w:rPr>
              <w:t xml:space="preserve"> </w:t>
            </w:r>
            <w:r w:rsidRPr="00400515">
              <w:rPr>
                <w:rFonts w:hint="eastAsia"/>
                <w:color w:val="auto"/>
                <w:rtl/>
              </w:rPr>
              <w:t>כתוצאה</w:t>
            </w:r>
            <w:r w:rsidRPr="00400515">
              <w:rPr>
                <w:color w:val="auto"/>
                <w:rtl/>
              </w:rPr>
              <w:t xml:space="preserve"> </w:t>
            </w:r>
            <w:r w:rsidRPr="00400515">
              <w:rPr>
                <w:rFonts w:hint="eastAsia"/>
                <w:color w:val="auto"/>
                <w:rtl/>
              </w:rPr>
              <w:t>מביצועה</w:t>
            </w:r>
            <w:r w:rsidRPr="00400515">
              <w:rPr>
                <w:color w:val="auto"/>
                <w:rtl/>
              </w:rPr>
              <w:t xml:space="preserve">, </w:t>
            </w:r>
            <w:r w:rsidRPr="00400515">
              <w:rPr>
                <w:rFonts w:hint="eastAsia"/>
                <w:color w:val="auto"/>
                <w:rtl/>
              </w:rPr>
              <w:t>וכן</w:t>
            </w:r>
            <w:r w:rsidRPr="00400515">
              <w:rPr>
                <w:color w:val="auto"/>
                <w:rtl/>
              </w:rPr>
              <w:t xml:space="preserve"> </w:t>
            </w:r>
            <w:r w:rsidRPr="00400515">
              <w:rPr>
                <w:rFonts w:hint="eastAsia"/>
                <w:color w:val="auto"/>
                <w:rtl/>
              </w:rPr>
              <w:t>רכוש</w:t>
            </w:r>
            <w:r w:rsidRPr="00400515">
              <w:rPr>
                <w:color w:val="auto"/>
                <w:rtl/>
              </w:rPr>
              <w:t xml:space="preserve"> </w:t>
            </w:r>
            <w:r w:rsidRPr="00400515">
              <w:rPr>
                <w:rFonts w:hint="eastAsia"/>
                <w:color w:val="auto"/>
                <w:rtl/>
              </w:rPr>
              <w:t>שצמח</w:t>
            </w:r>
            <w:r w:rsidRPr="00400515">
              <w:rPr>
                <w:color w:val="auto"/>
                <w:rtl/>
              </w:rPr>
              <w:t xml:space="preserve"> </w:t>
            </w:r>
            <w:r w:rsidRPr="00400515">
              <w:rPr>
                <w:rFonts w:hint="eastAsia"/>
                <w:color w:val="auto"/>
                <w:rtl/>
              </w:rPr>
              <w:t>או</w:t>
            </w:r>
            <w:r w:rsidRPr="00400515">
              <w:rPr>
                <w:color w:val="auto"/>
                <w:rtl/>
              </w:rPr>
              <w:t xml:space="preserve"> </w:t>
            </w:r>
            <w:r w:rsidRPr="00400515">
              <w:rPr>
                <w:rFonts w:hint="eastAsia"/>
                <w:color w:val="auto"/>
                <w:rtl/>
              </w:rPr>
              <w:t>שבא</w:t>
            </w:r>
            <w:r w:rsidRPr="00400515">
              <w:rPr>
                <w:color w:val="auto"/>
                <w:rtl/>
              </w:rPr>
              <w:t xml:space="preserve"> </w:t>
            </w:r>
            <w:r w:rsidRPr="00400515">
              <w:rPr>
                <w:rFonts w:hint="eastAsia"/>
                <w:color w:val="auto"/>
                <w:rtl/>
              </w:rPr>
              <w:t>מרכוש</w:t>
            </w:r>
            <w:r w:rsidRPr="00400515">
              <w:rPr>
                <w:color w:val="auto"/>
                <w:rtl/>
              </w:rPr>
              <w:t xml:space="preserve"> </w:t>
            </w:r>
            <w:r w:rsidRPr="00400515">
              <w:rPr>
                <w:rFonts w:hint="eastAsia"/>
                <w:color w:val="auto"/>
                <w:rtl/>
              </w:rPr>
              <w:t>כאמור</w:t>
            </w:r>
            <w:r w:rsidRPr="00400515">
              <w:rPr>
                <w:rtl/>
              </w:rPr>
              <w:t>.</w:t>
            </w:r>
          </w:p>
        </w:tc>
      </w:tr>
      <w:tr w:rsidR="0048100A" w14:paraId="32CCC48A" w14:textId="77777777">
        <w:trPr>
          <w:cantSplit/>
          <w:trHeight w:val="60"/>
        </w:trPr>
        <w:tc>
          <w:tcPr>
            <w:tcW w:w="1871" w:type="dxa"/>
          </w:tcPr>
          <w:p w14:paraId="160675F1" w14:textId="3406EF1C" w:rsidR="0048100A" w:rsidRPr="00824240" w:rsidRDefault="0048100A">
            <w:pPr>
              <w:pStyle w:val="TableSideHeading"/>
              <w:rPr>
                <w:rtl/>
              </w:rPr>
            </w:pPr>
            <w:r w:rsidRPr="00824240">
              <w:rPr>
                <w:rFonts w:hint="cs"/>
                <w:rtl/>
              </w:rPr>
              <w:t>מסירת רכוש מחולט לנפגע עבירה</w:t>
            </w:r>
          </w:p>
        </w:tc>
        <w:tc>
          <w:tcPr>
            <w:tcW w:w="624" w:type="dxa"/>
          </w:tcPr>
          <w:p w14:paraId="10E76729" w14:textId="098C630F" w:rsidR="0048100A" w:rsidRDefault="0048100A" w:rsidP="0048100A">
            <w:pPr>
              <w:pStyle w:val="TableText"/>
              <w:rPr>
                <w:rtl/>
              </w:rPr>
            </w:pPr>
            <w:r>
              <w:rPr>
                <w:rFonts w:hint="cs"/>
                <w:rtl/>
              </w:rPr>
              <w:t>2.</w:t>
            </w:r>
          </w:p>
        </w:tc>
        <w:tc>
          <w:tcPr>
            <w:tcW w:w="7146" w:type="dxa"/>
            <w:gridSpan w:val="2"/>
          </w:tcPr>
          <w:p w14:paraId="186D43BF" w14:textId="2AE6233C" w:rsidR="0048100A" w:rsidRDefault="0048100A" w:rsidP="0048100A">
            <w:pPr>
              <w:pStyle w:val="TableBlock"/>
              <w:rPr>
                <w:rtl/>
              </w:rPr>
            </w:pPr>
            <w:r>
              <w:rPr>
                <w:rFonts w:hint="cs"/>
                <w:rtl/>
              </w:rPr>
              <w:t>(א)</w:t>
            </w:r>
            <w:r>
              <w:rPr>
                <w:rtl/>
              </w:rPr>
              <w:tab/>
            </w:r>
            <w:r w:rsidRPr="00824240">
              <w:rPr>
                <w:rFonts w:hint="cs"/>
                <w:rtl/>
              </w:rPr>
              <w:t>בית המשפט רשאי להורות, לבקשת תובע או לבקשת נפגע העבירה, כי רכוש שחולט</w:t>
            </w:r>
            <w:r>
              <w:rPr>
                <w:rFonts w:hint="cs"/>
                <w:rtl/>
              </w:rPr>
              <w:t xml:space="preserve"> לפי סעיף 1</w:t>
            </w:r>
            <w:r w:rsidRPr="00824240">
              <w:rPr>
                <w:rFonts w:hint="cs"/>
                <w:rtl/>
              </w:rPr>
              <w:t xml:space="preserve"> יועבר לנפגע העבירה, בהתקיים אחד מאלה:</w:t>
            </w:r>
          </w:p>
        </w:tc>
      </w:tr>
      <w:tr w:rsidR="0048100A" w14:paraId="54C00B08" w14:textId="77777777">
        <w:trPr>
          <w:cantSplit/>
          <w:trHeight w:val="60"/>
        </w:trPr>
        <w:tc>
          <w:tcPr>
            <w:tcW w:w="1871" w:type="dxa"/>
          </w:tcPr>
          <w:p w14:paraId="0A7EE36D" w14:textId="77777777" w:rsidR="0048100A" w:rsidRDefault="0048100A">
            <w:pPr>
              <w:pStyle w:val="TableSideHeading"/>
            </w:pPr>
          </w:p>
        </w:tc>
        <w:tc>
          <w:tcPr>
            <w:tcW w:w="624" w:type="dxa"/>
          </w:tcPr>
          <w:p w14:paraId="40E776DC" w14:textId="77777777" w:rsidR="0048100A" w:rsidRDefault="0048100A">
            <w:pPr>
              <w:pStyle w:val="TableText"/>
            </w:pPr>
          </w:p>
        </w:tc>
        <w:tc>
          <w:tcPr>
            <w:tcW w:w="624" w:type="dxa"/>
          </w:tcPr>
          <w:p w14:paraId="0AC79A7C" w14:textId="77777777" w:rsidR="0048100A" w:rsidRDefault="0048100A">
            <w:pPr>
              <w:pStyle w:val="TableText"/>
            </w:pPr>
          </w:p>
        </w:tc>
        <w:tc>
          <w:tcPr>
            <w:tcW w:w="6522" w:type="dxa"/>
          </w:tcPr>
          <w:p w14:paraId="267E423E" w14:textId="6ED800B8" w:rsidR="0048100A" w:rsidRDefault="0048100A">
            <w:pPr>
              <w:pStyle w:val="TableBlock"/>
            </w:pPr>
            <w:r>
              <w:rPr>
                <w:rFonts w:hint="cs"/>
                <w:rtl/>
              </w:rPr>
              <w:t>(1)</w:t>
            </w:r>
            <w:r>
              <w:rPr>
                <w:rtl/>
              </w:rPr>
              <w:tab/>
            </w:r>
            <w:r w:rsidRPr="00824240">
              <w:rPr>
                <w:rFonts w:hint="cs"/>
                <w:rtl/>
              </w:rPr>
              <w:t>ניתן פסק דין חלוט נגד מבצע העבירה המעיד על זכותו של נפגע העבירה ברכוש או הפוסק לו פיצויים בשל הנזק שנגרם מביצוע העבירה;</w:t>
            </w:r>
          </w:p>
        </w:tc>
      </w:tr>
      <w:tr w:rsidR="0048100A" w14:paraId="7481856D" w14:textId="77777777">
        <w:trPr>
          <w:cantSplit/>
          <w:trHeight w:val="60"/>
        </w:trPr>
        <w:tc>
          <w:tcPr>
            <w:tcW w:w="1871" w:type="dxa"/>
          </w:tcPr>
          <w:p w14:paraId="00ACB715" w14:textId="77777777" w:rsidR="0048100A" w:rsidRDefault="0048100A">
            <w:pPr>
              <w:pStyle w:val="TableSideHeading"/>
            </w:pPr>
          </w:p>
        </w:tc>
        <w:tc>
          <w:tcPr>
            <w:tcW w:w="624" w:type="dxa"/>
          </w:tcPr>
          <w:p w14:paraId="7CF8548D" w14:textId="77777777" w:rsidR="0048100A" w:rsidRDefault="0048100A" w:rsidP="0048100A">
            <w:pPr>
              <w:pStyle w:val="TableText"/>
            </w:pPr>
          </w:p>
        </w:tc>
        <w:tc>
          <w:tcPr>
            <w:tcW w:w="624" w:type="dxa"/>
          </w:tcPr>
          <w:p w14:paraId="5DD0A0B4" w14:textId="77777777" w:rsidR="0048100A" w:rsidRDefault="0048100A">
            <w:pPr>
              <w:pStyle w:val="TableText"/>
            </w:pPr>
          </w:p>
        </w:tc>
        <w:tc>
          <w:tcPr>
            <w:tcW w:w="6522" w:type="dxa"/>
          </w:tcPr>
          <w:p w14:paraId="27B20BF5" w14:textId="3EF2CA49" w:rsidR="0048100A" w:rsidRDefault="0048100A">
            <w:pPr>
              <w:pStyle w:val="TableBlock"/>
            </w:pPr>
            <w:r>
              <w:rPr>
                <w:rFonts w:hint="cs"/>
                <w:rtl/>
              </w:rPr>
              <w:t>(2)</w:t>
            </w:r>
            <w:r>
              <w:rPr>
                <w:rtl/>
              </w:rPr>
              <w:tab/>
            </w:r>
            <w:r w:rsidRPr="00824240">
              <w:rPr>
                <w:rFonts w:hint="cs"/>
                <w:rtl/>
              </w:rPr>
              <w:t>לנפגע העבירה נפסקו פיצויים לפי סעיף 77 לחוק העונשין, בשל אותה עבירה.</w:t>
            </w:r>
          </w:p>
        </w:tc>
      </w:tr>
      <w:tr w:rsidR="0048100A" w14:paraId="6FD5325A" w14:textId="77777777">
        <w:trPr>
          <w:cantSplit/>
          <w:trHeight w:val="60"/>
        </w:trPr>
        <w:tc>
          <w:tcPr>
            <w:tcW w:w="1871" w:type="dxa"/>
          </w:tcPr>
          <w:p w14:paraId="0347156F" w14:textId="77777777" w:rsidR="0048100A" w:rsidRDefault="0048100A">
            <w:pPr>
              <w:pStyle w:val="TableSideHeading"/>
            </w:pPr>
          </w:p>
        </w:tc>
        <w:tc>
          <w:tcPr>
            <w:tcW w:w="624" w:type="dxa"/>
          </w:tcPr>
          <w:p w14:paraId="590DFEAB" w14:textId="77777777" w:rsidR="0048100A" w:rsidRDefault="0048100A">
            <w:pPr>
              <w:pStyle w:val="TableText"/>
            </w:pPr>
          </w:p>
        </w:tc>
        <w:tc>
          <w:tcPr>
            <w:tcW w:w="7146" w:type="dxa"/>
            <w:gridSpan w:val="2"/>
          </w:tcPr>
          <w:p w14:paraId="08EFBA92" w14:textId="15882264" w:rsidR="0048100A" w:rsidRPr="00C34DE2" w:rsidRDefault="0048100A" w:rsidP="0048100A">
            <w:pPr>
              <w:pStyle w:val="TableBlock"/>
            </w:pPr>
            <w:r>
              <w:rPr>
                <w:rFonts w:hint="cs"/>
                <w:rtl/>
              </w:rPr>
              <w:t>(ב)</w:t>
            </w:r>
            <w:r>
              <w:rPr>
                <w:rtl/>
              </w:rPr>
              <w:tab/>
            </w:r>
            <w:r w:rsidRPr="00824240">
              <w:rPr>
                <w:rFonts w:hint="cs"/>
                <w:rtl/>
              </w:rPr>
              <w:t>שווי הרכוש שיועבר לנפגע העבירה לפי סעיף קטן (</w:t>
            </w:r>
            <w:r>
              <w:rPr>
                <w:rFonts w:hint="cs"/>
                <w:rtl/>
              </w:rPr>
              <w:t>א</w:t>
            </w:r>
            <w:r w:rsidRPr="00824240">
              <w:rPr>
                <w:rFonts w:hint="cs"/>
                <w:rtl/>
              </w:rPr>
              <w:t>) לא יעלה על גובה הסכום שנפסק לו כאמור בפסקאות (1) או (2) של הסעיף הקטן האמור</w:t>
            </w:r>
            <w:r>
              <w:rPr>
                <w:rFonts w:hint="cs"/>
                <w:rtl/>
              </w:rPr>
              <w:t>.</w:t>
            </w:r>
          </w:p>
        </w:tc>
      </w:tr>
      <w:tr w:rsidR="0048100A" w14:paraId="0806027B" w14:textId="77777777">
        <w:trPr>
          <w:cantSplit/>
          <w:trHeight w:val="60"/>
        </w:trPr>
        <w:tc>
          <w:tcPr>
            <w:tcW w:w="1871" w:type="dxa"/>
          </w:tcPr>
          <w:p w14:paraId="2E69A8C2" w14:textId="77777777" w:rsidR="0048100A" w:rsidRDefault="0048100A">
            <w:pPr>
              <w:pStyle w:val="TableSideHeading"/>
            </w:pPr>
          </w:p>
        </w:tc>
        <w:tc>
          <w:tcPr>
            <w:tcW w:w="624" w:type="dxa"/>
          </w:tcPr>
          <w:p w14:paraId="267BE1CF" w14:textId="77777777" w:rsidR="0048100A" w:rsidRDefault="0048100A">
            <w:pPr>
              <w:pStyle w:val="TableText"/>
            </w:pPr>
          </w:p>
        </w:tc>
        <w:tc>
          <w:tcPr>
            <w:tcW w:w="7146" w:type="dxa"/>
            <w:gridSpan w:val="2"/>
          </w:tcPr>
          <w:p w14:paraId="7992990A" w14:textId="6417EE69" w:rsidR="0048100A" w:rsidRPr="00C34DE2" w:rsidRDefault="0048100A">
            <w:pPr>
              <w:pStyle w:val="TableBlock"/>
            </w:pPr>
            <w:r>
              <w:rPr>
                <w:rFonts w:hint="cs"/>
                <w:rtl/>
              </w:rPr>
              <w:t xml:space="preserve">לעניין </w:t>
            </w:r>
            <w:r w:rsidRPr="00400515">
              <w:rPr>
                <w:rFonts w:hint="eastAsia"/>
                <w:rtl/>
              </w:rPr>
              <w:t>סעיף</w:t>
            </w:r>
            <w:r w:rsidRPr="00400515">
              <w:rPr>
                <w:rtl/>
              </w:rPr>
              <w:t xml:space="preserve"> זה, "נפגע העבירה" – </w:t>
            </w:r>
            <w:r w:rsidRPr="00400515">
              <w:rPr>
                <w:rFonts w:hint="eastAsia"/>
                <w:rtl/>
              </w:rPr>
              <w:t>נפגע</w:t>
            </w:r>
            <w:r w:rsidRPr="00400515">
              <w:rPr>
                <w:rtl/>
              </w:rPr>
              <w:t xml:space="preserve"> עבירה </w:t>
            </w:r>
            <w:r w:rsidRPr="00400515">
              <w:rPr>
                <w:rFonts w:hint="eastAsia"/>
                <w:rtl/>
              </w:rPr>
              <w:t>כהגדרתו</w:t>
            </w:r>
            <w:r w:rsidRPr="00400515">
              <w:rPr>
                <w:rtl/>
              </w:rPr>
              <w:t xml:space="preserve"> </w:t>
            </w:r>
            <w:r w:rsidRPr="00400515">
              <w:rPr>
                <w:rFonts w:hint="eastAsia"/>
                <w:rtl/>
              </w:rPr>
              <w:t>ב</w:t>
            </w:r>
            <w:r w:rsidRPr="00400515">
              <w:rPr>
                <w:rtl/>
              </w:rPr>
              <w:t xml:space="preserve">חוק זכויות נפגעי עבירה, </w:t>
            </w:r>
            <w:r w:rsidRPr="00400515">
              <w:rPr>
                <w:rFonts w:hint="eastAsia"/>
                <w:rtl/>
              </w:rPr>
              <w:t>ה</w:t>
            </w:r>
            <w:r w:rsidRPr="00400515">
              <w:rPr>
                <w:rtl/>
              </w:rPr>
              <w:t>תשס"א</w:t>
            </w:r>
            <w:r>
              <w:rPr>
                <w:rFonts w:hint="cs"/>
                <w:rtl/>
              </w:rPr>
              <w:t>–</w:t>
            </w:r>
            <w:r w:rsidRPr="00400515">
              <w:rPr>
                <w:rtl/>
              </w:rPr>
              <w:t>2001</w:t>
            </w:r>
            <w:r>
              <w:rPr>
                <w:rStyle w:val="a6"/>
                <w:rtl/>
              </w:rPr>
              <w:footnoteReference w:id="3"/>
            </w:r>
            <w:r w:rsidRPr="00400515">
              <w:rPr>
                <w:rtl/>
              </w:rPr>
              <w:t xml:space="preserve">, </w:t>
            </w:r>
            <w:r w:rsidRPr="00400515">
              <w:rPr>
                <w:rFonts w:hint="eastAsia"/>
                <w:rtl/>
              </w:rPr>
              <w:t>בעבירה</w:t>
            </w:r>
            <w:r w:rsidRPr="00400515">
              <w:rPr>
                <w:rtl/>
              </w:rPr>
              <w:t xml:space="preserve"> </w:t>
            </w:r>
            <w:r w:rsidRPr="00400515">
              <w:rPr>
                <w:rFonts w:hint="eastAsia"/>
                <w:rtl/>
              </w:rPr>
              <w:t>שבשלה</w:t>
            </w:r>
            <w:r w:rsidRPr="00400515">
              <w:rPr>
                <w:rtl/>
              </w:rPr>
              <w:t xml:space="preserve"> </w:t>
            </w:r>
            <w:r w:rsidRPr="00400515">
              <w:rPr>
                <w:rFonts w:hint="eastAsia"/>
                <w:rtl/>
              </w:rPr>
              <w:t>ניתן</w:t>
            </w:r>
            <w:r w:rsidRPr="00400515">
              <w:rPr>
                <w:rtl/>
              </w:rPr>
              <w:t xml:space="preserve"> </w:t>
            </w:r>
            <w:r w:rsidRPr="00400515">
              <w:rPr>
                <w:rFonts w:hint="eastAsia"/>
                <w:rtl/>
              </w:rPr>
              <w:t>צו</w:t>
            </w:r>
            <w:r w:rsidRPr="00400515">
              <w:rPr>
                <w:rtl/>
              </w:rPr>
              <w:t xml:space="preserve"> </w:t>
            </w:r>
            <w:r w:rsidRPr="00400515">
              <w:rPr>
                <w:rFonts w:hint="eastAsia"/>
                <w:rtl/>
              </w:rPr>
              <w:t>החילוט</w:t>
            </w:r>
            <w:r w:rsidRPr="00400515">
              <w:rPr>
                <w:rtl/>
              </w:rPr>
              <w:t>.</w:t>
            </w:r>
          </w:p>
        </w:tc>
      </w:tr>
      <w:tr w:rsidR="00BD24C0" w14:paraId="76FF892C" w14:textId="77777777" w:rsidTr="000C0CF4">
        <w:trPr>
          <w:cantSplit/>
          <w:trHeight w:val="60"/>
        </w:trPr>
        <w:tc>
          <w:tcPr>
            <w:tcW w:w="1871" w:type="dxa"/>
          </w:tcPr>
          <w:p w14:paraId="2D4BABE8" w14:textId="77777777" w:rsidR="00BD24C0" w:rsidRDefault="00BD24C0" w:rsidP="000C0CF4">
            <w:pPr>
              <w:pStyle w:val="TableSideHeading"/>
            </w:pPr>
          </w:p>
        </w:tc>
        <w:tc>
          <w:tcPr>
            <w:tcW w:w="624" w:type="dxa"/>
          </w:tcPr>
          <w:p w14:paraId="4B0EB22E" w14:textId="77777777" w:rsidR="00BD24C0" w:rsidRDefault="00BD24C0" w:rsidP="000C0CF4">
            <w:pPr>
              <w:pStyle w:val="TableText"/>
            </w:pPr>
            <w:r>
              <w:rPr>
                <w:rFonts w:hint="cs"/>
                <w:rtl/>
              </w:rPr>
              <w:t xml:space="preserve">3. </w:t>
            </w:r>
          </w:p>
        </w:tc>
        <w:tc>
          <w:tcPr>
            <w:tcW w:w="7146" w:type="dxa"/>
            <w:gridSpan w:val="2"/>
          </w:tcPr>
          <w:p w14:paraId="0DD672D2" w14:textId="336D2709" w:rsidR="00BD24C0" w:rsidRPr="00C34DE2" w:rsidRDefault="00BD24C0" w:rsidP="0048100A">
            <w:pPr>
              <w:pStyle w:val="TableBlock"/>
            </w:pPr>
            <w:r w:rsidRPr="005175DF">
              <w:rPr>
                <w:rFonts w:hint="eastAsia"/>
                <w:rtl/>
              </w:rPr>
              <w:t>על</w:t>
            </w:r>
            <w:r w:rsidRPr="005175DF">
              <w:t> </w:t>
            </w:r>
            <w:r w:rsidRPr="005175DF">
              <w:rPr>
                <w:rtl/>
              </w:rPr>
              <w:t>חילוט רכוש ועל רכוש שחולט לפי חוק זה יחולו, בשינויים המחויבים, הוראות סעיפים 36ג עד 36י לפקודת הסמים המסוכנים</w:t>
            </w:r>
            <w:r>
              <w:rPr>
                <w:rFonts w:hint="cs"/>
                <w:rtl/>
              </w:rPr>
              <w:t xml:space="preserve"> [נוסח חדש] התשל"ג</w:t>
            </w:r>
            <w:r w:rsidR="0048100A">
              <w:rPr>
                <w:rFonts w:hint="eastAsia"/>
                <w:rtl/>
              </w:rPr>
              <w:t>–</w:t>
            </w:r>
            <w:r w:rsidR="0048100A">
              <w:rPr>
                <w:rStyle w:val="a6"/>
                <w:rtl/>
              </w:rPr>
              <w:footnoteReference w:id="4"/>
            </w:r>
            <w:r>
              <w:rPr>
                <w:rFonts w:hint="cs"/>
                <w:rtl/>
              </w:rPr>
              <w:t>1973, וכן יחולו הוראות סעיפים 21(ג)-(ו) ו-26(א) לחוק איסור הלבנת הון, התש"ס</w:t>
            </w:r>
            <w:r w:rsidR="0048100A">
              <w:rPr>
                <w:rFonts w:hint="eastAsia"/>
                <w:rtl/>
              </w:rPr>
              <w:t>–</w:t>
            </w:r>
            <w:r>
              <w:rPr>
                <w:rFonts w:hint="cs"/>
                <w:rtl/>
              </w:rPr>
              <w:t>2000</w:t>
            </w:r>
            <w:r>
              <w:rPr>
                <w:rStyle w:val="a6"/>
                <w:rtl/>
              </w:rPr>
              <w:footnoteReference w:id="5"/>
            </w:r>
            <w:r>
              <w:rPr>
                <w:rFonts w:hint="cs"/>
                <w:rtl/>
              </w:rPr>
              <w:t>.</w:t>
            </w:r>
          </w:p>
        </w:tc>
      </w:tr>
    </w:tbl>
    <w:p w14:paraId="7F6961CA" w14:textId="77777777" w:rsidR="002D1EE3" w:rsidRDefault="002D1EE3" w:rsidP="002D1EE3">
      <w:pPr>
        <w:pStyle w:val="HeadDivreiHesber"/>
        <w:rPr>
          <w:rtl/>
        </w:rPr>
      </w:pPr>
      <w:r w:rsidRPr="0027450A">
        <w:rPr>
          <w:rFonts w:hint="cs"/>
          <w:rtl/>
        </w:rPr>
        <w:t>דברי הסבר</w:t>
      </w:r>
    </w:p>
    <w:p w14:paraId="2444B429" w14:textId="5CA55703" w:rsidR="00BD24C0" w:rsidRPr="0048100A" w:rsidRDefault="00BD24C0" w:rsidP="00216C70">
      <w:pPr>
        <w:pStyle w:val="Hesber"/>
        <w:spacing w:line="276" w:lineRule="auto"/>
        <w:rPr>
          <w:rtl/>
        </w:rPr>
      </w:pPr>
      <w:r w:rsidRPr="0048100A">
        <w:rPr>
          <w:rtl/>
        </w:rPr>
        <w:t>פשיעה חקלאית הפכה למכת מדינה הגורמת לנזקים רבים לחקלאים ולחקלאות בכלל. הפשיעה באה לידי ביטוי בהשחתה של ציוד ורכוש חקלאי, גניבה, ונדליזם, הצתה והברחה של בעלי חיים ועוד</w:t>
      </w:r>
      <w:r w:rsidR="007409BC">
        <w:rPr>
          <w:rFonts w:hint="cs"/>
          <w:rtl/>
        </w:rPr>
        <w:t xml:space="preserve"> </w:t>
      </w:r>
      <w:r w:rsidR="007409BC">
        <w:rPr>
          <w:rtl/>
        </w:rPr>
        <w:softHyphen/>
      </w:r>
      <w:r w:rsidR="007409BC">
        <w:rPr>
          <w:rFonts w:hint="cs"/>
          <w:rtl/>
        </w:rPr>
        <w:t>–</w:t>
      </w:r>
      <w:r w:rsidRPr="0048100A">
        <w:rPr>
          <w:rtl/>
        </w:rPr>
        <w:t xml:space="preserve"> פעולות שמלבד הפגיעה במקורות הפרנסה של החקלאים, גורמים לפגיעה בתחושת הביטחון הכללית והאישית של החקלאים הנדרשים להגן בגופם על אדמותיהם תוך חירוף נפשם.</w:t>
      </w:r>
    </w:p>
    <w:p w14:paraId="7AC05C96" w14:textId="77777777" w:rsidR="00BD24C0" w:rsidRPr="0048100A" w:rsidRDefault="00BD24C0" w:rsidP="00216C70">
      <w:pPr>
        <w:pStyle w:val="Hesber"/>
        <w:spacing w:line="276" w:lineRule="auto"/>
        <w:rPr>
          <w:rtl/>
        </w:rPr>
      </w:pPr>
      <w:r w:rsidRPr="0048100A">
        <w:rPr>
          <w:rtl/>
        </w:rPr>
        <w:t>על פי דוח מבקר המדינה 67ב לשנת 2016 ולחשבונות שנת הכספים 2015 (להלן – ״דוח מבקר המדינה״), הפשיעה החקלאית מכוונת לפגיעה בענפי חקלאות שונים, והיא מתבטאת בגניבת תוצרת ויבול, בעלי חיים וציוד חקלאי, ובכלל זה טרקטורים וחומרי הדברה ודישון המשמשים את החקלאים לעבודתם ולפרנסתם; בגרימת נזק לציוד, לתשתיות ולשטחים חקלאיים ובהשתלטות על שטחי מרעה. כתוצאה מכך, הפשיעה החקלאית פוגעת במקורות הפרנסה של החקלאים ועלולה לרושש אותם לחלוטין. כמו כן, צוין כי לפי הנתונים שבידי משמר הגבול, את מרבית העבירות מבצעות כנופיות מאורגנות ומקצועיות שמאופיינות בתחכום ובתעוזה רבה, רובן מתחום הרשות הפלסטינית.</w:t>
      </w:r>
    </w:p>
    <w:p w14:paraId="40ACE293" w14:textId="24D73368" w:rsidR="00BD24C0" w:rsidRPr="0048100A" w:rsidRDefault="00BD24C0" w:rsidP="00216C70">
      <w:pPr>
        <w:pStyle w:val="Hesber"/>
        <w:spacing w:line="276" w:lineRule="auto"/>
        <w:rPr>
          <w:rtl/>
        </w:rPr>
      </w:pPr>
      <w:r w:rsidRPr="0048100A">
        <w:rPr>
          <w:rtl/>
        </w:rPr>
        <w:t>פרסום של מרכז המחקר והמידע של הכנסת מיום 1.6.2021 בדבר ׳נתונים על פשיעה חקלאית בישראל׳ הציג תמונה מדאיגה לפיה בין השנים 2016-2019</w:t>
      </w:r>
      <w:r w:rsidR="007409BC">
        <w:rPr>
          <w:rFonts w:hint="cs"/>
          <w:rtl/>
        </w:rPr>
        <w:t xml:space="preserve"> </w:t>
      </w:r>
      <w:r w:rsidRPr="0048100A">
        <w:rPr>
          <w:rtl/>
        </w:rPr>
        <w:t xml:space="preserve">נפתחו 3815 תיקי חקירה בגין פשיעה חקלאית. </w:t>
      </w:r>
    </w:p>
    <w:p w14:paraId="437CF373" w14:textId="2329ED9A" w:rsidR="00BD24C0" w:rsidRPr="0048100A" w:rsidRDefault="00BD24C0" w:rsidP="00216C70">
      <w:pPr>
        <w:pStyle w:val="Hesber"/>
        <w:spacing w:line="276" w:lineRule="auto"/>
        <w:rPr>
          <w:rtl/>
        </w:rPr>
      </w:pPr>
      <w:r w:rsidRPr="0048100A">
        <w:rPr>
          <w:rtl/>
        </w:rPr>
        <w:t>מתוכם כלל התיקים שנפתחו</w:t>
      </w:r>
      <w:r w:rsidR="007409BC">
        <w:rPr>
          <w:rFonts w:hint="cs"/>
          <w:rtl/>
        </w:rPr>
        <w:t xml:space="preserve"> </w:t>
      </w:r>
      <w:r w:rsidR="007409BC">
        <w:rPr>
          <w:rFonts w:hint="eastAsia"/>
          <w:rtl/>
        </w:rPr>
        <w:t>–</w:t>
      </w:r>
      <w:r w:rsidRPr="0048100A">
        <w:rPr>
          <w:rtl/>
        </w:rPr>
        <w:t xml:space="preserve"> 3283 נגנזו מסיבות שונות (86%) ו-343 בלבד הגיעו לכדי הרשעה (9%).  </w:t>
      </w:r>
    </w:p>
    <w:p w14:paraId="2B9458A6" w14:textId="77777777" w:rsidR="00BD24C0" w:rsidRPr="0048100A" w:rsidRDefault="00BD24C0" w:rsidP="00216C70">
      <w:pPr>
        <w:pStyle w:val="Hesber"/>
        <w:spacing w:line="276" w:lineRule="auto"/>
        <w:rPr>
          <w:rtl/>
        </w:rPr>
      </w:pPr>
      <w:r w:rsidRPr="0048100A">
        <w:rPr>
          <w:rtl/>
        </w:rPr>
        <w:t xml:space="preserve">בהינתן אחוזי סגירת התיקים כמובא לעיל, חקלאים רבים בישראל מתוסכלים, מיואשים ולא מאמינים במדינה ובמערכת אכיפת החוק שבכוחן להביא לשינוי במצבם ולהרתעת העבריינים הפוגעים בהם. עובדה זו מתבטאת אף באי דיווחם למדינה על פגיעות המתרחשות כנגדם, כך שככל הנראה מספר אירועי הפשיעה החקלאית גדול בהרבה מהמדווח למשטרה (על פי הנתונים שצוינו בדוח מבקר המדינה, החקלאים מגישים תלונה למשטרה רק בגין 15%-25% מאירועי הפשיעה החקלאית). </w:t>
      </w:r>
    </w:p>
    <w:p w14:paraId="751991EC" w14:textId="2E1C6346" w:rsidR="00BD24C0" w:rsidRPr="0048100A" w:rsidRDefault="00BD24C0" w:rsidP="00216C70">
      <w:pPr>
        <w:pStyle w:val="Hesber"/>
        <w:spacing w:line="276" w:lineRule="auto"/>
        <w:rPr>
          <w:rtl/>
        </w:rPr>
      </w:pPr>
      <w:r w:rsidRPr="0048100A">
        <w:rPr>
          <w:rtl/>
        </w:rPr>
        <w:t>לחקלאות בישראל תפקיד לא יסולא בפז הן בהיבט אספקת המזון בזמני שגרה וחירום והן בשליטה על אדמות הארץ, הטיפול בה</w:t>
      </w:r>
      <w:r w:rsidR="007409BC">
        <w:rPr>
          <w:rFonts w:hint="cs"/>
          <w:rtl/>
        </w:rPr>
        <w:t>ן</w:t>
      </w:r>
      <w:r w:rsidRPr="0048100A">
        <w:rPr>
          <w:rtl/>
        </w:rPr>
        <w:t xml:space="preserve"> וחיזוק הקשר שבין האדם לאדמה. </w:t>
      </w:r>
    </w:p>
    <w:p w14:paraId="70FFFEB9" w14:textId="77777777" w:rsidR="00BD24C0" w:rsidRPr="0048100A" w:rsidRDefault="00BD24C0" w:rsidP="00216C70">
      <w:pPr>
        <w:pStyle w:val="Hesber"/>
        <w:spacing w:line="276" w:lineRule="auto"/>
        <w:rPr>
          <w:rtl/>
        </w:rPr>
      </w:pPr>
      <w:r w:rsidRPr="0048100A">
        <w:rPr>
          <w:rtl/>
        </w:rPr>
        <w:t xml:space="preserve">היעדר הרתעה מספקת מביא להתרחבות היקף הפשיעה החקלאית, לפגיעה במשילות המדינה בתחומים אחרים עד כדי פגיעה בביטחון הלאומי והחברתי של אזרחי ישראל. </w:t>
      </w:r>
    </w:p>
    <w:p w14:paraId="27DBDFF1" w14:textId="221B3BFF" w:rsidR="00BD24C0" w:rsidRPr="0048100A" w:rsidRDefault="00BD24C0" w:rsidP="00216C70">
      <w:pPr>
        <w:pStyle w:val="Hesber"/>
        <w:spacing w:line="276" w:lineRule="auto"/>
        <w:rPr>
          <w:rtl/>
        </w:rPr>
      </w:pPr>
      <w:r w:rsidRPr="0048100A">
        <w:rPr>
          <w:rtl/>
        </w:rPr>
        <w:t xml:space="preserve">מטרתה של הצעת חוק זו </w:t>
      </w:r>
      <w:r w:rsidR="007D6FD4">
        <w:rPr>
          <w:rFonts w:hint="cs"/>
          <w:rtl/>
        </w:rPr>
        <w:t>היא</w:t>
      </w:r>
      <w:r w:rsidRPr="0048100A">
        <w:rPr>
          <w:rtl/>
        </w:rPr>
        <w:t xml:space="preserve"> להרחיב את הכלים העומדים למערכת אכיפת החוק בהתמודדות עם עברייני הפשיעה החקלאית ול</w:t>
      </w:r>
      <w:r w:rsidRPr="0048100A">
        <w:rPr>
          <w:rFonts w:hint="cs"/>
          <w:rtl/>
        </w:rPr>
        <w:t>הוסיף לכלים אלה מרכיב כלכלי שיאפשר</w:t>
      </w:r>
      <w:r w:rsidRPr="0048100A">
        <w:rPr>
          <w:rtl/>
        </w:rPr>
        <w:t xml:space="preserve"> את חילוט הרכוש של מבצע הפשיעה בשווי הרכוש שהשיג כשכר</w:t>
      </w:r>
      <w:r w:rsidR="007D6FD4">
        <w:rPr>
          <w:rFonts w:hint="cs"/>
          <w:rtl/>
        </w:rPr>
        <w:t xml:space="preserve"> או </w:t>
      </w:r>
      <w:r w:rsidRPr="0048100A">
        <w:rPr>
          <w:rFonts w:hint="cs"/>
          <w:rtl/>
        </w:rPr>
        <w:t>כ</w:t>
      </w:r>
      <w:r w:rsidRPr="0048100A">
        <w:rPr>
          <w:rtl/>
        </w:rPr>
        <w:t>תגמול</w:t>
      </w:r>
      <w:r w:rsidR="007D6FD4">
        <w:rPr>
          <w:rFonts w:hint="cs"/>
          <w:rtl/>
        </w:rPr>
        <w:t xml:space="preserve"> או </w:t>
      </w:r>
      <w:r w:rsidRPr="0048100A">
        <w:rPr>
          <w:rFonts w:hint="cs"/>
          <w:rtl/>
        </w:rPr>
        <w:t>כ</w:t>
      </w:r>
      <w:r w:rsidRPr="0048100A">
        <w:rPr>
          <w:rtl/>
        </w:rPr>
        <w:t xml:space="preserve">תוצאה מהעבירה וכן </w:t>
      </w:r>
      <w:r w:rsidRPr="0048100A">
        <w:rPr>
          <w:rFonts w:hint="cs"/>
          <w:rtl/>
        </w:rPr>
        <w:t>מ</w:t>
      </w:r>
      <w:r w:rsidRPr="0048100A">
        <w:rPr>
          <w:rtl/>
        </w:rPr>
        <w:t xml:space="preserve">רכוש שהשיג מביצועה. </w:t>
      </w:r>
    </w:p>
    <w:p w14:paraId="7F6961CB" w14:textId="3B04C3B6" w:rsidR="00E13C27" w:rsidRPr="0048100A" w:rsidRDefault="00BD24C0" w:rsidP="00216C70">
      <w:pPr>
        <w:pStyle w:val="Hesber"/>
        <w:spacing w:line="276" w:lineRule="auto"/>
        <w:rPr>
          <w:rtl/>
        </w:rPr>
      </w:pPr>
      <w:r w:rsidRPr="0048100A">
        <w:rPr>
          <w:rtl/>
        </w:rPr>
        <w:t>כמו כן, מאפשרת הצעת החוק להעביר את הרכוש המחולט מהעבריין לנפגע העבירה בשווי הפגיעה (לאחר שפסק בית המשפט את אשמת העבריין</w:t>
      </w:r>
      <w:r w:rsidR="007D6FD4">
        <w:rPr>
          <w:rFonts w:hint="cs"/>
          <w:rtl/>
        </w:rPr>
        <w:t xml:space="preserve"> או </w:t>
      </w:r>
      <w:r w:rsidRPr="0048100A">
        <w:rPr>
          <w:rtl/>
        </w:rPr>
        <w:t>לאחר שפסק פיצויים לנפגע).</w:t>
      </w:r>
    </w:p>
    <w:p w14:paraId="3A227BBC" w14:textId="77777777" w:rsidR="00267735" w:rsidRDefault="00216C70" w:rsidP="00216C70">
      <w:pPr>
        <w:spacing w:before="0" w:line="276" w:lineRule="auto"/>
        <w:jc w:val="left"/>
      </w:pPr>
      <w:bookmarkStart w:id="8" w:name="selectedDocDateB"/>
      <w:bookmarkEnd w:id="8"/>
      <w:r>
        <w:rPr>
          <w:rFonts w:ascii="David" w:eastAsia="David" w:hAnsi="David" w:cs="David" w:hint="cs"/>
          <w:sz w:val="26"/>
          <w:szCs w:val="26"/>
          <w:rtl/>
        </w:rPr>
        <w:t>--------------------------------</w:t>
      </w:r>
      <w:bookmarkStart w:id="9" w:name="_GoBack"/>
      <w:bookmarkEnd w:id="9"/>
    </w:p>
    <w:p w14:paraId="57F1B044" w14:textId="77777777" w:rsidR="00267735" w:rsidRDefault="00216C70" w:rsidP="00216C70">
      <w:pPr>
        <w:spacing w:before="0" w:line="276" w:lineRule="auto"/>
        <w:jc w:val="left"/>
      </w:pPr>
      <w:r>
        <w:rPr>
          <w:rFonts w:ascii="David" w:eastAsia="David" w:hAnsi="David" w:cs="David" w:hint="cs"/>
          <w:sz w:val="26"/>
          <w:szCs w:val="26"/>
          <w:rtl/>
        </w:rPr>
        <w:t>הוגשה ליו"ר הכנסת והסגנים</w:t>
      </w:r>
    </w:p>
    <w:p w14:paraId="6E040541" w14:textId="77777777" w:rsidR="00267735" w:rsidRDefault="00216C70" w:rsidP="00216C70">
      <w:pPr>
        <w:spacing w:before="0" w:line="276" w:lineRule="auto"/>
        <w:jc w:val="left"/>
      </w:pPr>
      <w:r>
        <w:rPr>
          <w:rFonts w:ascii="David" w:eastAsia="David" w:hAnsi="David" w:cs="David" w:hint="cs"/>
          <w:sz w:val="26"/>
          <w:szCs w:val="26"/>
          <w:rtl/>
        </w:rPr>
        <w:t>והונחה על שולחן הכנסת ביום</w:t>
      </w:r>
    </w:p>
    <w:p w14:paraId="2B4A85AD" w14:textId="77777777" w:rsidR="00267735" w:rsidRDefault="00216C70" w:rsidP="00216C70">
      <w:pPr>
        <w:spacing w:before="0" w:line="276" w:lineRule="auto"/>
        <w:jc w:val="left"/>
      </w:pPr>
      <w:r>
        <w:rPr>
          <w:rFonts w:ascii="David" w:eastAsia="David" w:hAnsi="David" w:cs="David" w:hint="cs"/>
          <w:sz w:val="26"/>
          <w:szCs w:val="26"/>
          <w:rtl/>
        </w:rPr>
        <w:t xml:space="preserve">א' בשבט התשפ"ב (03.01.2022) </w:t>
      </w:r>
    </w:p>
    <w:p w14:paraId="00F10A3D" w14:textId="77777777" w:rsidR="00267735" w:rsidRDefault="00267735">
      <w:pPr>
        <w:spacing w:before="0" w:line="276" w:lineRule="auto"/>
        <w:jc w:val="left"/>
      </w:pPr>
    </w:p>
    <w:sectPr w:rsidR="00267735"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216C70">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5BD9021E" w14:textId="774C7C77" w:rsidR="0048100A" w:rsidRDefault="0048100A">
      <w:pPr>
        <w:pStyle w:val="a4"/>
      </w:pPr>
      <w:r>
        <w:rPr>
          <w:rStyle w:val="a6"/>
        </w:rPr>
        <w:footnoteRef/>
      </w:r>
      <w:r>
        <w:rPr>
          <w:rtl/>
        </w:rPr>
        <w:t xml:space="preserve"> </w:t>
      </w:r>
      <w:r>
        <w:rPr>
          <w:rFonts w:hint="cs"/>
          <w:rtl/>
        </w:rPr>
        <w:t>ס"ח התשל"ז, עמ' 226.</w:t>
      </w:r>
    </w:p>
  </w:footnote>
  <w:footnote w:id="3">
    <w:p w14:paraId="50494F6D" w14:textId="77777777" w:rsidR="0048100A" w:rsidRDefault="0048100A" w:rsidP="0048100A">
      <w:pPr>
        <w:pStyle w:val="a4"/>
        <w:rPr>
          <w:rtl/>
        </w:rPr>
      </w:pPr>
      <w:r>
        <w:rPr>
          <w:rStyle w:val="a6"/>
        </w:rPr>
        <w:footnoteRef/>
      </w:r>
      <w:r>
        <w:rPr>
          <w:rtl/>
        </w:rPr>
        <w:t xml:space="preserve"> </w:t>
      </w:r>
      <w:r w:rsidRPr="0069544E">
        <w:rPr>
          <w:rFonts w:hint="cs"/>
          <w:rtl/>
        </w:rPr>
        <w:t>ס"ח התשס"א, עמ' 183.</w:t>
      </w:r>
    </w:p>
  </w:footnote>
  <w:footnote w:id="4">
    <w:p w14:paraId="7D7F5AA9" w14:textId="009C773F" w:rsidR="0048100A" w:rsidRDefault="0048100A">
      <w:pPr>
        <w:pStyle w:val="a4"/>
      </w:pPr>
      <w:r>
        <w:rPr>
          <w:rStyle w:val="a6"/>
        </w:rPr>
        <w:footnoteRef/>
      </w:r>
      <w:r>
        <w:rPr>
          <w:rtl/>
        </w:rPr>
        <w:t xml:space="preserve"> </w:t>
      </w:r>
      <w:r>
        <w:rPr>
          <w:rFonts w:hint="cs"/>
          <w:rtl/>
        </w:rPr>
        <w:t>ס"ח התשל"ג, עמ' 526.</w:t>
      </w:r>
    </w:p>
  </w:footnote>
  <w:footnote w:id="5">
    <w:p w14:paraId="4CA9661B" w14:textId="77777777" w:rsidR="00BD24C0" w:rsidRPr="00D65015" w:rsidRDefault="00BD24C0" w:rsidP="00BD24C0">
      <w:pPr>
        <w:pStyle w:val="a4"/>
        <w:rPr>
          <w:rtl/>
        </w:rPr>
      </w:pPr>
      <w:r w:rsidRPr="00D65015">
        <w:rPr>
          <w:rStyle w:val="a6"/>
        </w:rPr>
        <w:footnoteRef/>
      </w:r>
      <w:r w:rsidRPr="00D65015">
        <w:rPr>
          <w:rtl/>
        </w:rPr>
        <w:t xml:space="preserve"> </w:t>
      </w:r>
      <w:r w:rsidRPr="0069544E">
        <w:rPr>
          <w:rFonts w:hint="cs"/>
          <w:rtl/>
        </w:rPr>
        <w:t>ס"ח התש"ס, עמ' 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16C70"/>
    <w:rsid w:val="002200A1"/>
    <w:rsid w:val="002362BF"/>
    <w:rsid w:val="00241B97"/>
    <w:rsid w:val="002425D1"/>
    <w:rsid w:val="00246756"/>
    <w:rsid w:val="00251E58"/>
    <w:rsid w:val="00254605"/>
    <w:rsid w:val="00266D86"/>
    <w:rsid w:val="00267735"/>
    <w:rsid w:val="002728B4"/>
    <w:rsid w:val="0027600C"/>
    <w:rsid w:val="00292712"/>
    <w:rsid w:val="002A487D"/>
    <w:rsid w:val="002C2E29"/>
    <w:rsid w:val="002C3041"/>
    <w:rsid w:val="002D0ECF"/>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8100A"/>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409BC"/>
    <w:rsid w:val="00763CAA"/>
    <w:rsid w:val="00765F66"/>
    <w:rsid w:val="0078664F"/>
    <w:rsid w:val="007A27CE"/>
    <w:rsid w:val="007C3FA6"/>
    <w:rsid w:val="007D585A"/>
    <w:rsid w:val="007D5A12"/>
    <w:rsid w:val="007D6FD4"/>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D24C0"/>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D0B5ACC-667E-4720-8B57-24B95244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rsid w:val="00BD24C0"/>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BC86CB1B-1EC1-4E8A-B25C-6EBFB9A89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659F6-B0CB-4C4D-A5F0-60E4870D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586</Words>
  <Characters>3346</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9</cp:revision>
  <cp:lastPrinted>2021-12-22T10:37:00Z</cp:lastPrinted>
  <dcterms:created xsi:type="dcterms:W3CDTF">2015-04-20T09:58:00Z</dcterms:created>
  <dcterms:modified xsi:type="dcterms:W3CDTF">2021-12-30T12:29:00Z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2167084</vt:r8>
  </property>
</Properties>
</file>