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635A2" w:rsidR="002C2E29" w:rsidP="00E635A2" w:rsidRDefault="004033D8" w14:paraId="7F6961A1" w14:textId="77777777">
      <w:pPr>
        <w:jc w:val="right"/>
        <w:rPr>
          <w:rFonts w:cs="David"/>
          <w:b/>
          <w:bCs/>
          <w:sz w:val="20"/>
          <w:szCs w:val="20"/>
        </w:rPr>
      </w:pPr>
      <w:r w:rsidRPr="00E635A2">
        <w:rPr>
          <w:rFonts w:hint="cs" w:cs="David"/>
          <w:sz w:val="20"/>
          <w:szCs w:val="20"/>
          <w:rtl/>
        </w:rPr>
        <w:t xml:space="preserve">מספר פנימי: </w:t>
      </w:r>
      <w:bookmarkStart w:name="LGS_Internal_ID" w:id="0"/>
      <w:r>
        <w:rPr>
          <w:rFonts w:hint="cs" w:cs="David"/>
          <w:sz w:val="20"/>
          <w:szCs w:val="20"/>
          <w:rtl/>
        </w:rPr>
        <w:t>2167101</w:t>
      </w:r>
      <w:bookmarkEnd w:id="0"/>
    </w:p>
    <w:p w:rsidRPr="00DB7060" w:rsidR="00E13C27" w:rsidP="00A443CF" w:rsidRDefault="00E13C27" w14:paraId="7F6961A2" w14:textId="53D639AE">
      <w:pPr>
        <w:pStyle w:val="HeadHatzaotHok"/>
        <w:rPr>
          <w:sz w:val="28"/>
          <w:szCs w:val="28"/>
          <w:rtl/>
        </w:rPr>
      </w:pPr>
      <w:r w:rsidRPr="00DB7060">
        <w:rPr>
          <w:rFonts w:hint="cs"/>
          <w:sz w:val="28"/>
          <w:szCs w:val="28"/>
          <w:rtl/>
        </w:rPr>
        <w:t xml:space="preserve">הכנסת </w:t>
      </w:r>
      <w:bookmarkStart w:name="LGS_Knesset_Num" w:id="1"/>
      <w:r>
        <w:rPr>
          <w:rFonts w:hint="cs"/>
          <w:sz w:val="28"/>
          <w:szCs w:val="28"/>
          <w:rtl/>
        </w:rPr>
        <w:t>העשרים וארבע</w:t>
      </w:r>
      <w:bookmarkEnd w:id="1"/>
    </w:p>
    <w:p w:rsidRPr="00F67051" w:rsidR="00E13C27" w:rsidP="00E13C27" w:rsidRDefault="00E13C27" w14:paraId="7F6961A3" w14:textId="77777777">
      <w:pPr>
        <w:rPr>
          <w:rFonts w:cs="David"/>
          <w:b/>
          <w:bCs/>
          <w:sz w:val="26"/>
          <w:szCs w:val="26"/>
          <w:rtl/>
        </w:rPr>
      </w:pPr>
    </w:p>
    <w:p w:rsidRPr="006C19D6" w:rsidR="00E13C27" w:rsidP="006C19D6" w:rsidRDefault="008F6665" w14:paraId="7F6961AA" w14:textId="7D9A4A4F">
      <w:pPr>
        <w:pStyle w:val="David"/>
        <w:spacing w:line="360" w:lineRule="auto"/>
        <w:ind w:left="3544"/>
        <w:rPr>
          <w:b/>
          <w:bCs/>
          <w:rtl/>
        </w:rPr>
      </w:pPr>
      <w:bookmarkStart w:name="LGS_Initiators_List" w:id="2"/>
      <w:r>
        <w:rPr>
          <w:b/>
          <w:bCs/>
          <w:rtl/>
        </w:rPr>
        <w:t>יוזמים:      חברי הכנסת</w:t>
      </w:r>
      <w:bookmarkEnd w:id="2"/>
      <w:r w:rsidRPr="00F67051" w:rsidR="00B35784">
        <w:rPr>
          <w:b/>
          <w:bCs/>
        </w:rPr>
        <w:tab/>
      </w:r>
      <w:bookmarkStart w:name="LGS_PM_Names" w:id="3"/>
      <w:r>
        <w:rPr>
          <w:rFonts w:hint="cs"/>
          <w:b/>
          <w:bCs/>
          <w:rtl/>
        </w:rPr>
        <w:t>ולדימיר בליאק</w:t>
      </w:r>
      <w:r>
        <w:br/>
      </w:r>
      <w:r>
        <w:rPr>
          <w:rFonts w:hint="cs"/>
          <w:b/>
          <w:bCs/>
          <w:rtl/>
        </w:rPr>
        <w:t xml:space="preserve"> </w:t>
      </w:r>
      <w:r>
        <w:tab/>
      </w:r>
      <w:r>
        <w:tab/>
      </w:r>
      <w:r>
        <w:tab/>
      </w:r>
      <w:r>
        <w:tab/>
      </w:r>
      <w:r>
        <w:rPr>
          <w:rFonts w:hint="cs"/>
          <w:b/>
          <w:bCs/>
          <w:rtl/>
        </w:rPr>
        <w:t>אלכס קושניר</w:t>
      </w:r>
      <w:r>
        <w:br/>
      </w:r>
      <w:r>
        <w:rPr>
          <w:rFonts w:hint="cs"/>
          <w:b/>
          <w:bCs/>
          <w:rtl/>
        </w:rPr>
        <w:t xml:space="preserve"> </w:t>
      </w:r>
      <w:r>
        <w:tab/>
      </w:r>
      <w:r>
        <w:tab/>
      </w:r>
      <w:r>
        <w:tab/>
      </w:r>
      <w:r>
        <w:tab/>
      </w:r>
      <w:r>
        <w:rPr>
          <w:rFonts w:hint="cs"/>
          <w:b/>
          <w:bCs/>
          <w:rtl/>
        </w:rPr>
        <w:t>נירה שפק</w:t>
      </w:r>
      <w:bookmarkStart w:name="LGS_Join_List" w:id="4"/>
      <w:bookmarkStart w:name="LGS_PM_NamesJoin" w:id="5"/>
      <w:bookmarkEnd w:id="3"/>
      <w:bookmarkEnd w:id="4"/>
      <w:r w:rsidR="007D585A">
        <w:rPr>
          <w:rFonts w:hint="cs"/>
          <w:rtl/>
        </w:rPr>
        <w:t xml:space="preserve"> </w:t>
      </w:r>
      <w:bookmarkEnd w:id="5"/>
    </w:p>
    <w:p w:rsidRPr="00904591" w:rsidR="00904591" w:rsidP="0036422C" w:rsidRDefault="00266D86" w14:paraId="34DB4103" w14:textId="77777777">
      <w:pPr>
        <w:pStyle w:val="David"/>
        <w:spacing w:before="0" w:line="360" w:lineRule="auto"/>
        <w:ind w:left="3544"/>
        <w:rPr>
          <w:sz w:val="4"/>
          <w:szCs w:val="4"/>
          <w:rtl/>
        </w:rPr>
      </w:pPr>
      <w:r>
        <w:t>____</w:t>
      </w:r>
      <w:r w:rsidR="00E374F2">
        <w:t>__</w:t>
      </w:r>
      <w:r>
        <w:t>________________________________________</w:t>
      </w:r>
      <w:r w:rsidRPr="00E06736" w:rsidR="00E06736">
        <w:tab/>
      </w:r>
      <w:r w:rsidRPr="00E06736" w:rsidR="00E13C27">
        <w:rPr>
          <w:rFonts w:hint="cs"/>
          <w:rtl/>
        </w:rPr>
        <w:tab/>
      </w:r>
      <w:r w:rsidRPr="00E06736" w:rsidR="00E13C27">
        <w:rPr>
          <w:rFonts w:hint="cs"/>
          <w:rtl/>
        </w:rPr>
        <w:tab/>
      </w:r>
      <w:r w:rsidRPr="00E06736" w:rsidR="00E13C27">
        <w:rPr>
          <w:rFonts w:hint="cs"/>
          <w:rtl/>
        </w:rPr>
        <w:tab/>
      </w:r>
      <w:r w:rsidR="00904591">
        <w:t xml:space="preserve">           </w:t>
      </w:r>
    </w:p>
    <w:p w:rsidRPr="00E06736" w:rsidR="00E13C27" w:rsidP="00904591" w:rsidRDefault="00904591" w14:paraId="7F6961AB" w14:textId="256138AA">
      <w:pPr>
        <w:pStyle w:val="David"/>
        <w:spacing w:before="0" w:line="240" w:lineRule="auto"/>
        <w:ind w:left="3544"/>
        <w:rPr>
          <w:rtl/>
        </w:rPr>
      </w:pPr>
      <w:r>
        <w:t xml:space="preserve">                                            </w:t>
      </w:r>
      <w:r w:rsidR="008F1308">
        <w:t xml:space="preserve"> </w:t>
      </w:r>
      <w:bookmarkStart w:name="Private_Number" w:id="6"/>
      <w:r>
        <w:rPr>
          <w:rFonts w:hint="cs"/>
          <w:rtl/>
        </w:rPr>
        <w:t>פ/2849/24</w:t>
      </w:r>
      <w:bookmarkEnd w:id="6"/>
    </w:p>
    <w:p w:rsidR="00E13C27" w:rsidP="00E13C27" w:rsidRDefault="00E13C27" w14:paraId="7F6961AC" w14:textId="77777777">
      <w:pPr>
        <w:spacing w:before="0" w:line="360" w:lineRule="auto"/>
        <w:ind w:left="2880" w:firstLine="720"/>
        <w:rPr>
          <w:rFonts w:cs="David"/>
          <w:sz w:val="26"/>
          <w:szCs w:val="26"/>
          <w:rtl/>
        </w:rPr>
      </w:pPr>
    </w:p>
    <w:p w:rsidRPr="00F67051" w:rsidR="00E13C27" w:rsidP="0021633A" w:rsidRDefault="00A443CF" w14:paraId="7F6961AD" w14:textId="77777777">
      <w:pPr>
        <w:pStyle w:val="HeadHatzaotHok"/>
        <w:rPr>
          <w:rtl/>
        </w:rPr>
      </w:pPr>
      <w:bookmarkStart w:name="LGS_Subject" w:id="7"/>
      <w:r xmlns:w="http://schemas.openxmlformats.org/wordprocessingml/2006/main">
        <w:rPr xmlns:w="http://schemas.openxmlformats.org/wordprocessingml/2006/main">
          <w:rFonts w:hint="cs"/>
          <w:rtl/>
        </w:rPr>
        <w:t xml:space="preserve">הצעת חוק לתיקון פקודת מס הכנסה (אישור ועדת הכספים בקביעת מוסד ציבורי), התשפ"ב–2021</w:t>
      </w:r>
      <w:bookmarkEnd w:id="7"/>
    </w:p>
    <w:p w:rsidR="00E13C27" w:rsidP="0021633A" w:rsidRDefault="00E13C27" w14:paraId="7F6961AE" w14:textId="77777777">
      <w:pPr>
        <w:pStyle w:val="HeadDivreiHesber"/>
        <w:spacing w:before="0" w:after="0"/>
        <w:rPr>
          <w:rtl/>
        </w:rPr>
      </w:pPr>
    </w:p>
    <w:tbl>
      <w:tblPr>
        <w:bidiVisual/>
        <w:tblW w:w="9641" w:type="dxa"/>
        <w:tblInd w:w="6" w:type="dxa"/>
        <w:tblLayout w:type="fixed"/>
        <w:tblCellMar>
          <w:top w:w="57" w:type="dxa"/>
          <w:left w:w="0" w:type="dxa"/>
          <w:bottom w:w="57" w:type="dxa"/>
          <w:right w:w="0" w:type="dxa"/>
        </w:tblCellMar>
        <w:tblLook w:val="0000" w:firstRow="0" w:lastRow="0" w:firstColumn="0" w:lastColumn="0" w:noHBand="0" w:noVBand="0"/>
      </w:tblPr>
      <w:tblGrid>
        <w:gridCol w:w="1872"/>
        <w:gridCol w:w="624"/>
        <w:gridCol w:w="625"/>
        <w:gridCol w:w="623"/>
        <w:gridCol w:w="5891"/>
        <w:gridCol w:w="6"/>
      </w:tblGrid>
      <w:tr w:rsidRPr="001A638D" w:rsidR="00223B2E" w:rsidTr="006C19D6" w14:paraId="78E291FB" w14:textId="77777777">
        <w:trPr>
          <w:cantSplit/>
          <w:trHeight w:val="492"/>
        </w:trPr>
        <w:tc>
          <w:tcPr>
            <w:tcW w:w="1872" w:type="dxa"/>
            <w:tcBorders>
              <w:top w:val="nil"/>
              <w:left w:val="nil"/>
              <w:bottom w:val="nil"/>
              <w:right w:val="nil"/>
            </w:tcBorders>
          </w:tcPr>
          <w:p w:rsidRPr="001A638D" w:rsidR="00223B2E" w:rsidP="00E83333" w:rsidRDefault="00223B2E" w14:paraId="3CE5BD64" w14:textId="77777777">
            <w:pPr>
              <w:pStyle w:val="TableSideHeading"/>
              <w:keepLines w:val="0"/>
              <w:rPr>
                <w:sz w:val="26"/>
              </w:rPr>
            </w:pPr>
            <w:r w:rsidRPr="001A638D">
              <w:rPr>
                <w:sz w:val="26"/>
                <w:rtl/>
              </w:rPr>
              <w:t>תיקון סעיף 9</w:t>
            </w:r>
          </w:p>
        </w:tc>
        <w:tc>
          <w:tcPr>
            <w:tcW w:w="624" w:type="dxa"/>
            <w:tcBorders>
              <w:top w:val="nil"/>
              <w:left w:val="nil"/>
              <w:bottom w:val="nil"/>
              <w:right w:val="nil"/>
            </w:tcBorders>
          </w:tcPr>
          <w:p w:rsidRPr="001A638D" w:rsidR="00223B2E" w:rsidP="00E83333" w:rsidRDefault="00223B2E" w14:paraId="549F8935" w14:textId="77777777">
            <w:pPr>
              <w:pStyle w:val="TableText"/>
              <w:keepLines w:val="0"/>
              <w:rPr>
                <w:sz w:val="26"/>
              </w:rPr>
            </w:pPr>
            <w:r w:rsidRPr="001A638D">
              <w:rPr>
                <w:rFonts w:hint="cs"/>
                <w:sz w:val="26"/>
                <w:rtl/>
              </w:rPr>
              <w:t>1.</w:t>
            </w:r>
          </w:p>
        </w:tc>
        <w:tc>
          <w:tcPr>
            <w:tcW w:w="7145" w:type="dxa"/>
            <w:gridSpan w:val="4"/>
            <w:tcBorders>
              <w:top w:val="nil"/>
              <w:left w:val="nil"/>
              <w:bottom w:val="nil"/>
              <w:right w:val="nil"/>
            </w:tcBorders>
          </w:tcPr>
          <w:p w:rsidRPr="001A638D" w:rsidR="00223B2E" w:rsidP="00E83333" w:rsidRDefault="00223B2E" w14:paraId="075F94F8" w14:textId="77777777">
            <w:pPr>
              <w:pStyle w:val="TableBlock"/>
              <w:keepLines w:val="0"/>
              <w:rPr>
                <w:sz w:val="26"/>
              </w:rPr>
            </w:pPr>
            <w:r w:rsidRPr="001A638D">
              <w:rPr>
                <w:sz w:val="26"/>
                <w:rtl/>
              </w:rPr>
              <w:t>בפקודת מס הכנסה</w:t>
            </w:r>
            <w:r w:rsidRPr="001A638D">
              <w:rPr>
                <w:rStyle w:val="a6"/>
                <w:sz w:val="26"/>
                <w:rtl/>
              </w:rPr>
              <w:footnoteReference w:id="2"/>
            </w:r>
            <w:r>
              <w:rPr>
                <w:sz w:val="26"/>
                <w:rtl/>
              </w:rPr>
              <w:t xml:space="preserve">, בסעיף </w:t>
            </w:r>
            <w:r>
              <w:rPr>
                <w:rFonts w:hint="cs"/>
                <w:sz w:val="26"/>
                <w:rtl/>
              </w:rPr>
              <w:t xml:space="preserve">46 </w:t>
            </w:r>
            <w:r>
              <w:rPr>
                <w:sz w:val="26"/>
                <w:rtl/>
              </w:rPr>
              <w:t>–</w:t>
            </w:r>
            <w:r>
              <w:rPr>
                <w:rFonts w:hint="cs"/>
                <w:sz w:val="26"/>
                <w:rtl/>
              </w:rPr>
              <w:t xml:space="preserve"> </w:t>
            </w:r>
          </w:p>
        </w:tc>
      </w:tr>
      <w:tr w:rsidR="00223B2E" w:rsidTr="006C19D6" w14:paraId="2579CBED" w14:textId="77777777">
        <w:tblPrEx>
          <w:tblLook w:val="01E0" w:firstRow="1" w:lastRow="1" w:firstColumn="1" w:lastColumn="1" w:noHBand="0" w:noVBand="0"/>
        </w:tblPrEx>
        <w:trPr>
          <w:gridAfter w:val="1"/>
          <w:wAfter w:w="6" w:type="dxa"/>
          <w:cantSplit/>
          <w:trHeight w:val="60"/>
        </w:trPr>
        <w:tc>
          <w:tcPr>
            <w:tcW w:w="1872" w:type="dxa"/>
          </w:tcPr>
          <w:p w:rsidR="00223B2E" w:rsidP="00E83333" w:rsidRDefault="00223B2E" w14:paraId="27074A9D" w14:textId="77777777">
            <w:pPr>
              <w:pStyle w:val="TableSideHeading"/>
            </w:pPr>
          </w:p>
        </w:tc>
        <w:tc>
          <w:tcPr>
            <w:tcW w:w="624" w:type="dxa"/>
          </w:tcPr>
          <w:p w:rsidR="00223B2E" w:rsidP="00E83333" w:rsidRDefault="00223B2E" w14:paraId="5DC62966" w14:textId="77777777">
            <w:pPr>
              <w:pStyle w:val="TableText"/>
            </w:pPr>
          </w:p>
        </w:tc>
        <w:tc>
          <w:tcPr>
            <w:tcW w:w="7139" w:type="dxa"/>
            <w:gridSpan w:val="3"/>
          </w:tcPr>
          <w:p w:rsidR="00223B2E" w:rsidP="00E83333" w:rsidRDefault="00223B2E" w14:paraId="162F0905" w14:textId="77777777">
            <w:pPr>
              <w:pStyle w:val="TableBlock"/>
            </w:pPr>
            <w:r>
              <w:rPr>
                <w:rFonts w:hint="cs"/>
                <w:rtl/>
              </w:rPr>
              <w:t>(1)</w:t>
            </w:r>
            <w:r>
              <w:rPr>
                <w:rtl/>
              </w:rPr>
              <w:tab/>
            </w:r>
            <w:r>
              <w:rPr>
                <w:rFonts w:hint="cs"/>
                <w:rtl/>
              </w:rPr>
              <w:t xml:space="preserve">בסעיף קטן (א), </w:t>
            </w:r>
            <w:r>
              <w:rPr>
                <w:rFonts w:hint="cs"/>
                <w:sz w:val="26"/>
                <w:rtl/>
              </w:rPr>
              <w:t>במקום "שר האוצר באישור ועדת הכספים של הכנסת" יבוא "המנהל";</w:t>
            </w:r>
          </w:p>
        </w:tc>
      </w:tr>
      <w:tr w:rsidR="00223B2E" w:rsidTr="006C19D6" w14:paraId="31565BC2" w14:textId="77777777">
        <w:tblPrEx>
          <w:tblLook w:val="01E0" w:firstRow="1" w:lastRow="1" w:firstColumn="1" w:lastColumn="1" w:noHBand="0" w:noVBand="0"/>
        </w:tblPrEx>
        <w:trPr>
          <w:gridAfter w:val="1"/>
          <w:wAfter w:w="6" w:type="dxa"/>
          <w:cantSplit/>
          <w:trHeight w:val="60"/>
        </w:trPr>
        <w:tc>
          <w:tcPr>
            <w:tcW w:w="1872" w:type="dxa"/>
          </w:tcPr>
          <w:p w:rsidR="00223B2E" w:rsidP="00E83333" w:rsidRDefault="00223B2E" w14:paraId="4C910509" w14:textId="77777777">
            <w:pPr>
              <w:pStyle w:val="TableSideHeading"/>
            </w:pPr>
          </w:p>
        </w:tc>
        <w:tc>
          <w:tcPr>
            <w:tcW w:w="624" w:type="dxa"/>
          </w:tcPr>
          <w:p w:rsidR="00223B2E" w:rsidP="00E83333" w:rsidRDefault="00223B2E" w14:paraId="727AFE1D" w14:textId="77777777">
            <w:pPr>
              <w:pStyle w:val="TableText"/>
            </w:pPr>
          </w:p>
        </w:tc>
        <w:tc>
          <w:tcPr>
            <w:tcW w:w="7139" w:type="dxa"/>
            <w:gridSpan w:val="3"/>
          </w:tcPr>
          <w:p w:rsidR="00223B2E" w:rsidP="00E83333" w:rsidRDefault="00223B2E" w14:paraId="73738230" w14:textId="77777777">
            <w:pPr>
              <w:pStyle w:val="TableBlock"/>
              <w:rPr>
                <w:rtl/>
              </w:rPr>
            </w:pPr>
            <w:r>
              <w:rPr>
                <w:rFonts w:hint="cs"/>
                <w:rtl/>
              </w:rPr>
              <w:t>(2)</w:t>
            </w:r>
            <w:r>
              <w:rPr>
                <w:rtl/>
              </w:rPr>
              <w:tab/>
            </w:r>
            <w:r>
              <w:rPr>
                <w:rFonts w:hint="cs"/>
                <w:rtl/>
              </w:rPr>
              <w:t>בסעיף קטן (א1), במקום "רשאי שר האוצר" יבוא "רשאי המנהל".</w:t>
            </w:r>
          </w:p>
        </w:tc>
      </w:tr>
      <w:tr w:rsidR="00223B2E" w:rsidTr="006C19D6" w14:paraId="59CB2190" w14:textId="77777777">
        <w:tblPrEx>
          <w:tblLook w:val="01E0" w:firstRow="1" w:lastRow="1" w:firstColumn="1" w:lastColumn="1" w:noHBand="0" w:noVBand="0"/>
        </w:tblPrEx>
        <w:trPr>
          <w:gridAfter w:val="1"/>
          <w:wAfter w:w="6" w:type="dxa"/>
          <w:cantSplit/>
          <w:trHeight w:val="60"/>
        </w:trPr>
        <w:tc>
          <w:tcPr>
            <w:tcW w:w="1872" w:type="dxa"/>
          </w:tcPr>
          <w:p w:rsidR="00223B2E" w:rsidP="00E83333" w:rsidRDefault="00223B2E" w14:paraId="590ADFBE" w14:textId="77777777">
            <w:pPr>
              <w:pStyle w:val="TableSideHeading"/>
            </w:pPr>
          </w:p>
        </w:tc>
        <w:tc>
          <w:tcPr>
            <w:tcW w:w="624" w:type="dxa"/>
          </w:tcPr>
          <w:p w:rsidR="00223B2E" w:rsidP="00E83333" w:rsidRDefault="00223B2E" w14:paraId="113653B1" w14:textId="77777777">
            <w:pPr>
              <w:pStyle w:val="TableText"/>
            </w:pPr>
          </w:p>
        </w:tc>
        <w:tc>
          <w:tcPr>
            <w:tcW w:w="7139" w:type="dxa"/>
            <w:gridSpan w:val="3"/>
          </w:tcPr>
          <w:p w:rsidR="00223B2E" w:rsidP="00E83333" w:rsidRDefault="00223B2E" w14:paraId="6C3574B4" w14:textId="77777777">
            <w:pPr>
              <w:pStyle w:val="TableBlock"/>
              <w:rPr>
                <w:rtl/>
              </w:rPr>
            </w:pPr>
            <w:r>
              <w:rPr>
                <w:rFonts w:hint="cs"/>
                <w:rtl/>
              </w:rPr>
              <w:t>(3)</w:t>
            </w:r>
            <w:r>
              <w:rPr>
                <w:rtl/>
              </w:rPr>
              <w:tab/>
            </w:r>
            <w:r>
              <w:rPr>
                <w:rFonts w:hint="cs"/>
                <w:rtl/>
              </w:rPr>
              <w:t xml:space="preserve">סעיף קטן (א2) </w:t>
            </w:r>
            <w:r>
              <w:rPr>
                <w:rtl/>
              </w:rPr>
              <w:t>–</w:t>
            </w:r>
            <w:r>
              <w:rPr>
                <w:rFonts w:hint="cs"/>
                <w:rtl/>
              </w:rPr>
              <w:t xml:space="preserve"> בטל.</w:t>
            </w:r>
          </w:p>
        </w:tc>
      </w:tr>
      <w:tr w:rsidR="00223B2E" w:rsidTr="006C19D6" w14:paraId="465C3659" w14:textId="77777777">
        <w:tblPrEx>
          <w:tblLook w:val="01E0" w:firstRow="1" w:lastRow="1" w:firstColumn="1" w:lastColumn="1" w:noHBand="0" w:noVBand="0"/>
        </w:tblPrEx>
        <w:trPr>
          <w:gridAfter w:val="1"/>
          <w:wAfter w:w="6" w:type="dxa"/>
          <w:cantSplit/>
          <w:trHeight w:val="60"/>
        </w:trPr>
        <w:tc>
          <w:tcPr>
            <w:tcW w:w="1872" w:type="dxa"/>
          </w:tcPr>
          <w:p w:rsidR="00223B2E" w:rsidP="00E83333" w:rsidRDefault="00223B2E" w14:paraId="60D37B09" w14:textId="77777777">
            <w:pPr>
              <w:pStyle w:val="TableSideHeading"/>
            </w:pPr>
          </w:p>
        </w:tc>
        <w:tc>
          <w:tcPr>
            <w:tcW w:w="624" w:type="dxa"/>
          </w:tcPr>
          <w:p w:rsidR="00223B2E" w:rsidP="00E83333" w:rsidRDefault="00223B2E" w14:paraId="2C23ED6D" w14:textId="77777777">
            <w:pPr>
              <w:pStyle w:val="TableText"/>
            </w:pPr>
          </w:p>
        </w:tc>
        <w:tc>
          <w:tcPr>
            <w:tcW w:w="7139" w:type="dxa"/>
            <w:gridSpan w:val="3"/>
          </w:tcPr>
          <w:p w:rsidR="00223B2E" w:rsidP="00E83333" w:rsidRDefault="00223B2E" w14:paraId="79582A50" w14:textId="77777777">
            <w:pPr>
              <w:pStyle w:val="TableBlock"/>
              <w:rPr>
                <w:rtl/>
              </w:rPr>
            </w:pPr>
            <w:r>
              <w:rPr>
                <w:rFonts w:hint="cs"/>
                <w:rtl/>
              </w:rPr>
              <w:t>(4)</w:t>
            </w:r>
            <w:r>
              <w:rPr>
                <w:rtl/>
              </w:rPr>
              <w:tab/>
            </w:r>
            <w:r>
              <w:rPr>
                <w:rFonts w:hint="cs"/>
                <w:rtl/>
              </w:rPr>
              <w:t>אחרי סעיף קטן (א2) יבוא:</w:t>
            </w:r>
          </w:p>
        </w:tc>
      </w:tr>
      <w:tr w:rsidR="00223B2E" w:rsidTr="006C19D6" w14:paraId="5BEA3CF6" w14:textId="77777777">
        <w:tblPrEx>
          <w:tblLook w:val="01E0" w:firstRow="1" w:lastRow="1" w:firstColumn="1" w:lastColumn="1" w:noHBand="0" w:noVBand="0"/>
        </w:tblPrEx>
        <w:trPr>
          <w:gridAfter w:val="1"/>
          <w:wAfter w:w="6" w:type="dxa"/>
          <w:cantSplit/>
          <w:trHeight w:val="60"/>
        </w:trPr>
        <w:tc>
          <w:tcPr>
            <w:tcW w:w="1872" w:type="dxa"/>
          </w:tcPr>
          <w:p w:rsidR="00223B2E" w:rsidP="00E83333" w:rsidRDefault="00223B2E" w14:paraId="5A9DD4C3" w14:textId="77777777">
            <w:pPr>
              <w:pStyle w:val="TableSideHeading"/>
            </w:pPr>
          </w:p>
        </w:tc>
        <w:tc>
          <w:tcPr>
            <w:tcW w:w="624" w:type="dxa"/>
          </w:tcPr>
          <w:p w:rsidR="00223B2E" w:rsidP="00E83333" w:rsidRDefault="00223B2E" w14:paraId="73F83446" w14:textId="77777777">
            <w:pPr>
              <w:pStyle w:val="TableText"/>
            </w:pPr>
          </w:p>
        </w:tc>
        <w:tc>
          <w:tcPr>
            <w:tcW w:w="625" w:type="dxa"/>
          </w:tcPr>
          <w:p w:rsidR="00223B2E" w:rsidP="00E83333" w:rsidRDefault="00223B2E" w14:paraId="13FA4FCD" w14:textId="77777777">
            <w:pPr>
              <w:pStyle w:val="TableText"/>
            </w:pPr>
          </w:p>
        </w:tc>
        <w:tc>
          <w:tcPr>
            <w:tcW w:w="6514" w:type="dxa"/>
            <w:gridSpan w:val="2"/>
          </w:tcPr>
          <w:p w:rsidR="00223B2E" w:rsidP="00E83333" w:rsidRDefault="00223B2E" w14:paraId="04D43462" w14:textId="77777777">
            <w:pPr>
              <w:pStyle w:val="TableBlock"/>
            </w:pPr>
            <w:r>
              <w:rPr>
                <w:rFonts w:hint="cs"/>
                <w:rtl/>
              </w:rPr>
              <w:t>"(א3)</w:t>
            </w:r>
            <w:r>
              <w:rPr>
                <w:rtl/>
              </w:rPr>
              <w:tab/>
            </w:r>
            <w:r>
              <w:rPr>
                <w:rFonts w:hint="cs"/>
                <w:rtl/>
              </w:rPr>
              <w:t>המנהל ידווח לוועדת הכספים של הכנסת אחת לחצי שנה החל מיום ב' בתמוז התשפ"ב (1 ביולי 2022) על כל אלה:</w:t>
            </w:r>
          </w:p>
        </w:tc>
      </w:tr>
      <w:tr w:rsidR="00223B2E" w:rsidTr="006C19D6" w14:paraId="74E6E458" w14:textId="77777777">
        <w:tblPrEx>
          <w:tblLook w:val="01E0" w:firstRow="1" w:lastRow="1" w:firstColumn="1" w:lastColumn="1" w:noHBand="0" w:noVBand="0"/>
        </w:tblPrEx>
        <w:trPr>
          <w:gridAfter w:val="1"/>
          <w:wAfter w:w="6" w:type="dxa"/>
          <w:cantSplit/>
          <w:trHeight w:val="60"/>
        </w:trPr>
        <w:tc>
          <w:tcPr>
            <w:tcW w:w="1872" w:type="dxa"/>
          </w:tcPr>
          <w:p w:rsidR="00223B2E" w:rsidP="00E83333" w:rsidRDefault="00223B2E" w14:paraId="44318D66" w14:textId="77777777">
            <w:pPr>
              <w:pStyle w:val="TableSideHeading"/>
            </w:pPr>
          </w:p>
        </w:tc>
        <w:tc>
          <w:tcPr>
            <w:tcW w:w="624" w:type="dxa"/>
          </w:tcPr>
          <w:p w:rsidR="00223B2E" w:rsidP="00E83333" w:rsidRDefault="00223B2E" w14:paraId="3C0A4857" w14:textId="77777777">
            <w:pPr>
              <w:pStyle w:val="TableText"/>
            </w:pPr>
          </w:p>
        </w:tc>
        <w:tc>
          <w:tcPr>
            <w:tcW w:w="625" w:type="dxa"/>
          </w:tcPr>
          <w:p w:rsidR="00223B2E" w:rsidP="00E83333" w:rsidRDefault="00223B2E" w14:paraId="7185F39D" w14:textId="77777777">
            <w:pPr>
              <w:pStyle w:val="TableText"/>
            </w:pPr>
          </w:p>
        </w:tc>
        <w:tc>
          <w:tcPr>
            <w:tcW w:w="623" w:type="dxa"/>
          </w:tcPr>
          <w:p w:rsidR="00223B2E" w:rsidP="00E83333" w:rsidRDefault="00223B2E" w14:paraId="3ADFCF36" w14:textId="77777777">
            <w:pPr>
              <w:pStyle w:val="TableText"/>
            </w:pPr>
          </w:p>
        </w:tc>
        <w:tc>
          <w:tcPr>
            <w:tcW w:w="5891" w:type="dxa"/>
          </w:tcPr>
          <w:p w:rsidR="00223B2E" w:rsidP="00E83333" w:rsidRDefault="00223B2E" w14:paraId="371D2A27" w14:textId="77777777">
            <w:pPr>
              <w:pStyle w:val="TableBlock"/>
            </w:pPr>
            <w:r>
              <w:rPr>
                <w:rFonts w:hint="cs"/>
                <w:rtl/>
              </w:rPr>
              <w:t>(1)</w:t>
            </w:r>
            <w:r>
              <w:rPr>
                <w:rtl/>
              </w:rPr>
              <w:tab/>
            </w:r>
            <w:r>
              <w:rPr>
                <w:rFonts w:hint="cs"/>
                <w:rtl/>
              </w:rPr>
              <w:t>בקשות לקביעת מוסד ציבורי כאמור בסעיף קטן (א) שאושרו על ידי המנהל, לרבות נתונים ביחס לבקשות כאמור;</w:t>
            </w:r>
          </w:p>
        </w:tc>
      </w:tr>
      <w:tr w:rsidR="00223B2E" w:rsidTr="006C19D6" w14:paraId="245C7388" w14:textId="77777777">
        <w:tblPrEx>
          <w:tblLook w:val="01E0" w:firstRow="1" w:lastRow="1" w:firstColumn="1" w:lastColumn="1" w:noHBand="0" w:noVBand="0"/>
        </w:tblPrEx>
        <w:trPr>
          <w:gridAfter w:val="1"/>
          <w:wAfter w:w="6" w:type="dxa"/>
          <w:cantSplit/>
          <w:trHeight w:val="60"/>
        </w:trPr>
        <w:tc>
          <w:tcPr>
            <w:tcW w:w="1872" w:type="dxa"/>
          </w:tcPr>
          <w:p w:rsidR="00223B2E" w:rsidP="00E83333" w:rsidRDefault="00223B2E" w14:paraId="58D2FD6D" w14:textId="77777777">
            <w:pPr>
              <w:pStyle w:val="TableSideHeading"/>
            </w:pPr>
          </w:p>
        </w:tc>
        <w:tc>
          <w:tcPr>
            <w:tcW w:w="624" w:type="dxa"/>
          </w:tcPr>
          <w:p w:rsidR="00223B2E" w:rsidP="00E83333" w:rsidRDefault="00223B2E" w14:paraId="3151295F" w14:textId="77777777">
            <w:pPr>
              <w:pStyle w:val="TableText"/>
            </w:pPr>
          </w:p>
        </w:tc>
        <w:tc>
          <w:tcPr>
            <w:tcW w:w="625" w:type="dxa"/>
          </w:tcPr>
          <w:p w:rsidR="00223B2E" w:rsidP="00E83333" w:rsidRDefault="00223B2E" w14:paraId="11ACF523" w14:textId="77777777">
            <w:pPr>
              <w:pStyle w:val="TableText"/>
            </w:pPr>
          </w:p>
        </w:tc>
        <w:tc>
          <w:tcPr>
            <w:tcW w:w="623" w:type="dxa"/>
          </w:tcPr>
          <w:p w:rsidR="00223B2E" w:rsidP="00E83333" w:rsidRDefault="00223B2E" w14:paraId="3344E81A" w14:textId="77777777">
            <w:pPr>
              <w:pStyle w:val="TableText"/>
            </w:pPr>
          </w:p>
        </w:tc>
        <w:tc>
          <w:tcPr>
            <w:tcW w:w="5891" w:type="dxa"/>
          </w:tcPr>
          <w:p w:rsidRPr="00D51425" w:rsidR="00223B2E" w:rsidP="00E83333" w:rsidRDefault="00223B2E" w14:paraId="7589039C" w14:textId="77777777">
            <w:pPr>
              <w:pStyle w:val="TableBlock"/>
            </w:pPr>
            <w:r>
              <w:rPr>
                <w:rFonts w:hint="cs"/>
                <w:rtl/>
              </w:rPr>
              <w:t>(2)</w:t>
            </w:r>
            <w:r>
              <w:rPr>
                <w:rtl/>
              </w:rPr>
              <w:tab/>
            </w:r>
            <w:r>
              <w:rPr>
                <w:rFonts w:hint="cs"/>
                <w:rtl/>
              </w:rPr>
              <w:t>פילוח נתונים בדבר המטרה הציבורית של מוסד ציבורי כאמור בפסקה (1);</w:t>
            </w:r>
          </w:p>
        </w:tc>
      </w:tr>
      <w:tr w:rsidR="00223B2E" w:rsidTr="006C19D6" w14:paraId="7599E11B" w14:textId="77777777">
        <w:tblPrEx>
          <w:tblLook w:val="01E0" w:firstRow="1" w:lastRow="1" w:firstColumn="1" w:lastColumn="1" w:noHBand="0" w:noVBand="0"/>
        </w:tblPrEx>
        <w:trPr>
          <w:gridAfter w:val="1"/>
          <w:wAfter w:w="6" w:type="dxa"/>
          <w:cantSplit/>
          <w:trHeight w:val="60"/>
        </w:trPr>
        <w:tc>
          <w:tcPr>
            <w:tcW w:w="1872" w:type="dxa"/>
          </w:tcPr>
          <w:p w:rsidR="00223B2E" w:rsidP="00E83333" w:rsidRDefault="00223B2E" w14:paraId="09C8E5A0" w14:textId="77777777">
            <w:pPr>
              <w:pStyle w:val="TableSideHeading"/>
            </w:pPr>
          </w:p>
        </w:tc>
        <w:tc>
          <w:tcPr>
            <w:tcW w:w="624" w:type="dxa"/>
          </w:tcPr>
          <w:p w:rsidR="00223B2E" w:rsidP="00E83333" w:rsidRDefault="00223B2E" w14:paraId="7B1DEDF5" w14:textId="77777777">
            <w:pPr>
              <w:pStyle w:val="TableText"/>
            </w:pPr>
          </w:p>
        </w:tc>
        <w:tc>
          <w:tcPr>
            <w:tcW w:w="625" w:type="dxa"/>
          </w:tcPr>
          <w:p w:rsidR="00223B2E" w:rsidP="00E83333" w:rsidRDefault="00223B2E" w14:paraId="463ED11B" w14:textId="77777777">
            <w:pPr>
              <w:pStyle w:val="TableText"/>
            </w:pPr>
          </w:p>
        </w:tc>
        <w:tc>
          <w:tcPr>
            <w:tcW w:w="623" w:type="dxa"/>
          </w:tcPr>
          <w:p w:rsidR="00223B2E" w:rsidP="00E83333" w:rsidRDefault="00223B2E" w14:paraId="72E8D172" w14:textId="77777777">
            <w:pPr>
              <w:pStyle w:val="TableText"/>
            </w:pPr>
          </w:p>
        </w:tc>
        <w:tc>
          <w:tcPr>
            <w:tcW w:w="5891" w:type="dxa"/>
          </w:tcPr>
          <w:p w:rsidR="00223B2E" w:rsidP="00E83333" w:rsidRDefault="00223B2E" w14:paraId="68B7FE0B" w14:textId="77777777">
            <w:pPr>
              <w:pStyle w:val="TableBlock"/>
              <w:rPr>
                <w:rtl/>
              </w:rPr>
            </w:pPr>
            <w:r>
              <w:rPr>
                <w:rFonts w:hint="cs"/>
                <w:rtl/>
              </w:rPr>
              <w:t>(3)</w:t>
            </w:r>
            <w:r>
              <w:rPr>
                <w:rtl/>
              </w:rPr>
              <w:tab/>
            </w:r>
            <w:r>
              <w:rPr>
                <w:rFonts w:hint="cs"/>
                <w:rtl/>
              </w:rPr>
              <w:t>בקשות לקביעת מוסד ציבורי כאמור בסעיף קטן (א) שנדחו על ידי המנהל והנימוקים לדחייתן."</w:t>
            </w:r>
          </w:p>
        </w:tc>
      </w:tr>
      <w:tr w:rsidRPr="001A638D" w:rsidR="00223B2E" w:rsidTr="006C19D6" w14:paraId="0076FA82" w14:textId="77777777">
        <w:trPr>
          <w:cantSplit/>
          <w:trHeight w:val="492"/>
        </w:trPr>
        <w:tc>
          <w:tcPr>
            <w:tcW w:w="1872" w:type="dxa"/>
            <w:tcBorders>
              <w:top w:val="nil"/>
              <w:left w:val="nil"/>
              <w:bottom w:val="nil"/>
              <w:right w:val="nil"/>
            </w:tcBorders>
          </w:tcPr>
          <w:p w:rsidRPr="001A638D" w:rsidR="00223B2E" w:rsidP="00E83333" w:rsidRDefault="00223B2E" w14:paraId="2B5DC557" w14:textId="77777777">
            <w:pPr>
              <w:pStyle w:val="TableSideHeading"/>
              <w:keepLines w:val="0"/>
              <w:rPr>
                <w:sz w:val="26"/>
                <w:rtl/>
              </w:rPr>
            </w:pPr>
            <w:r>
              <w:rPr>
                <w:rFonts w:hint="cs"/>
                <w:sz w:val="26"/>
                <w:rtl/>
              </w:rPr>
              <w:t>תיקון חוק מיסוי מקרקעין (שבח ורכישה)</w:t>
            </w:r>
          </w:p>
        </w:tc>
        <w:tc>
          <w:tcPr>
            <w:tcW w:w="624" w:type="dxa"/>
            <w:tcBorders>
              <w:top w:val="nil"/>
              <w:left w:val="nil"/>
              <w:bottom w:val="nil"/>
              <w:right w:val="nil"/>
            </w:tcBorders>
          </w:tcPr>
          <w:p w:rsidRPr="001A638D" w:rsidR="00223B2E" w:rsidP="00E83333" w:rsidRDefault="00223B2E" w14:paraId="47687040" w14:textId="77777777">
            <w:pPr>
              <w:pStyle w:val="TableText"/>
              <w:keepLines w:val="0"/>
              <w:rPr>
                <w:sz w:val="26"/>
                <w:rtl/>
              </w:rPr>
            </w:pPr>
            <w:r>
              <w:rPr>
                <w:rFonts w:hint="cs"/>
                <w:sz w:val="26"/>
                <w:rtl/>
              </w:rPr>
              <w:t>2.</w:t>
            </w:r>
          </w:p>
        </w:tc>
        <w:tc>
          <w:tcPr>
            <w:tcW w:w="7145" w:type="dxa"/>
            <w:gridSpan w:val="4"/>
            <w:tcBorders>
              <w:top w:val="nil"/>
              <w:left w:val="nil"/>
              <w:bottom w:val="nil"/>
              <w:right w:val="nil"/>
            </w:tcBorders>
          </w:tcPr>
          <w:p w:rsidRPr="001A638D" w:rsidR="00223B2E" w:rsidP="00E83333" w:rsidRDefault="00223B2E" w14:paraId="0CA71255" w14:textId="464C623F">
            <w:pPr>
              <w:pStyle w:val="TableBlock"/>
              <w:keepLines w:val="0"/>
              <w:rPr>
                <w:sz w:val="26"/>
                <w:rtl/>
              </w:rPr>
            </w:pPr>
            <w:r>
              <w:rPr>
                <w:rFonts w:hint="cs"/>
                <w:sz w:val="26"/>
                <w:rtl/>
              </w:rPr>
              <w:t>בחוק מיסוי מקרקעין (שבח ורכישה), התשכ"ג</w:t>
            </w:r>
            <w:r w:rsidR="006C19D6">
              <w:rPr>
                <w:sz w:val="26"/>
                <w:rtl/>
              </w:rPr>
              <w:t>–</w:t>
            </w:r>
            <w:bookmarkStart w:name="_GoBack" w:id="8"/>
            <w:bookmarkEnd w:id="8"/>
            <w:r>
              <w:rPr>
                <w:rFonts w:hint="cs"/>
                <w:sz w:val="26"/>
                <w:rtl/>
              </w:rPr>
              <w:t>1963, בסעיף 61(ד), במקום "שר האוצר באישור ועדת הכספים של הכנסת" יבוא "מנהל רשות המסים".</w:t>
            </w:r>
          </w:p>
        </w:tc>
      </w:tr>
    </w:tbl>
    <w:p w:rsidR="006C19D6" w:rsidP="002D1EE3" w:rsidRDefault="006C19D6" w14:paraId="23691C12" w14:textId="77777777">
      <w:pPr>
        <w:pStyle w:val="HeadDivreiHesber"/>
        <w:rPr>
          <w:rtl/>
        </w:rPr>
      </w:pPr>
      <w:r>
        <w:rPr>
          <w:rtl/>
        </w:rPr>
        <w:br w:type="page"/>
      </w:r>
    </w:p>
    <w:p w:rsidR="002D1EE3" w:rsidP="002D1EE3" w:rsidRDefault="002D1EE3" w14:paraId="7F6961CA" w14:textId="45748D9A">
      <w:pPr>
        <w:pStyle w:val="HeadDivreiHesber"/>
        <w:rPr>
          <w:rtl/>
        </w:rPr>
      </w:pPr>
      <w:r w:rsidRPr="0027450A">
        <w:rPr>
          <w:rFonts w:hint="cs"/>
          <w:rtl/>
        </w:rPr>
        <w:lastRenderedPageBreak/>
        <w:t>דברי הסבר</w:t>
      </w:r>
    </w:p>
    <w:p w:rsidRPr="006C19D6" w:rsidR="00223B2E" w:rsidP="006C19D6" w:rsidRDefault="00223B2E" w14:paraId="4D38F03E" w14:textId="77777777">
      <w:pPr>
        <w:pStyle w:val="Hesber"/>
      </w:pPr>
      <w:r w:rsidRPr="006C19D6">
        <w:rPr>
          <w:rFonts w:hint="cs"/>
          <w:rtl/>
        </w:rPr>
        <w:t>סעיף 46(א) לפקודת מס הכנסה קובע שאדם שתרם בשנת מס סכום העולה על 190 ש"ח לקרן לאומית או למוסד ציבורי, כמשמעותו בסעיף 9(2), שקבע שר האוצר, באישור ועדת הכספים, יזוכה מהמס שהוא חייב בו באותה שנה בשיעור של 35% מסכום התרומה, ולחברה - בשיעור מס החברות (23% לשנת 2021).</w:t>
      </w:r>
    </w:p>
    <w:p w:rsidRPr="006C19D6" w:rsidR="00223B2E" w:rsidP="006C19D6" w:rsidRDefault="00223B2E" w14:paraId="1C655D5B" w14:textId="77777777">
      <w:pPr>
        <w:pStyle w:val="Hesber"/>
      </w:pPr>
      <w:r w:rsidRPr="006C19D6">
        <w:rPr>
          <w:rtl/>
        </w:rPr>
        <w:t>מוסד ציבורי שהוכר לפי סעיף 46 לפקודת מס הכנסה ייחשב גם כמוסד ציבורי לצורך סעיף 61 לחוק מיסוי מקרקעין</w:t>
      </w:r>
      <w:r w:rsidRPr="006C19D6">
        <w:rPr>
          <w:rFonts w:hint="cs"/>
          <w:rtl/>
        </w:rPr>
        <w:t xml:space="preserve"> (שבח ורכישה), התשכ"ג-1963 (להלן </w:t>
      </w:r>
      <w:r w:rsidRPr="006C19D6">
        <w:rPr>
          <w:rtl/>
        </w:rPr>
        <w:t>–</w:t>
      </w:r>
      <w:r w:rsidRPr="006C19D6">
        <w:rPr>
          <w:rFonts w:hint="cs"/>
          <w:rtl/>
        </w:rPr>
        <w:t xml:space="preserve"> חוק מיסוי מקרקעין), </w:t>
      </w:r>
      <w:r w:rsidRPr="006C19D6">
        <w:rPr>
          <w:rtl/>
        </w:rPr>
        <w:t>ויחול לגביו פטור מלא או יחסי ממס במכירת זכות במקרקעין, בהתאם לתקופה שבה החזיק המוסד בנכס ולתקופה שבה עשה המוסד שימוש בנכס.</w:t>
      </w:r>
    </w:p>
    <w:p w:rsidRPr="006C19D6" w:rsidR="00223B2E" w:rsidP="006C19D6" w:rsidRDefault="00223B2E" w14:paraId="77BB35EF" w14:textId="77777777">
      <w:pPr>
        <w:pStyle w:val="Hesber"/>
      </w:pPr>
      <w:r w:rsidRPr="006C19D6">
        <w:rPr>
          <w:rFonts w:hint="cs"/>
          <w:rtl/>
        </w:rPr>
        <w:t>בפסק דינו בבג"צ 10893/08 עמותה לויפאסנה בישראל נ' שר האוצר, בית המשפט דחה את העתירה, אך התייחס לצורך בהסדרת המדיניות ביחס לסעיף 46 לפקודה, והמליץ לשר האוצר לגבש בתוך שנה קריטריונים שיהיה בהם כדי לאיין את החשש מפני הפעלה מפלה של הסמכות המסורה לשר האוצר מכוח אותו סעיף.</w:t>
      </w:r>
    </w:p>
    <w:p w:rsidRPr="006C19D6" w:rsidR="00223B2E" w:rsidP="006C19D6" w:rsidRDefault="00223B2E" w14:paraId="641115C5" w14:textId="77777777">
      <w:pPr>
        <w:pStyle w:val="Hesber"/>
        <w:rPr>
          <w:rtl/>
        </w:rPr>
      </w:pPr>
      <w:r w:rsidRPr="006C19D6">
        <w:rPr>
          <w:rFonts w:hint="cs"/>
          <w:rtl/>
        </w:rPr>
        <w:t xml:space="preserve">בשנת 2013 </w:t>
      </w:r>
      <w:r w:rsidRPr="006C19D6">
        <w:rPr>
          <w:rtl/>
        </w:rPr>
        <w:t>מינה שר האוצר</w:t>
      </w:r>
      <w:r w:rsidRPr="006C19D6">
        <w:rPr>
          <w:rFonts w:hint="cs"/>
          <w:rtl/>
        </w:rPr>
        <w:t xml:space="preserve"> </w:t>
      </w:r>
      <w:r w:rsidRPr="006C19D6">
        <w:rPr>
          <w:rtl/>
        </w:rPr>
        <w:t xml:space="preserve">ועדה ציבורית </w:t>
      </w:r>
      <w:r w:rsidRPr="006C19D6">
        <w:rPr>
          <w:rFonts w:hint="cs"/>
          <w:rtl/>
        </w:rPr>
        <w:t>לקביעת מוסד ציבורי לעניין סעיף 46 לפקודת מס הכנסה (להלן – ועדת פריש), שתבחן</w:t>
      </w:r>
      <w:r w:rsidRPr="006C19D6">
        <w:rPr>
          <w:rtl/>
        </w:rPr>
        <w:t xml:space="preserve"> </w:t>
      </w:r>
      <w:r w:rsidRPr="006C19D6">
        <w:rPr>
          <w:rFonts w:hint="cs"/>
          <w:rtl/>
        </w:rPr>
        <w:t>את אמות המידה והקריטריונים לפיהם יקבע מוסד ציבורי. הוועדה קיימה דיונים רבים בשאלת גדר סמכויותיהם של שר האוצר ושל ועדת הכספים. בהמלצותיה נקבע כי סמכות האישור לעניין סעיף 46 תופקד בידי מנהל רשות המסים במקום שר האוצר. לגבי סמכותה של ועדת הכספים - ועדת פריש המליצה ברוב דיעות כי רשימה שתגובש על ידי מנהל רשות המסים, תועבר לוועדת הכספים ותופץ לתקופה של 14 ימים, וככל שוועדת הכספים לא תבקש לקיים דיון ביחס לעמותה ברשימה, הרשימה תיכנס לתוקף בתום אותה תקופה. דעת המיעוט בוועדת פריש, סברה כי יש לבטל את סמכויות ועדת הכספים כגורם מאשר בפרט נוכח העובדה שמבקשי ההכרה הם גופי המגזר השלישי הפועלים לעיתים בניגוד לעמדתם הפוליטית של חברי הוועדה. לשם קביעת המלצת ועדת פריש האמורה נדרש תיקון חקיקה שלא נעשה.</w:t>
      </w:r>
    </w:p>
    <w:p w:rsidRPr="006C19D6" w:rsidR="00223B2E" w:rsidP="006C19D6" w:rsidRDefault="00223B2E" w14:paraId="7E7D21D2" w14:textId="77777777">
      <w:pPr>
        <w:pStyle w:val="Hesber"/>
        <w:rPr>
          <w:rtl/>
        </w:rPr>
      </w:pPr>
      <w:r w:rsidRPr="006C19D6">
        <w:rPr>
          <w:rFonts w:hint="cs"/>
          <w:rtl/>
        </w:rPr>
        <w:t xml:space="preserve">שר האוצר אימץ את מסקנות ועדת פריש והאציל את סמכותו למנהל רשות המסים. כמו כן, רשות המסים תיקנה את החוזר להליך אישור סעיף 46 ברשות המסים. בחוזר החדש נשמטו קריטריונים ושיקולים מהותיים שהיו קיימים בחוזרים הקודמים, דבר שהוביל לאישורם של מוסדות ציבור שבעבר לא אושרו והבאתם בפני ועדת הכספים על מנת שזו תקבל החלטה לאישורם בין היתר לפי אותם קריטריונים מהותיים שנשמטו מהחוזר. לשם כך, ועדת הכספים קבעה נוהל לדיוניה במוסדות ציבור. </w:t>
      </w:r>
    </w:p>
    <w:p w:rsidRPr="006C19D6" w:rsidR="00223B2E" w:rsidP="006C19D6" w:rsidRDefault="00223B2E" w14:paraId="21876DC7" w14:textId="77777777">
      <w:pPr>
        <w:pStyle w:val="Hesber"/>
        <w:rPr>
          <w:rtl/>
        </w:rPr>
      </w:pPr>
      <w:r w:rsidRPr="006C19D6">
        <w:rPr>
          <w:rFonts w:hint="cs"/>
          <w:rtl/>
        </w:rPr>
        <w:t xml:space="preserve">במסגרת הנוהל נקבע האופן שבו על רשות המסים להגיש את רשימת העמותות לחברי הוועדה לרבות הפירוט הנדרש בעניין העמותות המובאות לאישור הוועדה, כמו כן נקבעו בנוהל הוראות לעניין אופן הפעלת שיקול הדעת על ידי חברי הוועדה, ובכלל זה נקבע בנוהל כי חברי הוועדה רשאים לשקול, בין היתר, האם המטרה הציבורית או פעילות העמותה עומדים בקנה אחד עם מדיניות המחוקק לתקצוב עקיף, וכן רשאים להתייחס לשאלה האם המטרה הציבורית או הפעילות שמממשת אותה על ידי אותה עמותה שנויות במחלוקת ציבורית עמוקה כזו שמביאה לכך שאין זה ראוי לתקצב אותה באופן האמור (החלטה כזו צריך שתתקבל ברוב מיוחד של 2/3 מבין חברי הוועדה ש-1/3 מתוכם מבין חברי האופוזיציה). </w:t>
      </w:r>
    </w:p>
    <w:p w:rsidRPr="006C19D6" w:rsidR="00223B2E" w:rsidP="006C19D6" w:rsidRDefault="00223B2E" w14:paraId="638B21C4" w14:textId="77777777">
      <w:pPr>
        <w:pStyle w:val="Hesber"/>
        <w:rPr>
          <w:rtl/>
        </w:rPr>
      </w:pPr>
      <w:r w:rsidRPr="006C19D6">
        <w:rPr>
          <w:rFonts w:hint="cs"/>
          <w:rtl/>
        </w:rPr>
        <w:t xml:space="preserve">בהתאם להוראות הנוהל ועדת הכספים החליטה שלא להכיר בשתי עמותות של יהודים משיחיים </w:t>
      </w:r>
      <w:r w:rsidRPr="006C19D6">
        <w:rPr>
          <w:rFonts w:hint="cs"/>
          <w:rtl/>
        </w:rPr>
        <w:lastRenderedPageBreak/>
        <w:t>כמוסד ציבורי שפועל למען מטרה ציבורית. הוועדה סברה שמדובר בפעילות מיסיון המצויה "במחלוקת ציבורית עמוקה", אשר אינה מצדיקה את התקצוב העקיף שלה באמצעות ההכרה בה כ"מוסד ציבורי".</w:t>
      </w:r>
    </w:p>
    <w:p w:rsidRPr="006C19D6" w:rsidR="00223B2E" w:rsidP="006C19D6" w:rsidRDefault="00223B2E" w14:paraId="6B9B3810" w14:textId="77777777">
      <w:pPr>
        <w:pStyle w:val="Hesber"/>
        <w:rPr>
          <w:rtl/>
        </w:rPr>
      </w:pPr>
      <w:r w:rsidRPr="006C19D6">
        <w:rPr>
          <w:rFonts w:hint="cs"/>
          <w:rtl/>
        </w:rPr>
        <w:t>כנגד החלטות אלה עתרו העמותות - בבג"צ 2334/17 יחד רמת השרון נגד ועדת הכספים</w:t>
      </w:r>
      <w:r w:rsidRPr="006C19D6">
        <w:rPr>
          <w:rtl/>
        </w:rPr>
        <w:t xml:space="preserve"> </w:t>
      </w:r>
      <w:r w:rsidRPr="006C19D6">
        <w:rPr>
          <w:rFonts w:hint="eastAsia"/>
          <w:rtl/>
        </w:rPr>
        <w:t>נטען</w:t>
      </w:r>
      <w:r w:rsidRPr="006C19D6">
        <w:rPr>
          <w:rFonts w:hint="cs"/>
          <w:rtl/>
        </w:rPr>
        <w:t>,</w:t>
      </w:r>
      <w:r w:rsidRPr="006C19D6">
        <w:rPr>
          <w:rtl/>
        </w:rPr>
        <w:t xml:space="preserve"> </w:t>
      </w:r>
      <w:r w:rsidRPr="006C19D6">
        <w:rPr>
          <w:rFonts w:hint="cs"/>
          <w:rtl/>
        </w:rPr>
        <w:t xml:space="preserve">בין היתר, </w:t>
      </w:r>
      <w:r w:rsidRPr="006C19D6">
        <w:rPr>
          <w:rFonts w:hint="eastAsia"/>
          <w:rtl/>
        </w:rPr>
        <w:t>כי</w:t>
      </w:r>
      <w:r w:rsidRPr="006C19D6">
        <w:rPr>
          <w:rFonts w:hint="cs"/>
          <w:rtl/>
        </w:rPr>
        <w:t xml:space="preserve"> </w:t>
      </w:r>
      <w:r w:rsidRPr="006C19D6">
        <w:rPr>
          <w:rFonts w:hint="eastAsia"/>
          <w:rtl/>
        </w:rPr>
        <w:t>בהחלטת</w:t>
      </w:r>
      <w:r w:rsidRPr="006C19D6">
        <w:rPr>
          <w:rtl/>
        </w:rPr>
        <w:t xml:space="preserve"> ועדת הכספים נפלו פגמים, כי </w:t>
      </w:r>
      <w:r w:rsidRPr="006C19D6">
        <w:rPr>
          <w:rFonts w:hint="eastAsia"/>
          <w:rtl/>
        </w:rPr>
        <w:t>מדובר</w:t>
      </w:r>
      <w:r w:rsidRPr="006C19D6">
        <w:rPr>
          <w:rtl/>
        </w:rPr>
        <w:t xml:space="preserve"> בהחלטה מפלה, שהתקבלה על יסוד שיקולים זרים</w:t>
      </w:r>
      <w:r w:rsidRPr="006C19D6">
        <w:rPr>
          <w:rFonts w:hint="cs"/>
          <w:rtl/>
        </w:rPr>
        <w:t xml:space="preserve">. </w:t>
      </w:r>
      <w:r w:rsidRPr="006C19D6">
        <w:rPr>
          <w:rtl/>
        </w:rPr>
        <w:t xml:space="preserve">כמו כן </w:t>
      </w:r>
      <w:r w:rsidRPr="006C19D6">
        <w:rPr>
          <w:rFonts w:hint="eastAsia"/>
          <w:rtl/>
        </w:rPr>
        <w:t>נטען</w:t>
      </w:r>
      <w:r w:rsidRPr="006C19D6">
        <w:rPr>
          <w:rtl/>
        </w:rPr>
        <w:t xml:space="preserve"> </w:t>
      </w:r>
      <w:r w:rsidRPr="006C19D6">
        <w:rPr>
          <w:rFonts w:hint="eastAsia"/>
          <w:rtl/>
        </w:rPr>
        <w:t>כי</w:t>
      </w:r>
      <w:r w:rsidRPr="006C19D6">
        <w:rPr>
          <w:rtl/>
        </w:rPr>
        <w:t xml:space="preserve"> </w:t>
      </w:r>
      <w:r w:rsidRPr="006C19D6">
        <w:rPr>
          <w:rFonts w:hint="eastAsia"/>
          <w:rtl/>
        </w:rPr>
        <w:t>הקריטריון</w:t>
      </w:r>
      <w:r w:rsidRPr="006C19D6">
        <w:rPr>
          <w:rtl/>
        </w:rPr>
        <w:t xml:space="preserve"> </w:t>
      </w:r>
      <w:r w:rsidRPr="006C19D6">
        <w:rPr>
          <w:rFonts w:hint="eastAsia"/>
          <w:rtl/>
        </w:rPr>
        <w:t>שעניינו</w:t>
      </w:r>
      <w:r w:rsidRPr="006C19D6">
        <w:rPr>
          <w:rtl/>
        </w:rPr>
        <w:t xml:space="preserve"> </w:t>
      </w:r>
      <w:r w:rsidRPr="006C19D6">
        <w:rPr>
          <w:rFonts w:hint="eastAsia"/>
          <w:rtl/>
        </w:rPr>
        <w:t>קיומה</w:t>
      </w:r>
      <w:r w:rsidRPr="006C19D6">
        <w:rPr>
          <w:rtl/>
        </w:rPr>
        <w:t xml:space="preserve"> </w:t>
      </w:r>
      <w:r w:rsidRPr="006C19D6">
        <w:rPr>
          <w:rFonts w:hint="eastAsia"/>
          <w:rtl/>
        </w:rPr>
        <w:t>של</w:t>
      </w:r>
      <w:r w:rsidRPr="006C19D6">
        <w:rPr>
          <w:rtl/>
        </w:rPr>
        <w:t xml:space="preserve"> </w:t>
      </w:r>
      <w:r w:rsidRPr="006C19D6">
        <w:rPr>
          <w:rFonts w:hint="eastAsia"/>
          <w:rtl/>
        </w:rPr>
        <w:t>מחלוקת</w:t>
      </w:r>
      <w:r w:rsidRPr="006C19D6">
        <w:rPr>
          <w:rtl/>
        </w:rPr>
        <w:t xml:space="preserve"> </w:t>
      </w:r>
      <w:r w:rsidRPr="006C19D6">
        <w:rPr>
          <w:rFonts w:hint="eastAsia"/>
          <w:rtl/>
        </w:rPr>
        <w:t>ציבורית</w:t>
      </w:r>
      <w:r w:rsidRPr="006C19D6">
        <w:rPr>
          <w:rtl/>
        </w:rPr>
        <w:t xml:space="preserve"> </w:t>
      </w:r>
      <w:r w:rsidRPr="006C19D6">
        <w:rPr>
          <w:rFonts w:hint="eastAsia"/>
          <w:rtl/>
        </w:rPr>
        <w:t>עמוקה</w:t>
      </w:r>
      <w:r w:rsidRPr="006C19D6">
        <w:rPr>
          <w:rtl/>
        </w:rPr>
        <w:t xml:space="preserve"> </w:t>
      </w:r>
      <w:r w:rsidRPr="006C19D6">
        <w:rPr>
          <w:rFonts w:hint="eastAsia"/>
          <w:rtl/>
        </w:rPr>
        <w:t>המעוגן</w:t>
      </w:r>
      <w:r w:rsidRPr="006C19D6">
        <w:rPr>
          <w:rtl/>
        </w:rPr>
        <w:t xml:space="preserve"> </w:t>
      </w:r>
      <w:r w:rsidRPr="006C19D6">
        <w:rPr>
          <w:rFonts w:hint="eastAsia"/>
          <w:rtl/>
        </w:rPr>
        <w:t>בנוהל</w:t>
      </w:r>
      <w:r w:rsidRPr="006C19D6">
        <w:rPr>
          <w:rtl/>
        </w:rPr>
        <w:t xml:space="preserve"> </w:t>
      </w:r>
      <w:r w:rsidRPr="006C19D6">
        <w:rPr>
          <w:rFonts w:hint="eastAsia"/>
          <w:rtl/>
        </w:rPr>
        <w:t>הוועדה</w:t>
      </w:r>
      <w:r w:rsidRPr="006C19D6">
        <w:rPr>
          <w:rtl/>
        </w:rPr>
        <w:t xml:space="preserve"> </w:t>
      </w:r>
      <w:r w:rsidRPr="006C19D6">
        <w:rPr>
          <w:rFonts w:hint="eastAsia"/>
          <w:rtl/>
        </w:rPr>
        <w:t>פסול</w:t>
      </w:r>
      <w:r w:rsidRPr="006C19D6">
        <w:rPr>
          <w:rtl/>
        </w:rPr>
        <w:t xml:space="preserve">. </w:t>
      </w:r>
    </w:p>
    <w:p w:rsidRPr="006C19D6" w:rsidR="00223B2E" w:rsidP="006C19D6" w:rsidRDefault="00223B2E" w14:paraId="3CC2B22D" w14:textId="77777777">
      <w:pPr>
        <w:pStyle w:val="Hesber"/>
        <w:rPr>
          <w:rtl/>
        </w:rPr>
      </w:pPr>
      <w:r w:rsidRPr="006C19D6">
        <w:rPr>
          <w:rFonts w:hint="cs"/>
          <w:rtl/>
        </w:rPr>
        <w:t>בפסק הדין קבע בית המשפט כי בשלב אישור המוסדות מוקנה לשר האוצר (ולרשות המסים שהוא האציל לה את סמכותו) שיקול דעת "חלש" לבחינת פעילות המוסדות אשר פועלים לקידום המטרות הציבוריות אשר הוכרו כמקנות את הזיכוי ממס. נקבע כי משנקבעה המטרה הציבורית, יש למקד את שיקול הדעת של שר האוצר (ורשות המסים) לבחינת היבטים טכניים וניהוליים בלבד, ללא הפעלת שיקול דעת מהותי. בהתאם, ובשים לב לסמכות הייחודית של ועדת הכספים אשר נוגעת לאישור פרטני של כל מוסד ומוסד, נקבע כי גם לוועדת הכספים יש שיקול דעת מוגבל בבואה לאשר את החלטת רשות המסים. לפיכך נקבע, כי תפקידה של הוועדה בשלב זה מתמקד בקיום פיקוח פרלמנטרי על הפעילות התקינה של רשות המסים, והיא אינה רשאית להפעיל שיקול דעת מהותי "חזק" כפי שהפעילה בקביעתה כי פעילות העמותה שנויה במחלוקת ציבורית עמוקה. כפי שנקבע, לצורך מילוי תפקידה הפיקוחי עומדת בפני ועדת הכספים האפשרות לדרוש הבהרות ובדיקות נוספות מרשות המסים, לבחון את המסכת העובדתית ואת האופן שבו יושמו הקריטריונים והתנאים להכרה כמוסד ציבורי. בשים לב לכך, לעיתים עשויה הבדיקה להוביל למסקנה שאין לאשר את הבקשה של המוסד. כך אם מצאה כי קיים פגם בתשתית העובדתית או כשלא ניתן להסיק ממנה כי מתקיימים הקריטריונים לזכאות.</w:t>
      </w:r>
    </w:p>
    <w:p w:rsidRPr="006C19D6" w:rsidR="00223B2E" w:rsidP="006C19D6" w:rsidRDefault="00223B2E" w14:paraId="143A45A3" w14:textId="77777777">
      <w:pPr>
        <w:pStyle w:val="Hesber"/>
        <w:rPr>
          <w:rtl/>
        </w:rPr>
      </w:pPr>
      <w:r w:rsidRPr="006C19D6">
        <w:rPr>
          <w:rFonts w:hint="cs"/>
          <w:rtl/>
        </w:rPr>
        <w:t xml:space="preserve">לאור האמור, וכיוון שוועדת הכספים אינה יכולה עוד להפעיל שיקול דעת מהותי, בהצעת חוק זו מוצע לקבוע כי לא יידרש אישור ועדת הכספים בקביעת מוסד ציבורי לצורך סעיף 46 לפקודת מס הכנסה וסעיף 61 לחוק מיסוי מקרקעין. יחד עם זאת, מוצע לקבוע כי מנהל רשות המסים ידווח לוועדת הכספים אחת לחצי שנה על בקשות לקביעת מוסד ציבורי שאושרו או שנדחו על ידו.  </w:t>
      </w:r>
    </w:p>
    <w:p w:rsidR="00E13C27" w:rsidP="006C19D6" w:rsidRDefault="00E13C27" w14:paraId="7F6961CB" w14:textId="3FB074BA">
      <w:pPr>
        <w:pStyle w:val="Hesber"/>
        <w:ind w:firstLine="0"/>
        <w:rPr>
          <w:rtl/>
        </w:rPr>
      </w:pPr>
    </w:p>
    <w:p w:rsidR="00F23D15" w:rsidRDefault="006C19D6" w14:paraId="37570B71" w14:textId="77777777">
      <w:pPr>
        <w:spacing w:before="0" w:line="360" w:lineRule="auto"/>
        <w:jc w:val="left"/>
      </w:pPr>
      <w:bookmarkStart w:name="selectedDocDateB" w:id="9"/>
      <w:bookmarkEnd w:id="9"/>
      <w:r>
        <w:rPr>
          <w:rFonts w:hint="cs" w:ascii="David" w:hAnsi="David" w:eastAsia="David" w:cs="David"/>
          <w:sz w:val="26"/>
          <w:szCs w:val="26"/>
          <w:rtl/>
        </w:rPr>
        <w:t>--------------------------------</w:t>
      </w:r>
    </w:p>
    <w:p w:rsidR="00F23D15" w:rsidRDefault="006C19D6" w14:paraId="215EB17D" w14:textId="77777777">
      <w:pPr>
        <w:spacing w:before="0" w:line="360" w:lineRule="auto"/>
        <w:jc w:val="left"/>
      </w:pPr>
      <w:r>
        <w:rPr>
          <w:rFonts w:hint="cs" w:ascii="David" w:hAnsi="David" w:eastAsia="David" w:cs="David"/>
          <w:sz w:val="26"/>
          <w:szCs w:val="26"/>
          <w:rtl/>
        </w:rPr>
        <w:t>הוגשה ליו"ר הכנסת והסגנים</w:t>
      </w:r>
    </w:p>
    <w:p w:rsidR="00F23D15" w:rsidRDefault="006C19D6" w14:paraId="48CBCE2B" w14:textId="77777777">
      <w:pPr>
        <w:spacing w:before="0" w:line="360" w:lineRule="auto"/>
        <w:jc w:val="left"/>
      </w:pPr>
      <w:r>
        <w:rPr>
          <w:rFonts w:hint="cs" w:ascii="David" w:hAnsi="David" w:eastAsia="David" w:cs="David"/>
          <w:sz w:val="26"/>
          <w:szCs w:val="26"/>
          <w:rtl/>
        </w:rPr>
        <w:t>והונחה על שולחן הכנסת בי</w:t>
      </w:r>
      <w:r>
        <w:rPr>
          <w:rFonts w:hint="cs" w:ascii="David" w:hAnsi="David" w:eastAsia="David" w:cs="David"/>
          <w:sz w:val="26"/>
          <w:szCs w:val="26"/>
          <w:rtl/>
        </w:rPr>
        <w:t>ום</w:t>
      </w:r>
    </w:p>
    <w:p w:rsidR="00F23D15" w:rsidRDefault="006C19D6" w14:paraId="4DB12595" w14:textId="77777777">
      <w:pPr>
        <w:spacing w:before="0" w:line="360" w:lineRule="auto"/>
        <w:jc w:val="left"/>
      </w:pPr>
      <w:r>
        <w:rPr>
          <w:rFonts w:hint="cs" w:ascii="David" w:hAnsi="David" w:eastAsia="David" w:cs="David"/>
          <w:sz w:val="26"/>
          <w:szCs w:val="26"/>
          <w:rtl/>
        </w:rPr>
        <w:t xml:space="preserve">כ"ג בטבת התשפ"ב (27.12.2021) </w:t>
      </w:r>
    </w:p>
    <w:p w:rsidR="00F23D15" w:rsidRDefault="00F23D15" w14:paraId="0D0C9905" w14:textId="77777777">
      <w:pPr>
        <w:spacing w:before="0" w:line="276" w:lineRule="auto"/>
        <w:jc w:val="left"/>
      </w:pPr>
    </w:p>
    <w:sectPr w:rsidR="00F23D15"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7" w14:textId="66A0B5BC"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6C19D6">
      <w:rPr>
        <w:rStyle w:val="ab"/>
        <w:noProof/>
        <w:rtl/>
      </w:rPr>
      <w:t>3</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6F750678" w14:textId="77777777" w:rsidR="00223B2E" w:rsidRDefault="00223B2E" w:rsidP="00223B2E">
      <w:pPr>
        <w:pStyle w:val="a4"/>
      </w:pPr>
      <w:r>
        <w:rPr>
          <w:rStyle w:val="a6"/>
        </w:rPr>
        <w:footnoteRef/>
      </w:r>
      <w:r>
        <w:rPr>
          <w:sz w:val="20"/>
          <w:rtl/>
        </w:rPr>
        <w:t xml:space="preserve"> דיני מדינת ישראל, נוסח חדש 6, עמ' 120.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23B2E"/>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9D6"/>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23D15"/>
    <w:rsid w:val="00F441F4"/>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7DE4CA2F-D571-407F-ABF3-F1C9CCC4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locked/>
    <w:rsid w:val="00223B2E"/>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FE580-D019-4A3D-8F84-9C95A3FAE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F34CB2D-E829-4BBC-8926-36C73EFE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971</Words>
  <Characters>4857</Characters>
  <Application>Microsoft Office Word</Application>
  <DocSecurity>0</DocSecurity>
  <Lines>40</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8</cp:revision>
  <cp:lastPrinted>2013-07-04T08:25:00Z</cp:lastPrinted>
  <dcterms:created xsi:type="dcterms:W3CDTF">2015-04-20T09:58:00Z</dcterms:created>
  <dcterms:modified xsi:type="dcterms:W3CDTF">2021-12-23T09:01:00Z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2167101</vt:r8>
  </property>
</Properties>
</file>