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2165952</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A" w14:textId="3B9A5EA4" w:rsidR="00E13C27" w:rsidRPr="00CF1AA2" w:rsidRDefault="008F6665" w:rsidP="003B648F">
      <w:pPr>
        <w:pStyle w:val="David"/>
        <w:spacing w:before="102"/>
        <w:ind w:left="3544"/>
        <w:rPr>
          <w:b/>
          <w:bCs/>
          <w:sz w:val="16"/>
          <w:szCs w:val="16"/>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דוד אמסלם</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1CAF57ED" w:rsidR="00E13C27" w:rsidRPr="00E06736" w:rsidRDefault="00FF025B" w:rsidP="00904591">
      <w:pPr>
        <w:pStyle w:val="David"/>
        <w:spacing w:line="240" w:lineRule="auto"/>
        <w:ind w:left="3544"/>
        <w:rPr>
          <w:rtl/>
        </w:rPr>
      </w:pPr>
      <w:r>
        <w:rPr>
          <w:rFonts w:hint="cs"/>
          <w:rtl/>
        </w:rPr>
        <w:t xml:space="preserve">       </w:t>
      </w:r>
      <w:bookmarkStart w:id="6" w:name="_GoBack"/>
      <w:bookmarkEnd w:id="6"/>
      <w:r w:rsidR="00904591">
        <w:t xml:space="preserve">                                            </w:t>
      </w:r>
      <w:r w:rsidR="008F1308">
        <w:t xml:space="preserve"> </w:t>
      </w:r>
      <w:bookmarkStart w:id="7" w:name="Private_Number"/>
      <w:r w:rsidR="00904591">
        <w:rPr>
          <w:rFonts w:hint="cs"/>
          <w:rtl/>
        </w:rPr>
        <w:t>פ/2729/24</w:t>
      </w:r>
      <w:bookmarkEnd w:id="7"/>
    </w:p>
    <w:p w14:paraId="7F6961AC" w14:textId="77777777" w:rsidR="00E13C27" w:rsidRDefault="00E13C27" w:rsidP="00E13C27">
      <w:pPr>
        <w:ind w:left="2880" w:firstLine="720"/>
        <w:rPr>
          <w:sz w:val="26"/>
          <w:szCs w:val="26"/>
          <w:rtl/>
        </w:rPr>
      </w:pPr>
    </w:p>
    <w:p w14:paraId="7F6961AD" w14:textId="303567DD" w:rsidR="00E13C27" w:rsidRPr="00F67051" w:rsidRDefault="00A443CF" w:rsidP="0021633A">
      <w:pPr>
        <w:pStyle w:val="HeadHatzaotHok"/>
        <w:rPr>
          <w:rtl/>
        </w:rPr>
      </w:pPr>
      <w:bookmarkStart w:id="8" w:name="LGS_Subject"/>
      <w:r>
        <w:rPr>
          <w:rFonts w:hint="cs"/>
          <w:rtl/>
        </w:rPr>
        <w:t>הצעת חוק זכויות החולה (תיקון – הכנסת מזון למוסד רפואי בחג הפסח), התשפ"ב–2021</w:t>
      </w:r>
      <w:bookmarkEnd w:id="8"/>
    </w:p>
    <w:p w14:paraId="7F6961AE" w14:textId="77777777" w:rsidR="00E13C27" w:rsidRDefault="00E13C27" w:rsidP="0021633A">
      <w:pPr>
        <w:pStyle w:val="HeadDivreiHesber"/>
        <w:spacing w:before="0" w:after="0"/>
        <w:rPr>
          <w:rtl/>
        </w:rPr>
      </w:pPr>
    </w:p>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69"/>
        <w:gridCol w:w="624"/>
        <w:gridCol w:w="624"/>
        <w:gridCol w:w="624"/>
        <w:gridCol w:w="624"/>
        <w:gridCol w:w="624"/>
        <w:gridCol w:w="4649"/>
      </w:tblGrid>
      <w:tr w:rsidR="00834C86" w:rsidRPr="00AD2375" w14:paraId="66B5D8EE" w14:textId="77777777" w:rsidTr="003B648F">
        <w:trPr>
          <w:cantSplit/>
        </w:trPr>
        <w:tc>
          <w:tcPr>
            <w:tcW w:w="1869" w:type="dxa"/>
          </w:tcPr>
          <w:p w14:paraId="742A162B" w14:textId="77777777" w:rsidR="00834C86" w:rsidRPr="00C25F7F" w:rsidRDefault="00834C86" w:rsidP="006A0006">
            <w:pPr>
              <w:pStyle w:val="TableSideHeading"/>
              <w:spacing w:before="100" w:beforeAutospacing="1" w:after="100" w:afterAutospacing="1"/>
              <w:rPr>
                <w:rFonts w:ascii="Times New Roman" w:hAnsi="Times New Roman"/>
                <w:sz w:val="26"/>
              </w:rPr>
            </w:pPr>
            <w:r w:rsidRPr="00C25F7F">
              <w:rPr>
                <w:rFonts w:ascii="Times New Roman" w:hAnsi="Times New Roman"/>
                <w:sz w:val="26"/>
                <w:rtl/>
              </w:rPr>
              <w:t xml:space="preserve">הוספת סעיף </w:t>
            </w:r>
            <w:r w:rsidRPr="00C25F7F">
              <w:rPr>
                <w:rFonts w:ascii="Times New Roman" w:hAnsi="Times New Roman" w:hint="cs"/>
                <w:sz w:val="26"/>
                <w:rtl/>
              </w:rPr>
              <w:t>25א</w:t>
            </w:r>
          </w:p>
        </w:tc>
        <w:tc>
          <w:tcPr>
            <w:tcW w:w="624" w:type="dxa"/>
          </w:tcPr>
          <w:p w14:paraId="0DA156CD" w14:textId="77777777" w:rsidR="00834C86" w:rsidRPr="00AD2375" w:rsidRDefault="00834C86" w:rsidP="006A0006">
            <w:pPr>
              <w:pStyle w:val="TableText"/>
              <w:spacing w:before="100" w:beforeAutospacing="1" w:after="100" w:afterAutospacing="1"/>
              <w:jc w:val="both"/>
              <w:rPr>
                <w:rFonts w:ascii="Times New Roman" w:hAnsi="Times New Roman"/>
                <w:sz w:val="24"/>
                <w:szCs w:val="24"/>
                <w:rtl/>
              </w:rPr>
            </w:pPr>
            <w:r w:rsidRPr="00AD2375">
              <w:rPr>
                <w:rFonts w:ascii="Times New Roman" w:hAnsi="Times New Roman"/>
                <w:sz w:val="24"/>
                <w:szCs w:val="24"/>
                <w:rtl/>
              </w:rPr>
              <w:t>1.</w:t>
            </w:r>
          </w:p>
        </w:tc>
        <w:tc>
          <w:tcPr>
            <w:tcW w:w="7145" w:type="dxa"/>
            <w:gridSpan w:val="5"/>
          </w:tcPr>
          <w:p w14:paraId="018BAE99" w14:textId="77777777" w:rsidR="00834C86" w:rsidRPr="00DA3680" w:rsidRDefault="00834C86" w:rsidP="003B648F">
            <w:pPr>
              <w:pStyle w:val="TableBlock"/>
            </w:pPr>
            <w:r w:rsidRPr="00DA3680">
              <w:rPr>
                <w:rtl/>
              </w:rPr>
              <w:t>בחוק זכויות החולה, התשנ"ו–</w:t>
            </w:r>
            <w:r w:rsidRPr="00DA3680">
              <w:rPr>
                <w:rFonts w:hint="cs"/>
                <w:rtl/>
              </w:rPr>
              <w:t>1996</w:t>
            </w:r>
            <w:r w:rsidRPr="003B648F">
              <w:rPr>
                <w:rFonts w:ascii="David" w:hAnsi="David"/>
                <w:sz w:val="26"/>
                <w:vertAlign w:val="superscript"/>
                <w:rtl/>
              </w:rPr>
              <w:footnoteReference w:id="2"/>
            </w:r>
            <w:r w:rsidRPr="00DA3680">
              <w:rPr>
                <w:rtl/>
              </w:rPr>
              <w:t xml:space="preserve">, אחרי סעיף </w:t>
            </w:r>
            <w:r w:rsidRPr="00DA3680">
              <w:rPr>
                <w:rFonts w:hint="cs"/>
                <w:rtl/>
              </w:rPr>
              <w:t>25</w:t>
            </w:r>
            <w:r w:rsidRPr="00DA3680">
              <w:rPr>
                <w:rtl/>
              </w:rPr>
              <w:t xml:space="preserve"> יבוא:</w:t>
            </w:r>
          </w:p>
        </w:tc>
      </w:tr>
      <w:tr w:rsidR="00834C86" w:rsidRPr="00AD2375" w14:paraId="1C43B408" w14:textId="77777777" w:rsidTr="003B648F">
        <w:trPr>
          <w:cantSplit/>
        </w:trPr>
        <w:tc>
          <w:tcPr>
            <w:tcW w:w="1869" w:type="dxa"/>
          </w:tcPr>
          <w:p w14:paraId="695008E3" w14:textId="77777777" w:rsidR="00834C86" w:rsidRPr="00AD2375" w:rsidRDefault="00834C86" w:rsidP="006A0006">
            <w:pPr>
              <w:pStyle w:val="TableSideHeading"/>
              <w:spacing w:before="100" w:beforeAutospacing="1" w:after="100" w:afterAutospacing="1"/>
              <w:rPr>
                <w:rFonts w:ascii="Times New Roman" w:hAnsi="Times New Roman"/>
                <w:sz w:val="24"/>
                <w:szCs w:val="24"/>
              </w:rPr>
            </w:pPr>
          </w:p>
        </w:tc>
        <w:tc>
          <w:tcPr>
            <w:tcW w:w="624" w:type="dxa"/>
          </w:tcPr>
          <w:p w14:paraId="3E71DD62" w14:textId="77777777" w:rsidR="00834C86" w:rsidRPr="00AD2375" w:rsidRDefault="00834C86" w:rsidP="006A0006">
            <w:pPr>
              <w:pStyle w:val="TableText"/>
              <w:spacing w:before="100" w:beforeAutospacing="1" w:after="100" w:afterAutospacing="1"/>
              <w:jc w:val="both"/>
              <w:rPr>
                <w:rFonts w:ascii="Times New Roman" w:hAnsi="Times New Roman"/>
                <w:sz w:val="24"/>
                <w:szCs w:val="24"/>
              </w:rPr>
            </w:pPr>
          </w:p>
        </w:tc>
        <w:tc>
          <w:tcPr>
            <w:tcW w:w="1872" w:type="dxa"/>
            <w:gridSpan w:val="3"/>
          </w:tcPr>
          <w:p w14:paraId="3146C82D" w14:textId="1B4FA485" w:rsidR="00834C86" w:rsidRPr="003B648F" w:rsidRDefault="00834C86" w:rsidP="003B648F">
            <w:pPr>
              <w:pStyle w:val="TableInnerSideHeading"/>
            </w:pPr>
            <w:r w:rsidRPr="003B648F">
              <w:rPr>
                <w:rtl/>
              </w:rPr>
              <w:t>"הכנסת</w:t>
            </w:r>
            <w:r w:rsidR="0003348B" w:rsidRPr="003B648F">
              <w:t xml:space="preserve"> </w:t>
            </w:r>
            <w:r w:rsidRPr="003B648F">
              <w:rPr>
                <w:rtl/>
              </w:rPr>
              <w:t>מזון למוסד רפואי</w:t>
            </w:r>
            <w:r w:rsidRPr="003B648F">
              <w:rPr>
                <w:rFonts w:hint="cs"/>
                <w:rtl/>
              </w:rPr>
              <w:t xml:space="preserve"> בחג הפסח</w:t>
            </w:r>
          </w:p>
        </w:tc>
        <w:tc>
          <w:tcPr>
            <w:tcW w:w="624" w:type="dxa"/>
          </w:tcPr>
          <w:p w14:paraId="037A3C72" w14:textId="77777777" w:rsidR="00834C86" w:rsidRPr="003B648F" w:rsidRDefault="00834C86" w:rsidP="003B648F">
            <w:pPr>
              <w:pStyle w:val="TableText"/>
              <w:jc w:val="both"/>
            </w:pPr>
            <w:r w:rsidRPr="003B648F">
              <w:rPr>
                <w:rFonts w:hint="cs"/>
                <w:rtl/>
              </w:rPr>
              <w:t>25א.</w:t>
            </w:r>
          </w:p>
        </w:tc>
        <w:tc>
          <w:tcPr>
            <w:tcW w:w="4649" w:type="dxa"/>
          </w:tcPr>
          <w:p w14:paraId="036D8994" w14:textId="77777777" w:rsidR="00834C86" w:rsidRPr="00DA3680" w:rsidRDefault="00834C86" w:rsidP="003B648F">
            <w:pPr>
              <w:pStyle w:val="TableBlock"/>
            </w:pPr>
            <w:r>
              <w:rPr>
                <w:rFonts w:hint="cs"/>
                <w:rtl/>
              </w:rPr>
              <w:t>(א)</w:t>
            </w:r>
            <w:r>
              <w:rPr>
                <w:rtl/>
              </w:rPr>
              <w:tab/>
            </w:r>
            <w:r w:rsidRPr="00234292">
              <w:rPr>
                <w:rtl/>
              </w:rPr>
              <w:t>בתקופת חג הפסח, לא יוכנס ולא יוחזק במוסד רפואי</w:t>
            </w:r>
            <w:r w:rsidRPr="00234292">
              <w:rPr>
                <w:rFonts w:hint="cs"/>
                <w:rtl/>
              </w:rPr>
              <w:t xml:space="preserve"> חמץ או כל מזון אחר, </w:t>
            </w:r>
            <w:r w:rsidRPr="00234292">
              <w:rPr>
                <w:rtl/>
              </w:rPr>
              <w:t>אלא לפי הוראות שתקבע מועצת הרבנות הראשית לישראל</w:t>
            </w:r>
            <w:r w:rsidRPr="00234292">
              <w:rPr>
                <w:rFonts w:hint="cs"/>
                <w:rtl/>
              </w:rPr>
              <w:t>.</w:t>
            </w:r>
          </w:p>
        </w:tc>
      </w:tr>
      <w:tr w:rsidR="003B648F" w14:paraId="0D5C14EB" w14:textId="77777777" w:rsidTr="003B648F">
        <w:tblPrEx>
          <w:tblLook w:val="01E0" w:firstRow="1" w:lastRow="1" w:firstColumn="1" w:lastColumn="1" w:noHBand="0" w:noVBand="0"/>
        </w:tblPrEx>
        <w:trPr>
          <w:cantSplit/>
          <w:trHeight w:val="60"/>
        </w:trPr>
        <w:tc>
          <w:tcPr>
            <w:tcW w:w="1869" w:type="dxa"/>
          </w:tcPr>
          <w:p w14:paraId="0DC59ED0" w14:textId="77777777" w:rsidR="003B648F" w:rsidRDefault="003B648F" w:rsidP="003B648F">
            <w:pPr>
              <w:pStyle w:val="TableSideHeading"/>
            </w:pPr>
          </w:p>
        </w:tc>
        <w:tc>
          <w:tcPr>
            <w:tcW w:w="624" w:type="dxa"/>
          </w:tcPr>
          <w:p w14:paraId="716A505A" w14:textId="77777777" w:rsidR="003B648F" w:rsidRDefault="003B648F" w:rsidP="003B648F">
            <w:pPr>
              <w:pStyle w:val="TableText"/>
            </w:pPr>
          </w:p>
        </w:tc>
        <w:tc>
          <w:tcPr>
            <w:tcW w:w="624" w:type="dxa"/>
          </w:tcPr>
          <w:p w14:paraId="16996EC8" w14:textId="77777777" w:rsidR="003B648F" w:rsidRDefault="003B648F" w:rsidP="003B648F">
            <w:pPr>
              <w:pStyle w:val="TableText"/>
            </w:pPr>
          </w:p>
        </w:tc>
        <w:tc>
          <w:tcPr>
            <w:tcW w:w="624" w:type="dxa"/>
          </w:tcPr>
          <w:p w14:paraId="173B994B" w14:textId="77777777" w:rsidR="003B648F" w:rsidRDefault="003B648F" w:rsidP="003B648F">
            <w:pPr>
              <w:pStyle w:val="TableText"/>
            </w:pPr>
          </w:p>
        </w:tc>
        <w:tc>
          <w:tcPr>
            <w:tcW w:w="624" w:type="dxa"/>
          </w:tcPr>
          <w:p w14:paraId="64749348" w14:textId="77777777" w:rsidR="003B648F" w:rsidRDefault="003B648F" w:rsidP="003B648F">
            <w:pPr>
              <w:pStyle w:val="TableText"/>
            </w:pPr>
          </w:p>
        </w:tc>
        <w:tc>
          <w:tcPr>
            <w:tcW w:w="624" w:type="dxa"/>
          </w:tcPr>
          <w:p w14:paraId="67432478" w14:textId="77777777" w:rsidR="003B648F" w:rsidRDefault="003B648F" w:rsidP="003B648F">
            <w:pPr>
              <w:pStyle w:val="TableText"/>
            </w:pPr>
          </w:p>
        </w:tc>
        <w:tc>
          <w:tcPr>
            <w:tcW w:w="4649" w:type="dxa"/>
          </w:tcPr>
          <w:p w14:paraId="15DAFE57" w14:textId="1FD83132" w:rsidR="003B648F" w:rsidRDefault="003B648F" w:rsidP="003B648F">
            <w:pPr>
              <w:pStyle w:val="TableBlock"/>
            </w:pPr>
            <w:r w:rsidRPr="00DA3680">
              <w:rPr>
                <w:rFonts w:hint="cs"/>
                <w:rtl/>
              </w:rPr>
              <w:t>(ב)</w:t>
            </w:r>
            <w:r>
              <w:rPr>
                <w:rtl/>
              </w:rPr>
              <w:tab/>
            </w:r>
            <w:r w:rsidRPr="00DA3680">
              <w:rPr>
                <w:rtl/>
              </w:rPr>
              <w:t>מנהל מוסד רפואי, רשאי להסמיך עובד</w:t>
            </w:r>
            <w:r>
              <w:rPr>
                <w:rFonts w:hint="cs"/>
                <w:rtl/>
              </w:rPr>
              <w:t xml:space="preserve"> המוסד</w:t>
            </w:r>
            <w:r w:rsidRPr="00DA3680">
              <w:rPr>
                <w:rtl/>
              </w:rPr>
              <w:t xml:space="preserve"> למניעת הכנסת או החזקת מזון בניגוד להוראות סעיף</w:t>
            </w:r>
            <w:r>
              <w:rPr>
                <w:rFonts w:hint="cs"/>
                <w:rtl/>
              </w:rPr>
              <w:t xml:space="preserve"> קטן</w:t>
            </w:r>
            <w:r w:rsidRPr="00DA3680">
              <w:rPr>
                <w:rtl/>
              </w:rPr>
              <w:t xml:space="preserve"> (א). </w:t>
            </w:r>
          </w:p>
        </w:tc>
      </w:tr>
      <w:tr w:rsidR="003B648F" w14:paraId="1BCB8558" w14:textId="77777777" w:rsidTr="003B648F">
        <w:tblPrEx>
          <w:tblLook w:val="01E0" w:firstRow="1" w:lastRow="1" w:firstColumn="1" w:lastColumn="1" w:noHBand="0" w:noVBand="0"/>
        </w:tblPrEx>
        <w:trPr>
          <w:cantSplit/>
          <w:trHeight w:val="60"/>
        </w:trPr>
        <w:tc>
          <w:tcPr>
            <w:tcW w:w="1869" w:type="dxa"/>
          </w:tcPr>
          <w:p w14:paraId="6DABBD38" w14:textId="77777777" w:rsidR="003B648F" w:rsidRDefault="003B648F" w:rsidP="003B648F">
            <w:pPr>
              <w:pStyle w:val="TableSideHeading"/>
            </w:pPr>
          </w:p>
        </w:tc>
        <w:tc>
          <w:tcPr>
            <w:tcW w:w="624" w:type="dxa"/>
          </w:tcPr>
          <w:p w14:paraId="7086F7BD" w14:textId="77777777" w:rsidR="003B648F" w:rsidRDefault="003B648F" w:rsidP="003B648F">
            <w:pPr>
              <w:pStyle w:val="TableText"/>
            </w:pPr>
          </w:p>
        </w:tc>
        <w:tc>
          <w:tcPr>
            <w:tcW w:w="624" w:type="dxa"/>
          </w:tcPr>
          <w:p w14:paraId="04DB0B2B" w14:textId="77777777" w:rsidR="003B648F" w:rsidRDefault="003B648F" w:rsidP="003B648F">
            <w:pPr>
              <w:pStyle w:val="TableText"/>
            </w:pPr>
          </w:p>
        </w:tc>
        <w:tc>
          <w:tcPr>
            <w:tcW w:w="624" w:type="dxa"/>
          </w:tcPr>
          <w:p w14:paraId="62482DB0" w14:textId="77777777" w:rsidR="003B648F" w:rsidRDefault="003B648F" w:rsidP="003B648F">
            <w:pPr>
              <w:pStyle w:val="TableText"/>
            </w:pPr>
          </w:p>
        </w:tc>
        <w:tc>
          <w:tcPr>
            <w:tcW w:w="624" w:type="dxa"/>
          </w:tcPr>
          <w:p w14:paraId="060D9434" w14:textId="77777777" w:rsidR="003B648F" w:rsidRDefault="003B648F" w:rsidP="003B648F">
            <w:pPr>
              <w:pStyle w:val="TableText"/>
            </w:pPr>
          </w:p>
        </w:tc>
        <w:tc>
          <w:tcPr>
            <w:tcW w:w="624" w:type="dxa"/>
          </w:tcPr>
          <w:p w14:paraId="51FB4B82" w14:textId="77777777" w:rsidR="003B648F" w:rsidRDefault="003B648F" w:rsidP="003B648F">
            <w:pPr>
              <w:pStyle w:val="TableText"/>
            </w:pPr>
          </w:p>
        </w:tc>
        <w:tc>
          <w:tcPr>
            <w:tcW w:w="4649" w:type="dxa"/>
          </w:tcPr>
          <w:p w14:paraId="308C920B" w14:textId="43E40B9A" w:rsidR="003B648F" w:rsidRDefault="003B648F" w:rsidP="003B648F">
            <w:pPr>
              <w:pStyle w:val="TableBlock"/>
            </w:pPr>
            <w:r>
              <w:rPr>
                <w:rFonts w:hint="cs"/>
                <w:rtl/>
              </w:rPr>
              <w:t>(ג)</w:t>
            </w:r>
            <w:r>
              <w:rPr>
                <w:rtl/>
              </w:rPr>
              <w:tab/>
            </w:r>
            <w:r w:rsidRPr="00DA3680">
              <w:rPr>
                <w:rFonts w:hint="cs"/>
                <w:rtl/>
              </w:rPr>
              <w:t>הוראות סעיף זה לא יחולו על מוסד רפואי שאינו מציג</w:t>
            </w:r>
            <w:r>
              <w:rPr>
                <w:rFonts w:hint="cs"/>
                <w:rtl/>
              </w:rPr>
              <w:t xml:space="preserve"> את</w:t>
            </w:r>
            <w:r w:rsidRPr="00DA3680">
              <w:rPr>
                <w:rFonts w:hint="cs"/>
                <w:rtl/>
              </w:rPr>
              <w:t xml:space="preserve"> עצמו ככשר.</w:t>
            </w:r>
          </w:p>
        </w:tc>
      </w:tr>
      <w:tr w:rsidR="003B648F" w14:paraId="61F67EF9" w14:textId="77777777" w:rsidTr="003B648F">
        <w:tblPrEx>
          <w:tblLook w:val="01E0" w:firstRow="1" w:lastRow="1" w:firstColumn="1" w:lastColumn="1" w:noHBand="0" w:noVBand="0"/>
        </w:tblPrEx>
        <w:trPr>
          <w:cantSplit/>
        </w:trPr>
        <w:tc>
          <w:tcPr>
            <w:tcW w:w="1869" w:type="dxa"/>
          </w:tcPr>
          <w:p w14:paraId="4F6E9B19" w14:textId="77777777" w:rsidR="003B648F" w:rsidRDefault="003B648F" w:rsidP="003B648F">
            <w:pPr>
              <w:pStyle w:val="TableSideHeading"/>
            </w:pPr>
          </w:p>
        </w:tc>
        <w:tc>
          <w:tcPr>
            <w:tcW w:w="624" w:type="dxa"/>
          </w:tcPr>
          <w:p w14:paraId="6140F003" w14:textId="77777777" w:rsidR="003B648F" w:rsidRDefault="003B648F" w:rsidP="003B648F">
            <w:pPr>
              <w:pStyle w:val="TableText"/>
            </w:pPr>
          </w:p>
        </w:tc>
        <w:tc>
          <w:tcPr>
            <w:tcW w:w="624" w:type="dxa"/>
          </w:tcPr>
          <w:p w14:paraId="13448C71" w14:textId="77777777" w:rsidR="003B648F" w:rsidRPr="003B648F" w:rsidRDefault="003B648F" w:rsidP="003B648F">
            <w:pPr>
              <w:pStyle w:val="TableText"/>
              <w:jc w:val="both"/>
            </w:pPr>
          </w:p>
        </w:tc>
        <w:tc>
          <w:tcPr>
            <w:tcW w:w="624" w:type="dxa"/>
          </w:tcPr>
          <w:p w14:paraId="47CC8D5D" w14:textId="77777777" w:rsidR="003B648F" w:rsidRPr="003B648F" w:rsidRDefault="003B648F" w:rsidP="003B648F">
            <w:pPr>
              <w:pStyle w:val="TableText"/>
              <w:jc w:val="both"/>
            </w:pPr>
          </w:p>
        </w:tc>
        <w:tc>
          <w:tcPr>
            <w:tcW w:w="624" w:type="dxa"/>
          </w:tcPr>
          <w:p w14:paraId="0D57F91D" w14:textId="77777777" w:rsidR="003B648F" w:rsidRPr="003B648F" w:rsidRDefault="003B648F" w:rsidP="003B648F">
            <w:pPr>
              <w:pStyle w:val="TableText"/>
              <w:jc w:val="both"/>
            </w:pPr>
          </w:p>
        </w:tc>
        <w:tc>
          <w:tcPr>
            <w:tcW w:w="624" w:type="dxa"/>
          </w:tcPr>
          <w:p w14:paraId="02FC763A" w14:textId="77777777" w:rsidR="003B648F" w:rsidRPr="003B648F" w:rsidRDefault="003B648F" w:rsidP="003B648F">
            <w:pPr>
              <w:pStyle w:val="TableText"/>
              <w:jc w:val="both"/>
            </w:pPr>
          </w:p>
        </w:tc>
        <w:tc>
          <w:tcPr>
            <w:tcW w:w="4649" w:type="dxa"/>
          </w:tcPr>
          <w:p w14:paraId="2A503463" w14:textId="61CFAA95" w:rsidR="003B648F" w:rsidRPr="00DA3680" w:rsidRDefault="003B648F" w:rsidP="003B648F">
            <w:pPr>
              <w:pStyle w:val="TableBlock"/>
            </w:pPr>
            <w:r w:rsidRPr="00DA3680">
              <w:rPr>
                <w:rFonts w:hint="cs"/>
                <w:rtl/>
              </w:rPr>
              <w:t>(ד)</w:t>
            </w:r>
            <w:r w:rsidRPr="00DA3680">
              <w:rPr>
                <w:rtl/>
              </w:rPr>
              <w:tab/>
            </w:r>
            <w:r>
              <w:rPr>
                <w:rFonts w:hint="cs"/>
                <w:rtl/>
              </w:rPr>
              <w:t>ב</w:t>
            </w:r>
            <w:r w:rsidRPr="00DA3680">
              <w:rPr>
                <w:rFonts w:hint="cs"/>
                <w:rtl/>
              </w:rPr>
              <w:t xml:space="preserve">סעיף זה, </w:t>
            </w:r>
            <w:r w:rsidRPr="00DA3680">
              <w:rPr>
                <w:rtl/>
              </w:rPr>
              <w:t>"</w:t>
            </w:r>
            <w:r w:rsidRPr="00DA3680">
              <w:rPr>
                <w:rFonts w:hint="cs"/>
                <w:rtl/>
              </w:rPr>
              <w:t>תקופת חג הפסח</w:t>
            </w:r>
            <w:r w:rsidRPr="00DA3680">
              <w:rPr>
                <w:rtl/>
              </w:rPr>
              <w:t xml:space="preserve">" – </w:t>
            </w:r>
            <w:r w:rsidRPr="00DA3680">
              <w:rPr>
                <w:rFonts w:hint="cs"/>
                <w:rtl/>
              </w:rPr>
              <w:t>התקופה שמיום י"ג בניסן ועד יום כ"א בניסן בכל שנה</w:t>
            </w:r>
            <w:r w:rsidRPr="00DA3680">
              <w:rPr>
                <w:rtl/>
              </w:rPr>
              <w:t>."</w:t>
            </w:r>
          </w:p>
        </w:tc>
      </w:tr>
    </w:tbl>
    <w:p w14:paraId="7F6961CA" w14:textId="77777777" w:rsidR="002D1EE3" w:rsidRDefault="002D1EE3" w:rsidP="002D1EE3">
      <w:pPr>
        <w:pStyle w:val="HeadDivreiHesber"/>
        <w:rPr>
          <w:rtl/>
        </w:rPr>
      </w:pPr>
      <w:r w:rsidRPr="0027450A">
        <w:rPr>
          <w:rFonts w:hint="cs"/>
          <w:rtl/>
        </w:rPr>
        <w:t>דברי הסבר</w:t>
      </w:r>
    </w:p>
    <w:p w14:paraId="4DEDDE77" w14:textId="76CFEF84" w:rsidR="00834C86" w:rsidRPr="00DA3680" w:rsidRDefault="00834C86" w:rsidP="00834C86">
      <w:pPr>
        <w:pStyle w:val="Hesber"/>
        <w:rPr>
          <w:rtl/>
        </w:rPr>
      </w:pPr>
      <w:r w:rsidRPr="00DA3680">
        <w:rPr>
          <w:rFonts w:hint="cs"/>
          <w:rtl/>
        </w:rPr>
        <w:t>חג הפסח הידוע בשמו המקראי "חג המצות", הוא החג שמסמל את לידת העם היהודי שבו הוא יצא מעבדות לחירות. לפי סקרים ומחקרים שנעשו בישראל, חג הפסח נחשב כחג חשוב ביותר בחגי ישראל, בקרב כל סוגי האוכלוסייה, כאשר רובו הגדול של העם היהודי, חוגג את חג הפסח ומקפיד על שמירת איסור אכילת חמץ בפסח, דתיים, מסורתיים וחילוניים.</w:t>
      </w:r>
    </w:p>
    <w:p w14:paraId="397C590B" w14:textId="22248F8B" w:rsidR="00834C86" w:rsidRPr="00DA3680" w:rsidRDefault="00834C86" w:rsidP="00834C86">
      <w:pPr>
        <w:pStyle w:val="Hesber"/>
        <w:rPr>
          <w:rtl/>
        </w:rPr>
      </w:pPr>
      <w:r w:rsidRPr="00DA3680">
        <w:rPr>
          <w:rFonts w:hint="cs"/>
          <w:rtl/>
        </w:rPr>
        <w:t>בניגוד לדיני כשרות בכל השנה, איסור אכילת חמץ בחג ה</w:t>
      </w:r>
      <w:r w:rsidRPr="00DA3680">
        <w:rPr>
          <w:rtl/>
        </w:rPr>
        <w:t xml:space="preserve">פסח </w:t>
      </w:r>
      <w:r w:rsidRPr="00DA3680">
        <w:rPr>
          <w:rFonts w:hint="cs"/>
          <w:rtl/>
        </w:rPr>
        <w:t xml:space="preserve">הוא חמור ביותר ואף דיני </w:t>
      </w:r>
      <w:r w:rsidRPr="00DA3680">
        <w:rPr>
          <w:rtl/>
        </w:rPr>
        <w:t xml:space="preserve">הכשרות </w:t>
      </w:r>
      <w:r w:rsidRPr="00DA3680">
        <w:rPr>
          <w:rFonts w:hint="cs"/>
          <w:rtl/>
        </w:rPr>
        <w:t>בפסח מחמירים ביותר, כאשר חמץ בפסח אינו "</w:t>
      </w:r>
      <w:r w:rsidRPr="00DA3680">
        <w:rPr>
          <w:rtl/>
        </w:rPr>
        <w:t>בטל בשישים</w:t>
      </w:r>
      <w:r w:rsidRPr="00DA3680">
        <w:rPr>
          <w:rFonts w:hint="cs"/>
          <w:rtl/>
        </w:rPr>
        <w:t>",</w:t>
      </w:r>
      <w:r w:rsidRPr="00DA3680">
        <w:rPr>
          <w:rtl/>
        </w:rPr>
        <w:t xml:space="preserve"> </w:t>
      </w:r>
      <w:r w:rsidRPr="00DA3680">
        <w:rPr>
          <w:rFonts w:hint="cs"/>
          <w:rtl/>
        </w:rPr>
        <w:t>באופן ש</w:t>
      </w:r>
      <w:r w:rsidRPr="00DA3680">
        <w:rPr>
          <w:rtl/>
        </w:rPr>
        <w:t>חמץ שייאכל בכלי</w:t>
      </w:r>
      <w:r w:rsidR="00234292">
        <w:rPr>
          <w:rFonts w:hint="cs"/>
          <w:rtl/>
        </w:rPr>
        <w:t>,</w:t>
      </w:r>
      <w:r w:rsidRPr="00DA3680">
        <w:rPr>
          <w:rtl/>
        </w:rPr>
        <w:t xml:space="preserve"> אפילו בכמות מועטה מאוד</w:t>
      </w:r>
      <w:r w:rsidRPr="00DA3680">
        <w:rPr>
          <w:rFonts w:hint="cs"/>
          <w:rtl/>
        </w:rPr>
        <w:t>,</w:t>
      </w:r>
      <w:r w:rsidRPr="00DA3680">
        <w:rPr>
          <w:rtl/>
        </w:rPr>
        <w:t xml:space="preserve"> עלול ל</w:t>
      </w:r>
      <w:r w:rsidRPr="00DA3680">
        <w:rPr>
          <w:rFonts w:hint="cs"/>
          <w:rtl/>
        </w:rPr>
        <w:t xml:space="preserve">גרום </w:t>
      </w:r>
      <w:r w:rsidRPr="00DA3680">
        <w:rPr>
          <w:rtl/>
        </w:rPr>
        <w:t>לשלילת הכשרות מהכלים, באופן שימנע משומרי כשרות לאכול בכלים אלה</w:t>
      </w:r>
      <w:r w:rsidRPr="00DA3680">
        <w:rPr>
          <w:rFonts w:hint="cs"/>
          <w:rtl/>
        </w:rPr>
        <w:t xml:space="preserve">. בנוסף, ישנו איסור מיוחד בפסח </w:t>
      </w:r>
      <w:r w:rsidRPr="00DA3680">
        <w:rPr>
          <w:rtl/>
        </w:rPr>
        <w:t>של "בל יראה ובל ימצא".</w:t>
      </w:r>
    </w:p>
    <w:p w14:paraId="7270BE5B" w14:textId="77777777" w:rsidR="00834C86" w:rsidRPr="00DA3680" w:rsidRDefault="00834C86" w:rsidP="00834C86">
      <w:pPr>
        <w:pStyle w:val="Hesber"/>
        <w:rPr>
          <w:rtl/>
        </w:rPr>
      </w:pPr>
      <w:r w:rsidRPr="00DA3680">
        <w:rPr>
          <w:rFonts w:hint="cs"/>
          <w:rtl/>
        </w:rPr>
        <w:lastRenderedPageBreak/>
        <w:t>במשך עשרות שנים, בתי החולים בישראל בהם ניתן שירות לציבור הרחב, לא אפשרו הכנסת חמץ בתקופת חג הפסח, וזאת כדי לאפשר לחולים לשמור על הכשרות בחג הפסח.</w:t>
      </w:r>
    </w:p>
    <w:p w14:paraId="6A438E36" w14:textId="77777777" w:rsidR="00834C86" w:rsidRPr="00DA3680" w:rsidRDefault="00834C86" w:rsidP="00834C86">
      <w:pPr>
        <w:pStyle w:val="Hesber"/>
        <w:rPr>
          <w:rtl/>
        </w:rPr>
      </w:pPr>
      <w:r w:rsidRPr="00DA3680">
        <w:rPr>
          <w:rFonts w:hint="cs"/>
          <w:rtl/>
        </w:rPr>
        <w:t xml:space="preserve">כנגד ההוראה והסטטוס קוו שנהג במשך עשרות שנים שלא להכניס חמץ בפסח לבתי חולים, הוגשה עתירה לבג"ץ. </w:t>
      </w:r>
      <w:r>
        <w:rPr>
          <w:rFonts w:hint="cs"/>
          <w:rtl/>
        </w:rPr>
        <w:t xml:space="preserve">בסוף אפריל השנה, </w:t>
      </w:r>
      <w:r w:rsidRPr="00DA3680">
        <w:rPr>
          <w:rFonts w:hint="cs"/>
          <w:rtl/>
        </w:rPr>
        <w:t xml:space="preserve">פסק בית המשפט העליון בדעת רוב, שאין לבתי החולים סמכות בחוק, לאסור הכנסת חמץ לבתי </w:t>
      </w:r>
      <w:r w:rsidRPr="00744518">
        <w:rPr>
          <w:rFonts w:hint="cs"/>
          <w:rtl/>
        </w:rPr>
        <w:t>החולים (</w:t>
      </w:r>
      <w:r w:rsidRPr="00744518">
        <w:rPr>
          <w:rtl/>
        </w:rPr>
        <w:t>בג"ץ</w:t>
      </w:r>
      <w:r w:rsidRPr="00744518">
        <w:rPr>
          <w:rFonts w:hint="cs"/>
          <w:rtl/>
        </w:rPr>
        <w:t xml:space="preserve"> 1550/18</w:t>
      </w:r>
      <w:r w:rsidRPr="00744518">
        <w:rPr>
          <w:rtl/>
        </w:rPr>
        <w:t xml:space="preserve"> </w:t>
      </w:r>
      <w:r w:rsidRPr="00744518">
        <w:rPr>
          <w:b/>
          <w:bCs/>
          <w:rtl/>
        </w:rPr>
        <w:t>עמותת הפורום החילוני נ' שר הבריאות</w:t>
      </w:r>
      <w:r w:rsidRPr="00744518">
        <w:rPr>
          <w:rFonts w:hint="cs"/>
          <w:rtl/>
        </w:rPr>
        <w:t>).</w:t>
      </w:r>
    </w:p>
    <w:p w14:paraId="3CB38FD9" w14:textId="77777777" w:rsidR="00834C86" w:rsidRPr="00DA3680" w:rsidRDefault="00834C86" w:rsidP="00834C86">
      <w:pPr>
        <w:pStyle w:val="Hesber"/>
        <w:rPr>
          <w:rtl/>
        </w:rPr>
      </w:pPr>
      <w:r w:rsidRPr="00DA3680">
        <w:rPr>
          <w:rFonts w:hint="cs"/>
          <w:rtl/>
        </w:rPr>
        <w:t>משמעותה של פסיקה זו, שרוב אזרחי מדינת ישראל ששומרים על כשרות בפסח, לא יוכלו לקבל טיפול רפואי ולהיות מאושפזים בחג הפסח בבתי חולים.</w:t>
      </w:r>
      <w:r>
        <w:rPr>
          <w:rFonts w:hint="cs"/>
          <w:rtl/>
        </w:rPr>
        <w:t xml:space="preserve"> </w:t>
      </w:r>
      <w:r w:rsidRPr="00DA3680">
        <w:rPr>
          <w:rFonts w:hint="cs"/>
          <w:rtl/>
        </w:rPr>
        <w:t>וכפי שהטיב להגדיר זאת השופט ניל הנדל (בדעת מיעוט) בפסק הדין:</w:t>
      </w:r>
    </w:p>
    <w:p w14:paraId="4FA256B1" w14:textId="77777777" w:rsidR="00834C86" w:rsidRPr="00DA3680" w:rsidRDefault="00834C86" w:rsidP="00834C86">
      <w:pPr>
        <w:pStyle w:val="Hesber"/>
        <w:rPr>
          <w:rtl/>
        </w:rPr>
      </w:pPr>
      <w:r w:rsidRPr="00DA3680">
        <w:rPr>
          <w:rFonts w:hint="cs"/>
          <w:rtl/>
        </w:rPr>
        <w:t>"כ</w:t>
      </w:r>
      <w:r w:rsidRPr="00DA3680">
        <w:rPr>
          <w:rtl/>
        </w:rPr>
        <w:t>אמור, גורם אחד שעשוי להיות מושפע מן ההכרעה הוא קבוצת החולים שומרי המצוות, שרוצים להקפיד על קיום מצוות הפסח. עבור חברי קבוצה זו אכילת חמץ בפסח היא בגדר איסור חמור. לדעתי, יש לשאוף בכל עוז למצוא פתרון לאנשים אלה. על הפתרון שיימצא להיות פתרון אמיתי והלכתי. בין אם הרצון לשמור על דיני הכשרות – ואף תוך קבלת חומרות – הוא הלכתי-משפטי ובין אם מדובר בצורך נפשי, אין להתעלם מכך. במיוחד נכונים הדברים במדינת ישראל, שמוגדרת גם כמדינה יהודית.</w:t>
      </w:r>
      <w:r w:rsidRPr="00DA3680">
        <w:rPr>
          <w:rFonts w:hint="cs"/>
          <w:rtl/>
        </w:rPr>
        <w:t>"</w:t>
      </w:r>
      <w:r w:rsidRPr="00DA3680">
        <w:rPr>
          <w:rtl/>
        </w:rPr>
        <w:t xml:space="preserve"> </w:t>
      </w:r>
    </w:p>
    <w:p w14:paraId="21E49C7E" w14:textId="77777777" w:rsidR="00834C86" w:rsidRPr="00DA3680" w:rsidRDefault="00834C86" w:rsidP="00834C86">
      <w:pPr>
        <w:pStyle w:val="Hesber"/>
        <w:rPr>
          <w:rtl/>
        </w:rPr>
      </w:pPr>
      <w:r w:rsidRPr="00DA3680">
        <w:rPr>
          <w:rFonts w:hint="cs"/>
          <w:rtl/>
        </w:rPr>
        <w:t xml:space="preserve">לאור האמור, מוצע לקבוע, </w:t>
      </w:r>
      <w:r>
        <w:rPr>
          <w:rFonts w:hint="cs"/>
          <w:rtl/>
        </w:rPr>
        <w:t xml:space="preserve">איסור על </w:t>
      </w:r>
      <w:r w:rsidRPr="00DA3680">
        <w:rPr>
          <w:rFonts w:hint="cs"/>
          <w:rtl/>
        </w:rPr>
        <w:t>החזק</w:t>
      </w:r>
      <w:r>
        <w:rPr>
          <w:rFonts w:hint="cs"/>
          <w:rtl/>
        </w:rPr>
        <w:t>ת</w:t>
      </w:r>
      <w:r w:rsidRPr="00DA3680">
        <w:rPr>
          <w:rFonts w:hint="cs"/>
          <w:rtl/>
        </w:rPr>
        <w:t xml:space="preserve"> או הכנס</w:t>
      </w:r>
      <w:r>
        <w:rPr>
          <w:rFonts w:hint="cs"/>
          <w:rtl/>
        </w:rPr>
        <w:t>ת</w:t>
      </w:r>
      <w:r w:rsidRPr="00DA3680">
        <w:rPr>
          <w:rFonts w:hint="cs"/>
          <w:rtl/>
        </w:rPr>
        <w:t xml:space="preserve"> חמץ בחג ה</w:t>
      </w:r>
      <w:r>
        <w:rPr>
          <w:rFonts w:hint="cs"/>
          <w:rtl/>
        </w:rPr>
        <w:t xml:space="preserve">פסח לבתי חולים. </w:t>
      </w:r>
      <w:r w:rsidRPr="00DA3680">
        <w:rPr>
          <w:rFonts w:hint="cs"/>
          <w:rtl/>
        </w:rPr>
        <w:t xml:space="preserve">הוראה זו לא תחול על בתי חולים במגזר שאינו יהודי שאינם מחזיקים בתעודת כשרות כל השנה. </w:t>
      </w:r>
    </w:p>
    <w:p w14:paraId="5A545F98" w14:textId="77777777" w:rsidR="00834C86" w:rsidRPr="00DA3680" w:rsidRDefault="00834C86" w:rsidP="00834C86">
      <w:pPr>
        <w:pStyle w:val="Hesber"/>
        <w:rPr>
          <w:rtl/>
        </w:rPr>
      </w:pPr>
      <w:r w:rsidRPr="00DA3680">
        <w:rPr>
          <w:rFonts w:hint="cs"/>
          <w:rtl/>
        </w:rPr>
        <w:t>כמובן שאין כל כוונה להכריח את החולים שאינם יהודים, לאכול מצות בפסח. לאור התפתחות טכנולוגיית המזון, ישנם כיום תחליפי</w:t>
      </w:r>
      <w:r>
        <w:rPr>
          <w:rFonts w:hint="cs"/>
          <w:rtl/>
        </w:rPr>
        <w:t>ם כשרים לפסח לכל סוגי המזון</w:t>
      </w:r>
      <w:r w:rsidRPr="00DA3680">
        <w:rPr>
          <w:rFonts w:hint="cs"/>
          <w:rtl/>
        </w:rPr>
        <w:t xml:space="preserve"> </w:t>
      </w:r>
      <w:r>
        <w:rPr>
          <w:rFonts w:hint="cs"/>
          <w:rtl/>
        </w:rPr>
        <w:t xml:space="preserve">- </w:t>
      </w:r>
      <w:r w:rsidRPr="00DA3680">
        <w:rPr>
          <w:rFonts w:hint="cs"/>
          <w:rtl/>
        </w:rPr>
        <w:t>לחמניות, עוגות, עוגיות וחטיפים</w:t>
      </w:r>
      <w:r>
        <w:rPr>
          <w:rFonts w:hint="cs"/>
          <w:rtl/>
        </w:rPr>
        <w:t>,</w:t>
      </w:r>
      <w:r w:rsidRPr="00DA3680">
        <w:rPr>
          <w:rFonts w:hint="cs"/>
          <w:rtl/>
        </w:rPr>
        <w:t xml:space="preserve"> כך שבפועל אין גם כל פגיעה ממשית, במי שאינו מעוניין לאכול מצות.</w:t>
      </w:r>
    </w:p>
    <w:p w14:paraId="71E4318B" w14:textId="77777777" w:rsidR="00834C86" w:rsidRPr="00DA3680" w:rsidRDefault="00834C86" w:rsidP="00834C86">
      <w:pPr>
        <w:pStyle w:val="Hesber"/>
        <w:rPr>
          <w:rtl/>
        </w:rPr>
      </w:pPr>
      <w:r w:rsidRPr="00DA3680">
        <w:rPr>
          <w:rFonts w:hint="cs"/>
          <w:rtl/>
        </w:rPr>
        <w:t xml:space="preserve">יצוין שלאור חשיבות חג הפסח, מדינת ישראל חוקקה בעבר את חוק חג המצות (איסורי חמץ) </w:t>
      </w:r>
      <w:r>
        <w:rPr>
          <w:rFonts w:hint="cs"/>
          <w:rtl/>
        </w:rPr>
        <w:t>ה</w:t>
      </w:r>
      <w:r w:rsidRPr="00DA3680">
        <w:rPr>
          <w:rFonts w:hint="cs"/>
          <w:rtl/>
        </w:rPr>
        <w:t>תשמ"ו</w:t>
      </w:r>
      <w:r w:rsidRPr="00DA3680">
        <w:rPr>
          <w:rtl/>
        </w:rPr>
        <w:t>–</w:t>
      </w:r>
      <w:r w:rsidRPr="00DA3680">
        <w:rPr>
          <w:rFonts w:hint="cs"/>
          <w:rtl/>
        </w:rPr>
        <w:t xml:space="preserve">-1986, הקובע </w:t>
      </w:r>
      <w:r w:rsidRPr="00DA3680">
        <w:rPr>
          <w:rtl/>
        </w:rPr>
        <w:t>"מצהרי יום י"ד בניסן עד עשרים דקות אחרי שקיעת החמה של יום כ"א בניסן, לא יציג בעל עסק בפומבי מוצר חמץ למכירה או לצריכה"</w:t>
      </w:r>
      <w:r w:rsidRPr="00DA3680">
        <w:rPr>
          <w:rFonts w:hint="cs"/>
          <w:rtl/>
        </w:rPr>
        <w:t>.</w:t>
      </w:r>
    </w:p>
    <w:p w14:paraId="5A4D8DD7" w14:textId="77777777" w:rsidR="00834C86" w:rsidRDefault="00834C86" w:rsidP="00834C86">
      <w:pPr>
        <w:pStyle w:val="Hesber"/>
        <w:rPr>
          <w:rtl/>
        </w:rPr>
      </w:pPr>
      <w:r w:rsidRPr="00DA3680">
        <w:rPr>
          <w:rFonts w:hint="cs"/>
          <w:rtl/>
        </w:rPr>
        <w:t xml:space="preserve">במשך אלפי שנים, מאז יצאו בני ישראל ממצרים, שמר העם היהודי באדיקות רבה את חג הפסח והלכותיו. גם בזמנים קשים ואפלים בהיסטוריית העם היהודי, בהם גזרו על היהודים שלא לקיים </w:t>
      </w:r>
      <w:r>
        <w:rPr>
          <w:rtl/>
        </w:rPr>
        <w:br/>
      </w:r>
      <w:r w:rsidRPr="00DA3680">
        <w:rPr>
          <w:rFonts w:hint="cs"/>
          <w:rtl/>
        </w:rPr>
        <w:t xml:space="preserve">מצוות </w:t>
      </w:r>
      <w:r w:rsidRPr="00DA3680">
        <w:rPr>
          <w:rtl/>
        </w:rPr>
        <w:t>–</w:t>
      </w:r>
      <w:r w:rsidRPr="00DA3680">
        <w:rPr>
          <w:rFonts w:hint="cs"/>
          <w:rtl/>
        </w:rPr>
        <w:t xml:space="preserve"> כגון תקופת האינקוויזיציה והשואה - שמר העם היהודי במסירות נפש ממש, שלא לאכול חמץ בחג הפסח, ואין כל סיבה שבמדינת היהודים לא יתאפשר לחולים לשמור על כשרות בפסח.</w:t>
      </w:r>
    </w:p>
    <w:p w14:paraId="430C1671" w14:textId="4B0259A6" w:rsidR="00D23D28" w:rsidRDefault="00D23D28" w:rsidP="0003348B">
      <w:pPr>
        <w:pStyle w:val="Hesber"/>
        <w:rPr>
          <w:rtl/>
        </w:rPr>
      </w:pPr>
      <w:r w:rsidRPr="00D23D28">
        <w:rPr>
          <w:rtl/>
        </w:rPr>
        <w:t>הצעות חוק זהות הונחו על שולחן הכנסת העשרים ושלוש על ידי חברי הכנסת משה גפני ויעקב אשר (פ/1304/23), על ידי חבר הכנסת ישראל אייכל</w:t>
      </w:r>
      <w:r w:rsidR="003B648F">
        <w:rPr>
          <w:rtl/>
        </w:rPr>
        <w:t>ר וקבוצת חברי הכנסת (פ/1621/23)</w:t>
      </w:r>
      <w:r w:rsidRPr="00D23D28">
        <w:rPr>
          <w:rtl/>
        </w:rPr>
        <w:t xml:space="preserve"> </w:t>
      </w:r>
      <w:r w:rsidR="003B648F">
        <w:rPr>
          <w:rFonts w:hint="cs"/>
          <w:rtl/>
        </w:rPr>
        <w:t>ו</w:t>
      </w:r>
      <w:r w:rsidRPr="00D23D28">
        <w:rPr>
          <w:rtl/>
        </w:rPr>
        <w:t>על ידי חב</w:t>
      </w:r>
      <w:r w:rsidR="003B648F">
        <w:rPr>
          <w:rtl/>
        </w:rPr>
        <w:t>ר הכנסת אליהו ברוכי (פ/2281/23)</w:t>
      </w:r>
      <w:r w:rsidRPr="00D23D28">
        <w:rPr>
          <w:rtl/>
        </w:rPr>
        <w:t xml:space="preserve"> ועל שולחן הכנסת העשרים וארבע על ידי חבר הכנסת ישראל אי</w:t>
      </w:r>
      <w:r>
        <w:rPr>
          <w:rtl/>
        </w:rPr>
        <w:t>יכלר (פ/735/24)</w:t>
      </w:r>
      <w:r>
        <w:rPr>
          <w:rFonts w:hint="cs"/>
          <w:rtl/>
        </w:rPr>
        <w:t xml:space="preserve"> ו</w:t>
      </w:r>
      <w:r w:rsidRPr="00D23D28">
        <w:rPr>
          <w:rtl/>
        </w:rPr>
        <w:t>על ידי חבר הכנסת משה גפני וקבוצת חברי הכנסת (פ/1469/24; הוסרה מסדר היום ביום ה' באב התשפ"א (14 ביולי 2021)</w:t>
      </w:r>
      <w:r>
        <w:rPr>
          <w:rFonts w:hint="cs"/>
          <w:rtl/>
        </w:rPr>
        <w:t>; פ/2411/24).</w:t>
      </w:r>
    </w:p>
    <w:p w14:paraId="51A392BC" w14:textId="261D9CB9" w:rsidR="00D23D28" w:rsidRDefault="00D23D28" w:rsidP="0003348B">
      <w:pPr>
        <w:pStyle w:val="Hesber"/>
        <w:spacing w:line="276" w:lineRule="auto"/>
        <w:rPr>
          <w:rtl/>
        </w:rPr>
      </w:pPr>
      <w:r>
        <w:rPr>
          <w:rFonts w:hint="cs"/>
          <w:rtl/>
        </w:rPr>
        <w:t xml:space="preserve">הצעת החוק זהה לפ/1621/23 ולפיכך לא נבדקה מחדש על ידי הלשכה המשפטית של הכנסת. </w:t>
      </w:r>
    </w:p>
    <w:p w14:paraId="3B3069C2" w14:textId="77777777" w:rsidR="00994046" w:rsidRDefault="003B648F">
      <w:pPr>
        <w:jc w:val="left"/>
      </w:pPr>
      <w:bookmarkStart w:id="9" w:name="selectedDocDateB"/>
      <w:bookmarkEnd w:id="9"/>
      <w:r>
        <w:rPr>
          <w:rFonts w:eastAsia="David" w:hint="cs"/>
          <w:sz w:val="26"/>
          <w:szCs w:val="26"/>
          <w:rtl/>
        </w:rPr>
        <w:t>--------------------------------</w:t>
      </w:r>
    </w:p>
    <w:p w14:paraId="4B55FD16" w14:textId="77777777" w:rsidR="00994046" w:rsidRDefault="003B648F">
      <w:pPr>
        <w:jc w:val="left"/>
      </w:pPr>
      <w:r>
        <w:rPr>
          <w:rFonts w:eastAsia="David" w:hint="cs"/>
          <w:sz w:val="26"/>
          <w:szCs w:val="26"/>
          <w:rtl/>
        </w:rPr>
        <w:t>הוגשה ליו"ר הכנסת והסגנים</w:t>
      </w:r>
    </w:p>
    <w:p w14:paraId="3CDB0504" w14:textId="77777777" w:rsidR="00994046" w:rsidRDefault="003B648F">
      <w:pPr>
        <w:jc w:val="left"/>
      </w:pPr>
      <w:r>
        <w:rPr>
          <w:rFonts w:eastAsia="David" w:hint="cs"/>
          <w:sz w:val="26"/>
          <w:szCs w:val="26"/>
          <w:rtl/>
        </w:rPr>
        <w:t>והונחה על שולחן הכנסת ביום</w:t>
      </w:r>
    </w:p>
    <w:p w14:paraId="395C43FE" w14:textId="77777777" w:rsidR="00994046" w:rsidRDefault="003B648F">
      <w:pPr>
        <w:jc w:val="left"/>
      </w:pPr>
      <w:r>
        <w:rPr>
          <w:rFonts w:eastAsia="David" w:hint="cs"/>
          <w:sz w:val="26"/>
          <w:szCs w:val="26"/>
          <w:rtl/>
        </w:rPr>
        <w:t xml:space="preserve">ט"ז בטבת התשפ"ב (20.12.2021) </w:t>
      </w:r>
    </w:p>
    <w:p w14:paraId="0671149C" w14:textId="77777777" w:rsidR="00994046" w:rsidRDefault="00994046">
      <w:pPr>
        <w:spacing w:line="276" w:lineRule="auto"/>
        <w:jc w:val="left"/>
      </w:pPr>
    </w:p>
    <w:sectPr w:rsidR="00994046" w:rsidSect="003B648F">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FF025B">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3B648F">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48721277" w14:textId="77777777" w:rsidR="00834C86" w:rsidRDefault="00834C86" w:rsidP="00834C86">
      <w:pPr>
        <w:pStyle w:val="a4"/>
        <w:rPr>
          <w:rtl/>
        </w:rPr>
      </w:pPr>
      <w:r>
        <w:rPr>
          <w:rStyle w:val="a5"/>
        </w:rPr>
        <w:footnoteRef/>
      </w:r>
      <w:r>
        <w:rPr>
          <w:rtl/>
        </w:rPr>
        <w:t xml:space="preserve"> </w:t>
      </w:r>
      <w:r>
        <w:rPr>
          <w:rFonts w:hint="cs"/>
          <w:rtl/>
        </w:rPr>
        <w:t>ס"ח התשנ"ו, עמ' 327.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3348B"/>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4292"/>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B648F"/>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34C86"/>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94046"/>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23D28"/>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 w:val="00FF02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61961C1-D2C0-4BA4-99E5-1A4EC00D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48F"/>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3B648F"/>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3B648F"/>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3B648F"/>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3B648F"/>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3B648F"/>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3B648F"/>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3B648F"/>
    <w:rPr>
      <w:sz w:val="36"/>
      <w:szCs w:val="52"/>
    </w:rPr>
  </w:style>
  <w:style w:type="paragraph" w:customStyle="1" w:styleId="Cover3-Haknesset">
    <w:name w:val="Cover 3-Haknesset"/>
    <w:basedOn w:val="Cover1-Reshumot"/>
    <w:rsid w:val="003B648F"/>
    <w:rPr>
      <w:b/>
      <w:bCs/>
      <w:spacing w:val="60"/>
    </w:rPr>
  </w:style>
  <w:style w:type="paragraph" w:customStyle="1" w:styleId="Cover4-Date">
    <w:name w:val="Cover 4-Date"/>
    <w:basedOn w:val="a"/>
    <w:rsid w:val="003B648F"/>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3B648F"/>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3B648F"/>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3B648F"/>
    <w:pPr>
      <w:spacing w:before="120" w:after="120"/>
    </w:pPr>
    <w:rPr>
      <w:color w:val="FF0000"/>
      <w:w w:val="80"/>
    </w:rPr>
  </w:style>
  <w:style w:type="paragraph" w:styleId="a3">
    <w:name w:val="endnote text"/>
    <w:basedOn w:val="a"/>
    <w:semiHidden/>
    <w:rsid w:val="003B648F"/>
    <w:pPr>
      <w:ind w:left="227" w:hanging="227"/>
    </w:pPr>
    <w:rPr>
      <w:sz w:val="14"/>
      <w:szCs w:val="22"/>
    </w:rPr>
  </w:style>
  <w:style w:type="paragraph" w:customStyle="1" w:styleId="TableText">
    <w:name w:val="Table Text"/>
    <w:basedOn w:val="a"/>
    <w:rsid w:val="003B648F"/>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3B648F"/>
    <w:pPr>
      <w:outlineLvl w:val="2"/>
    </w:pPr>
  </w:style>
  <w:style w:type="paragraph" w:customStyle="1" w:styleId="TableBlock">
    <w:name w:val="Table Block"/>
    <w:basedOn w:val="TableText"/>
    <w:rsid w:val="003B648F"/>
    <w:pPr>
      <w:jc w:val="both"/>
    </w:pPr>
  </w:style>
  <w:style w:type="paragraph" w:customStyle="1" w:styleId="TableHead">
    <w:name w:val="Table Head"/>
    <w:basedOn w:val="TableText"/>
    <w:rsid w:val="003B648F"/>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3B648F"/>
    <w:pPr>
      <w:outlineLvl w:val="9"/>
    </w:pPr>
  </w:style>
  <w:style w:type="paragraph" w:customStyle="1" w:styleId="Hesber">
    <w:name w:val="Hesber"/>
    <w:basedOn w:val="a"/>
    <w:rsid w:val="003B648F"/>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3B648F"/>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3B648F"/>
    <w:rPr>
      <w:vertAlign w:val="superscript"/>
    </w:rPr>
  </w:style>
  <w:style w:type="paragraph" w:customStyle="1" w:styleId="HesberHeading">
    <w:name w:val="Hesber Heading"/>
    <w:basedOn w:val="Hesber"/>
    <w:rsid w:val="003B648F"/>
    <w:pPr>
      <w:tabs>
        <w:tab w:val="left" w:pos="624"/>
        <w:tab w:val="left" w:pos="1247"/>
      </w:tabs>
    </w:pPr>
    <w:rPr>
      <w:b/>
      <w:bCs/>
    </w:rPr>
  </w:style>
  <w:style w:type="paragraph" w:customStyle="1" w:styleId="HesberWriters">
    <w:name w:val="Hesber Writers"/>
    <w:basedOn w:val="Hesber"/>
    <w:rsid w:val="003B648F"/>
    <w:pPr>
      <w:spacing w:before="120" w:after="120"/>
      <w:ind w:left="1418"/>
      <w:jc w:val="right"/>
    </w:pPr>
    <w:rPr>
      <w:b/>
      <w:bCs/>
    </w:rPr>
  </w:style>
  <w:style w:type="paragraph" w:customStyle="1" w:styleId="Hesber1st">
    <w:name w:val="Hesber 1st"/>
    <w:basedOn w:val="Hesber"/>
    <w:rsid w:val="003B648F"/>
    <w:pPr>
      <w:tabs>
        <w:tab w:val="left" w:pos="680"/>
        <w:tab w:val="left" w:pos="1020"/>
      </w:tabs>
      <w:ind w:firstLine="0"/>
    </w:pPr>
  </w:style>
  <w:style w:type="character" w:styleId="a6">
    <w:name w:val="endnote reference"/>
    <w:basedOn w:val="a0"/>
    <w:semiHidden/>
    <w:rsid w:val="003B648F"/>
    <w:rPr>
      <w:vertAlign w:val="superscript"/>
    </w:rPr>
  </w:style>
  <w:style w:type="paragraph" w:customStyle="1" w:styleId="TableBlockOutdent">
    <w:name w:val="Table BlockOutdent"/>
    <w:basedOn w:val="TableBlock"/>
    <w:rsid w:val="003B648F"/>
    <w:pPr>
      <w:ind w:left="624" w:hanging="624"/>
    </w:pPr>
  </w:style>
  <w:style w:type="paragraph" w:styleId="a7">
    <w:name w:val="header"/>
    <w:basedOn w:val="a"/>
    <w:rsid w:val="003B648F"/>
    <w:pPr>
      <w:tabs>
        <w:tab w:val="center" w:pos="4153"/>
        <w:tab w:val="right" w:pos="8306"/>
      </w:tabs>
    </w:pPr>
  </w:style>
  <w:style w:type="paragraph" w:styleId="a8">
    <w:name w:val="footer"/>
    <w:basedOn w:val="a"/>
    <w:rsid w:val="003B648F"/>
    <w:pPr>
      <w:tabs>
        <w:tab w:val="center" w:pos="4153"/>
        <w:tab w:val="right" w:pos="8306"/>
      </w:tabs>
    </w:pPr>
  </w:style>
  <w:style w:type="paragraph" w:customStyle="1" w:styleId="HeadDivreiHesber">
    <w:name w:val="Head DivreiHesber"/>
    <w:basedOn w:val="a"/>
    <w:rsid w:val="003B648F"/>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3B648F"/>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3B648F"/>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3B648F"/>
    <w:rPr>
      <w:rFonts w:asciiTheme="majorHAnsi" w:eastAsiaTheme="majorEastAsia" w:hAnsiTheme="majorHAnsi" w:cs="David"/>
      <w:bCs/>
      <w:sz w:val="32"/>
      <w:szCs w:val="36"/>
    </w:rPr>
  </w:style>
  <w:style w:type="character" w:customStyle="1" w:styleId="20">
    <w:name w:val="כותרת 2 תו"/>
    <w:basedOn w:val="a0"/>
    <w:link w:val="2"/>
    <w:rsid w:val="003B648F"/>
    <w:rPr>
      <w:rFonts w:asciiTheme="majorHAnsi" w:eastAsiaTheme="majorEastAsia" w:hAnsiTheme="majorHAnsi" w:cs="David"/>
      <w:bCs/>
      <w:sz w:val="26"/>
      <w:szCs w:val="36"/>
      <w:u w:val="single"/>
    </w:rPr>
  </w:style>
  <w:style w:type="character" w:customStyle="1" w:styleId="30">
    <w:name w:val="כותרת 3 תו"/>
    <w:basedOn w:val="a0"/>
    <w:link w:val="3"/>
    <w:rsid w:val="003B648F"/>
    <w:rPr>
      <w:rFonts w:asciiTheme="majorHAnsi" w:eastAsiaTheme="majorEastAsia" w:hAnsiTheme="majorHAnsi" w:cs="David"/>
      <w:sz w:val="24"/>
      <w:szCs w:val="28"/>
      <w:u w:val="double"/>
    </w:rPr>
  </w:style>
  <w:style w:type="character" w:customStyle="1" w:styleId="40">
    <w:name w:val="כותרת 4 תו"/>
    <w:basedOn w:val="a0"/>
    <w:link w:val="4"/>
    <w:uiPriority w:val="9"/>
    <w:rsid w:val="003B648F"/>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3B648F"/>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3B648F"/>
    <w:pPr>
      <w:widowControl/>
      <w:spacing w:before="120" w:after="120"/>
      <w:outlineLvl w:val="9"/>
    </w:pPr>
    <w:rPr>
      <w:rtl/>
      <w:cs/>
    </w:rPr>
  </w:style>
  <w:style w:type="paragraph" w:styleId="TOC1">
    <w:name w:val="toc 1"/>
    <w:basedOn w:val="a"/>
    <w:next w:val="a"/>
    <w:autoRedefine/>
    <w:uiPriority w:val="39"/>
    <w:unhideWhenUsed/>
    <w:rsid w:val="003B648F"/>
    <w:pPr>
      <w:tabs>
        <w:tab w:val="right" w:leader="dot" w:pos="9629"/>
      </w:tabs>
      <w:spacing w:after="100"/>
    </w:pPr>
    <w:rPr>
      <w:bCs/>
      <w:szCs w:val="22"/>
    </w:rPr>
  </w:style>
  <w:style w:type="paragraph" w:styleId="TOC2">
    <w:name w:val="toc 2"/>
    <w:basedOn w:val="a"/>
    <w:next w:val="a"/>
    <w:uiPriority w:val="39"/>
    <w:unhideWhenUsed/>
    <w:rsid w:val="003B648F"/>
    <w:pPr>
      <w:tabs>
        <w:tab w:val="right" w:leader="dot" w:pos="9628"/>
      </w:tabs>
      <w:spacing w:after="100"/>
    </w:pPr>
    <w:rPr>
      <w:szCs w:val="22"/>
    </w:rPr>
  </w:style>
  <w:style w:type="character" w:styleId="Hyperlink">
    <w:name w:val="Hyperlink"/>
    <w:basedOn w:val="a0"/>
    <w:uiPriority w:val="99"/>
    <w:unhideWhenUsed/>
    <w:rsid w:val="003B648F"/>
    <w:rPr>
      <w:color w:val="0000FF" w:themeColor="hyperlink"/>
      <w:u w:val="single"/>
    </w:rPr>
  </w:style>
  <w:style w:type="paragraph" w:styleId="TOC3">
    <w:name w:val="toc 3"/>
    <w:basedOn w:val="a"/>
    <w:next w:val="a"/>
    <w:uiPriority w:val="39"/>
    <w:unhideWhenUsed/>
    <w:rsid w:val="003B648F"/>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3B648F"/>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3B648F"/>
    <w:pPr>
      <w:tabs>
        <w:tab w:val="right" w:leader="dot" w:pos="9628"/>
      </w:tabs>
      <w:spacing w:after="100"/>
      <w:ind w:left="567"/>
    </w:pPr>
    <w:rPr>
      <w:szCs w:val="22"/>
    </w:rPr>
  </w:style>
  <w:style w:type="paragraph" w:styleId="TOC6">
    <w:name w:val="toc 6"/>
    <w:basedOn w:val="a"/>
    <w:next w:val="a"/>
    <w:autoRedefine/>
    <w:semiHidden/>
    <w:unhideWhenUsed/>
    <w:rsid w:val="003B648F"/>
    <w:pPr>
      <w:spacing w:after="100"/>
      <w:ind w:left="850"/>
    </w:pPr>
  </w:style>
  <w:style w:type="paragraph" w:styleId="TOC7">
    <w:name w:val="toc 7"/>
    <w:basedOn w:val="a"/>
    <w:next w:val="a"/>
    <w:autoRedefine/>
    <w:semiHidden/>
    <w:unhideWhenUsed/>
    <w:rsid w:val="003B648F"/>
    <w:pPr>
      <w:spacing w:after="100"/>
      <w:ind w:left="1020"/>
    </w:pPr>
  </w:style>
  <w:style w:type="paragraph" w:styleId="TOC8">
    <w:name w:val="toc 8"/>
    <w:basedOn w:val="a"/>
    <w:next w:val="a"/>
    <w:autoRedefine/>
    <w:semiHidden/>
    <w:unhideWhenUsed/>
    <w:rsid w:val="003B648F"/>
    <w:pPr>
      <w:spacing w:after="100"/>
      <w:ind w:left="1190"/>
    </w:pPr>
  </w:style>
  <w:style w:type="paragraph" w:styleId="TOC9">
    <w:name w:val="toc 9"/>
    <w:basedOn w:val="a"/>
    <w:next w:val="a"/>
    <w:autoRedefine/>
    <w:semiHidden/>
    <w:unhideWhenUsed/>
    <w:rsid w:val="003B648F"/>
    <w:pPr>
      <w:spacing w:after="100"/>
      <w:ind w:left="1360"/>
    </w:pPr>
  </w:style>
  <w:style w:type="paragraph" w:customStyle="1" w:styleId="TableHead2">
    <w:name w:val="Table Head2"/>
    <w:basedOn w:val="TableHead"/>
    <w:qFormat/>
    <w:rsid w:val="003B648F"/>
    <w:pPr>
      <w:outlineLvl w:val="9"/>
    </w:pPr>
  </w:style>
  <w:style w:type="paragraph" w:customStyle="1" w:styleId="TableSideHeading2">
    <w:name w:val="Table SideHeading2"/>
    <w:basedOn w:val="TableSideHeading"/>
    <w:autoRedefine/>
    <w:qFormat/>
    <w:rsid w:val="003B648F"/>
    <w:pPr>
      <w:keepLines w:val="0"/>
      <w:outlineLvl w:val="9"/>
    </w:pPr>
  </w:style>
  <w:style w:type="paragraph" w:customStyle="1" w:styleId="0">
    <w:name w:val="סגנון שורה ראשונה:  0  ס''מ"/>
    <w:basedOn w:val="2"/>
    <w:rsid w:val="003B648F"/>
    <w:rPr>
      <w:rFonts w:eastAsia="Times New Roman"/>
    </w:rPr>
  </w:style>
  <w:style w:type="paragraph" w:styleId="ae">
    <w:name w:val="List Paragraph"/>
    <w:basedOn w:val="a"/>
    <w:uiPriority w:val="34"/>
    <w:qFormat/>
    <w:rsid w:val="003B648F"/>
    <w:pPr>
      <w:widowControl/>
      <w:spacing w:line="259" w:lineRule="auto"/>
    </w:pPr>
    <w:rPr>
      <w:rFonts w:asciiTheme="minorHAnsi" w:hAnsiTheme="minorHAnsi"/>
      <w:sz w:val="22"/>
    </w:rPr>
  </w:style>
  <w:style w:type="table" w:styleId="af">
    <w:name w:val="Table Grid"/>
    <w:basedOn w:val="a1"/>
    <w:rsid w:val="003B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3B64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B64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3B648F"/>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3B648F"/>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C216C5-A262-40FF-A590-F6BF1F6D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C5709-4BC5-4789-B18C-1C3DB3DC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592</Words>
  <Characters>3381</Characters>
  <Application>Microsoft Office Word</Application>
  <DocSecurity>0</DocSecurity>
  <Lines>28</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9</cp:revision>
  <cp:lastPrinted>2021-12-15T10:06:00Z</cp:lastPrinted>
  <dcterms:created xsi:type="dcterms:W3CDTF">2015-04-20T09:58:00Z</dcterms:created>
  <dcterms:modified xsi:type="dcterms:W3CDTF">2021-12-15T10:06:00Z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2165952</vt:r8>
  </property>
</Properties>
</file>