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2161602</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 xml:space="preserve">אורי </w:t>
      </w:r>
      <w:proofErr w:type="spellStart"/>
      <w:r>
        <w:rPr>
          <w:rFonts w:hint="cs"/>
          <w:b/>
          <w:bCs/>
          <w:rtl/>
        </w:rPr>
        <w:t>מקלב</w:t>
      </w:r>
      <w:proofErr w:type="spellEnd"/>
      <w:r>
        <w:br/>
      </w:r>
      <w:r>
        <w:rPr>
          <w:rFonts w:hint="cs"/>
          <w:b/>
          <w:bCs/>
          <w:rtl/>
        </w:rPr>
        <w:t xml:space="preserve"> </w:t>
      </w:r>
      <w:r>
        <w:tab/>
      </w:r>
      <w:r>
        <w:tab/>
      </w:r>
      <w:r>
        <w:tab/>
      </w:r>
      <w:r>
        <w:tab/>
      </w:r>
      <w:r>
        <w:rPr>
          <w:rFonts w:hint="cs"/>
          <w:b/>
          <w:bCs/>
          <w:rtl/>
        </w:rPr>
        <w:t>משה גפני</w:t>
      </w:r>
      <w:r>
        <w:br/>
      </w:r>
      <w:r>
        <w:rPr>
          <w:rFonts w:hint="cs"/>
          <w:b/>
          <w:bCs/>
          <w:rtl/>
        </w:rPr>
        <w:t xml:space="preserve"> </w:t>
      </w:r>
      <w:r>
        <w:tab/>
      </w:r>
      <w:r>
        <w:tab/>
      </w:r>
      <w:r>
        <w:tab/>
      </w:r>
      <w:r>
        <w:tab/>
      </w:r>
      <w:r>
        <w:rPr>
          <w:rFonts w:hint="cs"/>
          <w:b/>
          <w:bCs/>
          <w:rtl/>
        </w:rPr>
        <w:t>יעקב אשר</w:t>
      </w:r>
      <w:r>
        <w:br/>
      </w:r>
      <w:r>
        <w:rPr>
          <w:rFonts w:hint="cs"/>
          <w:b/>
          <w:bCs/>
          <w:rtl/>
        </w:rPr>
        <w:t xml:space="preserve"> </w:t>
      </w:r>
      <w:r>
        <w:tab/>
      </w:r>
      <w:r>
        <w:tab/>
      </w:r>
      <w:r>
        <w:tab/>
      </w:r>
      <w:r>
        <w:tab/>
      </w:r>
      <w:r>
        <w:rPr>
          <w:rFonts w:hint="cs"/>
          <w:b/>
          <w:bCs/>
          <w:rtl/>
        </w:rPr>
        <w:t>יצחק פינדרוס</w:t>
      </w:r>
      <w:bookmarkEnd w:id="3"/>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4" w:name="Private_Number"/>
      <w:r>
        <w:rPr>
          <w:rFonts w:hint="cs"/>
          <w:rtl/>
        </w:rPr>
        <w:t>פ/2771/24</w:t>
      </w:r>
      <w:bookmarkEnd w:id="4"/>
    </w:p>
    <w:p w14:paraId="7F6961AD" w14:textId="77777777" w:rsidR="00E13C27" w:rsidRDefault="00A443CF" w:rsidP="0021633A">
      <w:pPr>
        <w:pStyle w:val="HeadHatzaotHok"/>
        <w:rPr>
          <w:rtl/>
        </w:rPr>
      </w:pPr>
      <w:bookmarkStart w:id="5" w:name="LGS_Subject"/>
      <w:r>
        <w:rPr>
          <w:rFonts w:hint="cs"/>
          <w:rtl/>
        </w:rPr>
        <w:t xml:space="preserve">הצעת חוק רישוי עסקים (תיקון – מכירת יין ומשקאות אלכוהוליים בחנות גדולה), </w:t>
      </w:r>
      <w:proofErr w:type="spellStart"/>
      <w:r>
        <w:rPr>
          <w:rFonts w:hint="cs"/>
          <w:rtl/>
        </w:rPr>
        <w:t>התשפ"ב</w:t>
      </w:r>
      <w:proofErr w:type="spellEnd"/>
      <w:r>
        <w:rPr>
          <w:rFonts w:hint="cs"/>
          <w:rtl/>
        </w:rPr>
        <w:t>–2021</w:t>
      </w:r>
      <w:bookmarkEnd w:id="5"/>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4"/>
        <w:gridCol w:w="624"/>
        <w:gridCol w:w="5896"/>
      </w:tblGrid>
      <w:tr w:rsidR="00110421" w14:paraId="4CDCFE77" w14:textId="77777777" w:rsidTr="0095776C">
        <w:trPr>
          <w:cantSplit/>
        </w:trPr>
        <w:tc>
          <w:tcPr>
            <w:tcW w:w="1870" w:type="dxa"/>
          </w:tcPr>
          <w:p w14:paraId="4FB841DC" w14:textId="77777777" w:rsidR="00110421" w:rsidRDefault="00110421" w:rsidP="00741FD6">
            <w:pPr>
              <w:pStyle w:val="TableSideHeading"/>
              <w:keepLines w:val="0"/>
            </w:pPr>
            <w:r w:rsidRPr="00A57B25">
              <w:rPr>
                <w:rtl/>
              </w:rPr>
              <w:t>תיקון  סעיף 2</w:t>
            </w:r>
            <w:r w:rsidRPr="00A57B25">
              <w:t xml:space="preserve">   </w:t>
            </w:r>
          </w:p>
        </w:tc>
        <w:tc>
          <w:tcPr>
            <w:tcW w:w="624" w:type="dxa"/>
          </w:tcPr>
          <w:p w14:paraId="6AC3707B" w14:textId="77777777" w:rsidR="00110421" w:rsidRDefault="00110421" w:rsidP="00741FD6">
            <w:pPr>
              <w:pStyle w:val="TableText"/>
              <w:keepLines w:val="0"/>
            </w:pPr>
            <w:r>
              <w:rPr>
                <w:rFonts w:hint="cs"/>
                <w:rtl/>
              </w:rPr>
              <w:t>1.</w:t>
            </w:r>
          </w:p>
        </w:tc>
        <w:tc>
          <w:tcPr>
            <w:tcW w:w="7144" w:type="dxa"/>
            <w:gridSpan w:val="3"/>
          </w:tcPr>
          <w:p w14:paraId="66BF1D89" w14:textId="77777777" w:rsidR="00110421" w:rsidRPr="00A57B25" w:rsidRDefault="00110421" w:rsidP="00741FD6">
            <w:pPr>
              <w:pStyle w:val="TableBlock"/>
              <w:rPr>
                <w:b/>
                <w:bCs/>
              </w:rPr>
            </w:pPr>
            <w:r w:rsidRPr="00A57B25">
              <w:rPr>
                <w:rtl/>
              </w:rPr>
              <w:t xml:space="preserve">בחוק </w:t>
            </w:r>
            <w:r w:rsidRPr="008E43D6">
              <w:rPr>
                <w:rtl/>
              </w:rPr>
              <w:t>רישוי</w:t>
            </w:r>
            <w:r w:rsidRPr="00A57B25">
              <w:rPr>
                <w:rtl/>
              </w:rPr>
              <w:t xml:space="preserve"> עסקים, </w:t>
            </w:r>
            <w:proofErr w:type="spellStart"/>
            <w:r w:rsidRPr="00A57B25">
              <w:rPr>
                <w:rtl/>
              </w:rPr>
              <w:t>התשכ"ח</w:t>
            </w:r>
            <w:proofErr w:type="spellEnd"/>
            <w:r w:rsidRPr="00A57B25">
              <w:rPr>
                <w:rtl/>
              </w:rPr>
              <w:t>–1968</w:t>
            </w:r>
            <w:r w:rsidRPr="008E43D6">
              <w:rPr>
                <w:sz w:val="26"/>
                <w:vertAlign w:val="superscript"/>
                <w:rtl/>
              </w:rPr>
              <w:footnoteReference w:id="2"/>
            </w:r>
            <w:r w:rsidRPr="00A57B25">
              <w:rPr>
                <w:rtl/>
              </w:rPr>
              <w:t>, בסעיף 2</w:t>
            </w:r>
            <w:r>
              <w:rPr>
                <w:rFonts w:hint="cs"/>
                <w:rtl/>
              </w:rPr>
              <w:t xml:space="preserve"> –</w:t>
            </w:r>
          </w:p>
        </w:tc>
      </w:tr>
      <w:tr w:rsidR="00110421" w14:paraId="61138CD7" w14:textId="77777777" w:rsidTr="0095776C">
        <w:trPr>
          <w:cantSplit/>
        </w:trPr>
        <w:tc>
          <w:tcPr>
            <w:tcW w:w="1870" w:type="dxa"/>
          </w:tcPr>
          <w:p w14:paraId="551AF212" w14:textId="77777777" w:rsidR="00110421" w:rsidRPr="00A57B25" w:rsidRDefault="00110421" w:rsidP="00741FD6">
            <w:pPr>
              <w:pStyle w:val="TableSideHeading"/>
              <w:keepLines w:val="0"/>
              <w:rPr>
                <w:rtl/>
              </w:rPr>
            </w:pPr>
          </w:p>
        </w:tc>
        <w:tc>
          <w:tcPr>
            <w:tcW w:w="624" w:type="dxa"/>
          </w:tcPr>
          <w:p w14:paraId="05C58A63" w14:textId="77777777" w:rsidR="00110421" w:rsidRDefault="00110421" w:rsidP="00741FD6">
            <w:pPr>
              <w:pStyle w:val="TableText"/>
              <w:keepLines w:val="0"/>
              <w:rPr>
                <w:rtl/>
              </w:rPr>
            </w:pPr>
          </w:p>
        </w:tc>
        <w:tc>
          <w:tcPr>
            <w:tcW w:w="7144" w:type="dxa"/>
            <w:gridSpan w:val="3"/>
          </w:tcPr>
          <w:p w14:paraId="065AB662" w14:textId="77777777" w:rsidR="00110421" w:rsidRDefault="00110421" w:rsidP="00741FD6">
            <w:pPr>
              <w:pStyle w:val="TableBlock"/>
              <w:rPr>
                <w:rtl/>
              </w:rPr>
            </w:pPr>
            <w:r>
              <w:rPr>
                <w:rFonts w:hint="cs"/>
                <w:rtl/>
              </w:rPr>
              <w:t>(1)</w:t>
            </w:r>
            <w:r>
              <w:rPr>
                <w:rtl/>
              </w:rPr>
              <w:tab/>
            </w:r>
            <w:r>
              <w:rPr>
                <w:rFonts w:hint="cs"/>
                <w:rtl/>
              </w:rPr>
              <w:t>בסעיף קטן (א1)(2), אחרי פסקת משנה (ב) יבוא:</w:t>
            </w:r>
          </w:p>
        </w:tc>
      </w:tr>
      <w:tr w:rsidR="00110421" w14:paraId="45842CD5" w14:textId="77777777" w:rsidTr="0095776C">
        <w:trPr>
          <w:cantSplit/>
        </w:trPr>
        <w:tc>
          <w:tcPr>
            <w:tcW w:w="1870" w:type="dxa"/>
          </w:tcPr>
          <w:p w14:paraId="460EF9A2" w14:textId="77777777" w:rsidR="00110421" w:rsidRDefault="00110421" w:rsidP="00741FD6">
            <w:pPr>
              <w:pStyle w:val="TableSideHeading"/>
            </w:pPr>
          </w:p>
        </w:tc>
        <w:tc>
          <w:tcPr>
            <w:tcW w:w="624" w:type="dxa"/>
          </w:tcPr>
          <w:p w14:paraId="478B9A69" w14:textId="77777777" w:rsidR="00110421" w:rsidRDefault="00110421" w:rsidP="00741FD6">
            <w:pPr>
              <w:pStyle w:val="TableText"/>
              <w:jc w:val="both"/>
            </w:pPr>
          </w:p>
        </w:tc>
        <w:tc>
          <w:tcPr>
            <w:tcW w:w="624" w:type="dxa"/>
          </w:tcPr>
          <w:p w14:paraId="51AF90D3" w14:textId="77777777" w:rsidR="00110421" w:rsidRPr="008E43D6" w:rsidRDefault="00110421" w:rsidP="00741FD6">
            <w:pPr>
              <w:pStyle w:val="TableText"/>
              <w:jc w:val="both"/>
            </w:pPr>
          </w:p>
        </w:tc>
        <w:tc>
          <w:tcPr>
            <w:tcW w:w="6520" w:type="dxa"/>
            <w:gridSpan w:val="2"/>
          </w:tcPr>
          <w:p w14:paraId="5753D0F5" w14:textId="77777777" w:rsidR="00110421" w:rsidRPr="008E43D6" w:rsidRDefault="00110421" w:rsidP="00741FD6">
            <w:pPr>
              <w:pStyle w:val="TableBlock"/>
            </w:pPr>
            <w:r w:rsidRPr="008E43D6">
              <w:rPr>
                <w:rFonts w:hint="cs"/>
                <w:rtl/>
              </w:rPr>
              <w:t>"(ג)</w:t>
            </w:r>
            <w:r w:rsidRPr="008E43D6">
              <w:rPr>
                <w:rtl/>
              </w:rPr>
              <w:tab/>
            </w:r>
            <w:r>
              <w:rPr>
                <w:rFonts w:hint="cs"/>
                <w:rtl/>
              </w:rPr>
              <w:t>מכירה של יין בחנות גדולה;</w:t>
            </w:r>
          </w:p>
        </w:tc>
      </w:tr>
      <w:tr w:rsidR="00110421" w14:paraId="19CD37E6" w14:textId="77777777" w:rsidTr="0095776C">
        <w:trPr>
          <w:cantSplit/>
        </w:trPr>
        <w:tc>
          <w:tcPr>
            <w:tcW w:w="1870" w:type="dxa"/>
          </w:tcPr>
          <w:p w14:paraId="7AB8BB72" w14:textId="77777777" w:rsidR="00110421" w:rsidRDefault="00110421" w:rsidP="00741FD6">
            <w:pPr>
              <w:pStyle w:val="TableSideHeading"/>
            </w:pPr>
          </w:p>
        </w:tc>
        <w:tc>
          <w:tcPr>
            <w:tcW w:w="624" w:type="dxa"/>
          </w:tcPr>
          <w:p w14:paraId="1BFBFCFA" w14:textId="77777777" w:rsidR="00110421" w:rsidRDefault="00110421" w:rsidP="00741FD6">
            <w:pPr>
              <w:pStyle w:val="TableText"/>
            </w:pPr>
          </w:p>
        </w:tc>
        <w:tc>
          <w:tcPr>
            <w:tcW w:w="624" w:type="dxa"/>
          </w:tcPr>
          <w:p w14:paraId="2D24C057" w14:textId="77777777" w:rsidR="00110421" w:rsidRPr="008E43D6" w:rsidRDefault="00110421" w:rsidP="00741FD6">
            <w:pPr>
              <w:pStyle w:val="TableText"/>
              <w:jc w:val="both"/>
            </w:pPr>
          </w:p>
        </w:tc>
        <w:tc>
          <w:tcPr>
            <w:tcW w:w="6520" w:type="dxa"/>
            <w:gridSpan w:val="2"/>
          </w:tcPr>
          <w:p w14:paraId="75F381F3" w14:textId="374E0EBB" w:rsidR="00110421" w:rsidRPr="008E43D6" w:rsidRDefault="00110421" w:rsidP="00741FD6">
            <w:pPr>
              <w:pStyle w:val="TableBlock"/>
              <w:rPr>
                <w:rtl/>
              </w:rPr>
            </w:pPr>
            <w:r>
              <w:rPr>
                <w:rFonts w:hint="cs"/>
                <w:rtl/>
              </w:rPr>
              <w:t>(ד) מכירת משקה משכר בחנות גדולה, ובלבד שלרוכש מלאו 21 שנים לפחות ושבאותה הקניה נרכשו מוצרים שאינם משקה משכר במחיר כפול לפחות ממחיר המשקה המשכר."</w:t>
            </w:r>
            <w:r w:rsidR="0095776C">
              <w:rPr>
                <w:rFonts w:hint="cs"/>
                <w:rtl/>
              </w:rPr>
              <w:t>;</w:t>
            </w:r>
          </w:p>
        </w:tc>
      </w:tr>
      <w:tr w:rsidR="00110421" w14:paraId="1E313A50" w14:textId="77777777" w:rsidTr="0095776C">
        <w:trPr>
          <w:cantSplit/>
        </w:trPr>
        <w:tc>
          <w:tcPr>
            <w:tcW w:w="1870" w:type="dxa"/>
          </w:tcPr>
          <w:p w14:paraId="70E62654" w14:textId="77777777" w:rsidR="00110421" w:rsidRDefault="00110421" w:rsidP="00741FD6">
            <w:pPr>
              <w:pStyle w:val="TableSideHeading"/>
            </w:pPr>
          </w:p>
        </w:tc>
        <w:tc>
          <w:tcPr>
            <w:tcW w:w="624" w:type="dxa"/>
          </w:tcPr>
          <w:p w14:paraId="48595210" w14:textId="77777777" w:rsidR="00110421" w:rsidRDefault="00110421" w:rsidP="00741FD6">
            <w:pPr>
              <w:pStyle w:val="TableText"/>
            </w:pPr>
          </w:p>
        </w:tc>
        <w:tc>
          <w:tcPr>
            <w:tcW w:w="7144" w:type="dxa"/>
            <w:gridSpan w:val="3"/>
          </w:tcPr>
          <w:p w14:paraId="25ADF8DF" w14:textId="059D628F" w:rsidR="00110421" w:rsidRPr="00C34DE2" w:rsidRDefault="00110421" w:rsidP="00741FD6">
            <w:pPr>
              <w:pStyle w:val="TableBlock"/>
            </w:pPr>
            <w:r>
              <w:rPr>
                <w:rFonts w:hint="cs"/>
                <w:rtl/>
              </w:rPr>
              <w:t>(2)</w:t>
            </w:r>
            <w:r>
              <w:rPr>
                <w:rtl/>
              </w:rPr>
              <w:tab/>
            </w:r>
            <w:r w:rsidR="0095776C">
              <w:rPr>
                <w:rFonts w:hint="cs"/>
                <w:rtl/>
              </w:rPr>
              <w:t>אחרי סעיף קטן (א1)</w:t>
            </w:r>
            <w:r>
              <w:rPr>
                <w:rFonts w:hint="cs"/>
                <w:rtl/>
              </w:rPr>
              <w:t xml:space="preserve"> יבוא:</w:t>
            </w:r>
          </w:p>
        </w:tc>
      </w:tr>
      <w:tr w:rsidR="0095776C" w14:paraId="18A69128" w14:textId="77777777" w:rsidTr="0095776C">
        <w:trPr>
          <w:cantSplit/>
          <w:trHeight w:val="60"/>
        </w:trPr>
        <w:tc>
          <w:tcPr>
            <w:tcW w:w="1870" w:type="dxa"/>
          </w:tcPr>
          <w:p w14:paraId="07AAAFED" w14:textId="77777777" w:rsidR="0095776C" w:rsidRDefault="0095776C">
            <w:pPr>
              <w:pStyle w:val="TableSideHeading"/>
            </w:pPr>
          </w:p>
        </w:tc>
        <w:tc>
          <w:tcPr>
            <w:tcW w:w="624" w:type="dxa"/>
          </w:tcPr>
          <w:p w14:paraId="3A2BD49D" w14:textId="77777777" w:rsidR="0095776C" w:rsidRDefault="0095776C">
            <w:pPr>
              <w:pStyle w:val="TableText"/>
            </w:pPr>
          </w:p>
        </w:tc>
        <w:tc>
          <w:tcPr>
            <w:tcW w:w="624" w:type="dxa"/>
          </w:tcPr>
          <w:p w14:paraId="3E8869BF" w14:textId="77777777" w:rsidR="0095776C" w:rsidRDefault="0095776C">
            <w:pPr>
              <w:pStyle w:val="TableText"/>
            </w:pPr>
          </w:p>
        </w:tc>
        <w:tc>
          <w:tcPr>
            <w:tcW w:w="624" w:type="dxa"/>
          </w:tcPr>
          <w:p w14:paraId="124D8EA5" w14:textId="3566F5C1" w:rsidR="0095776C" w:rsidRDefault="0095776C">
            <w:pPr>
              <w:pStyle w:val="TableText"/>
            </w:pPr>
            <w:r>
              <w:rPr>
                <w:rFonts w:hint="cs"/>
                <w:rtl/>
              </w:rPr>
              <w:t>"(א2)</w:t>
            </w:r>
          </w:p>
        </w:tc>
        <w:tc>
          <w:tcPr>
            <w:tcW w:w="5896" w:type="dxa"/>
          </w:tcPr>
          <w:p w14:paraId="446603A4" w14:textId="4249B9DC" w:rsidR="0095776C" w:rsidRDefault="0095776C">
            <w:pPr>
              <w:pStyle w:val="TableBlock"/>
            </w:pPr>
            <w:r>
              <w:rPr>
                <w:rFonts w:hint="cs"/>
                <w:rtl/>
              </w:rPr>
              <w:t xml:space="preserve">(1) </w:t>
            </w:r>
            <w:r>
              <w:rPr>
                <w:rtl/>
              </w:rPr>
              <w:tab/>
            </w:r>
            <w:r>
              <w:rPr>
                <w:rFonts w:hint="cs"/>
                <w:rtl/>
              </w:rPr>
              <w:t xml:space="preserve">חנות גדולה תעביר לשר הפנים בכל שנה דיווח ובו יפורטו  שיעורי המשקאות המשכרים שנמכרו בממוצע באותה השנה בין השעות 23:00 ל- 6:00 (להלן </w:t>
            </w:r>
            <w:r>
              <w:rPr>
                <w:rtl/>
              </w:rPr>
              <w:t>–</w:t>
            </w:r>
            <w:r>
              <w:rPr>
                <w:rFonts w:hint="cs"/>
                <w:rtl/>
              </w:rPr>
              <w:t xml:space="preserve"> שעות הלילה) לעומת שיעורי המשקאות המשכרים שנמכרו בממוצע באותה השנה בשאר שעות היממה.</w:t>
            </w:r>
          </w:p>
        </w:tc>
      </w:tr>
      <w:tr w:rsidR="0095776C" w14:paraId="18F6DA1D" w14:textId="77777777" w:rsidTr="0095776C">
        <w:trPr>
          <w:cantSplit/>
          <w:trHeight w:val="60"/>
        </w:trPr>
        <w:tc>
          <w:tcPr>
            <w:tcW w:w="1870" w:type="dxa"/>
          </w:tcPr>
          <w:p w14:paraId="5020119B" w14:textId="77777777" w:rsidR="0095776C" w:rsidRDefault="0095776C">
            <w:pPr>
              <w:pStyle w:val="TableSideHeading"/>
            </w:pPr>
          </w:p>
        </w:tc>
        <w:tc>
          <w:tcPr>
            <w:tcW w:w="624" w:type="dxa"/>
          </w:tcPr>
          <w:p w14:paraId="7950524E" w14:textId="77777777" w:rsidR="0095776C" w:rsidRDefault="0095776C" w:rsidP="0095776C">
            <w:pPr>
              <w:pStyle w:val="TableText"/>
            </w:pPr>
          </w:p>
        </w:tc>
        <w:tc>
          <w:tcPr>
            <w:tcW w:w="624" w:type="dxa"/>
          </w:tcPr>
          <w:p w14:paraId="197262DD" w14:textId="77777777" w:rsidR="0095776C" w:rsidRDefault="0095776C">
            <w:pPr>
              <w:pStyle w:val="TableText"/>
            </w:pPr>
          </w:p>
        </w:tc>
        <w:tc>
          <w:tcPr>
            <w:tcW w:w="624" w:type="dxa"/>
          </w:tcPr>
          <w:p w14:paraId="54477ABF" w14:textId="77777777" w:rsidR="0095776C" w:rsidRDefault="0095776C">
            <w:pPr>
              <w:pStyle w:val="TableText"/>
              <w:rPr>
                <w:rFonts w:hint="cs"/>
                <w:rtl/>
              </w:rPr>
            </w:pPr>
          </w:p>
        </w:tc>
        <w:tc>
          <w:tcPr>
            <w:tcW w:w="5896" w:type="dxa"/>
          </w:tcPr>
          <w:p w14:paraId="553CCFA5" w14:textId="0DB84E3B" w:rsidR="0095776C" w:rsidRDefault="0095776C">
            <w:pPr>
              <w:pStyle w:val="TableBlock"/>
              <w:rPr>
                <w:rFonts w:hint="cs"/>
                <w:rtl/>
              </w:rPr>
            </w:pPr>
            <w:r>
              <w:rPr>
                <w:rFonts w:hint="cs"/>
                <w:rtl/>
              </w:rPr>
              <w:t xml:space="preserve">(2) </w:t>
            </w:r>
            <w:r>
              <w:rPr>
                <w:rtl/>
              </w:rPr>
              <w:tab/>
            </w:r>
            <w:r>
              <w:rPr>
                <w:rFonts w:hint="cs"/>
                <w:rtl/>
              </w:rPr>
              <w:t>ראה השר, כי בחנות גדולה מסוימת אחוז רכישות המשקאות המשכרים בשעות הלילה גבוה באופן יחסי משיעור רכישות המשקאות המשכרים  בשעות אחרות, רשאי הוא לקבוע כי הוראות סעיף (א1)(2)(ד) לא יחולו על אותה החנות."</w:t>
            </w:r>
            <w:r>
              <w:rPr>
                <w:rFonts w:hint="cs"/>
                <w:rtl/>
              </w:rPr>
              <w:t>;</w:t>
            </w:r>
          </w:p>
        </w:tc>
      </w:tr>
      <w:tr w:rsidR="00110421" w14:paraId="3E26DAE8" w14:textId="77777777" w:rsidTr="0095776C">
        <w:trPr>
          <w:cantSplit/>
        </w:trPr>
        <w:tc>
          <w:tcPr>
            <w:tcW w:w="1870" w:type="dxa"/>
          </w:tcPr>
          <w:p w14:paraId="6C58CA85" w14:textId="77777777" w:rsidR="00110421" w:rsidRPr="006F2782" w:rsidRDefault="00110421" w:rsidP="00741FD6">
            <w:pPr>
              <w:pStyle w:val="TableSideHeading"/>
            </w:pPr>
          </w:p>
        </w:tc>
        <w:tc>
          <w:tcPr>
            <w:tcW w:w="624" w:type="dxa"/>
          </w:tcPr>
          <w:p w14:paraId="255E3758" w14:textId="77777777" w:rsidR="00110421" w:rsidRDefault="00110421" w:rsidP="00741FD6">
            <w:pPr>
              <w:pStyle w:val="TableText"/>
            </w:pPr>
          </w:p>
        </w:tc>
        <w:tc>
          <w:tcPr>
            <w:tcW w:w="7144" w:type="dxa"/>
            <w:gridSpan w:val="3"/>
          </w:tcPr>
          <w:p w14:paraId="2A7DFB85" w14:textId="2C20AF75" w:rsidR="00110421" w:rsidRPr="00C34DE2" w:rsidRDefault="00110421" w:rsidP="00741FD6">
            <w:pPr>
              <w:pStyle w:val="TableBlock"/>
            </w:pPr>
            <w:r>
              <w:rPr>
                <w:rFonts w:hint="cs"/>
                <w:rtl/>
              </w:rPr>
              <w:t>(3)</w:t>
            </w:r>
            <w:r>
              <w:rPr>
                <w:rtl/>
              </w:rPr>
              <w:tab/>
            </w:r>
            <w:r w:rsidR="0095776C">
              <w:rPr>
                <w:rFonts w:hint="cs"/>
                <w:rtl/>
              </w:rPr>
              <w:t>במקום סעיף קטן (ב)</w:t>
            </w:r>
            <w:r>
              <w:rPr>
                <w:rFonts w:hint="cs"/>
                <w:rtl/>
              </w:rPr>
              <w:t xml:space="preserve"> יבוא:</w:t>
            </w:r>
          </w:p>
        </w:tc>
      </w:tr>
      <w:tr w:rsidR="00110421" w14:paraId="0B879D50" w14:textId="77777777" w:rsidTr="0095776C">
        <w:trPr>
          <w:cantSplit/>
        </w:trPr>
        <w:tc>
          <w:tcPr>
            <w:tcW w:w="1870" w:type="dxa"/>
          </w:tcPr>
          <w:p w14:paraId="73A8DBF5" w14:textId="77777777" w:rsidR="00110421" w:rsidRDefault="00110421" w:rsidP="00741FD6">
            <w:pPr>
              <w:pStyle w:val="TableSideHeading"/>
              <w:rPr>
                <w:rtl/>
              </w:rPr>
            </w:pPr>
          </w:p>
        </w:tc>
        <w:tc>
          <w:tcPr>
            <w:tcW w:w="624" w:type="dxa"/>
          </w:tcPr>
          <w:p w14:paraId="300B3280" w14:textId="77777777" w:rsidR="00110421" w:rsidRDefault="00110421" w:rsidP="00741FD6">
            <w:pPr>
              <w:pStyle w:val="TableText"/>
              <w:jc w:val="both"/>
            </w:pPr>
          </w:p>
        </w:tc>
        <w:tc>
          <w:tcPr>
            <w:tcW w:w="624" w:type="dxa"/>
          </w:tcPr>
          <w:p w14:paraId="389D32F0" w14:textId="77777777" w:rsidR="00110421" w:rsidRDefault="00110421" w:rsidP="00741FD6">
            <w:pPr>
              <w:pStyle w:val="TableText"/>
              <w:jc w:val="both"/>
              <w:rPr>
                <w:rtl/>
              </w:rPr>
            </w:pPr>
          </w:p>
        </w:tc>
        <w:tc>
          <w:tcPr>
            <w:tcW w:w="6520" w:type="dxa"/>
            <w:gridSpan w:val="2"/>
          </w:tcPr>
          <w:p w14:paraId="01B8043F" w14:textId="77777777" w:rsidR="00110421" w:rsidRDefault="00110421" w:rsidP="00741FD6">
            <w:pPr>
              <w:pStyle w:val="TableBlock"/>
              <w:rPr>
                <w:rtl/>
              </w:rPr>
            </w:pPr>
            <w:r>
              <w:rPr>
                <w:rFonts w:hint="cs"/>
                <w:rtl/>
              </w:rPr>
              <w:t>"(ב)</w:t>
            </w:r>
            <w:r>
              <w:rPr>
                <w:rtl/>
              </w:rPr>
              <w:tab/>
            </w:r>
            <w:r>
              <w:rPr>
                <w:rFonts w:hint="cs"/>
                <w:rtl/>
              </w:rPr>
              <w:t xml:space="preserve">בסעיף זה </w:t>
            </w:r>
            <w:r>
              <w:rPr>
                <w:rtl/>
              </w:rPr>
              <w:t>–</w:t>
            </w:r>
          </w:p>
        </w:tc>
      </w:tr>
      <w:tr w:rsidR="0095776C" w14:paraId="4BAB7F18" w14:textId="77777777" w:rsidTr="0095776C">
        <w:trPr>
          <w:cantSplit/>
        </w:trPr>
        <w:tc>
          <w:tcPr>
            <w:tcW w:w="1870" w:type="dxa"/>
          </w:tcPr>
          <w:p w14:paraId="6CAAB0EC" w14:textId="77777777" w:rsidR="0095776C" w:rsidRDefault="0095776C" w:rsidP="0095776C">
            <w:pPr>
              <w:pStyle w:val="TableSideHeading"/>
              <w:ind w:right="0"/>
              <w:rPr>
                <w:rtl/>
              </w:rPr>
            </w:pPr>
          </w:p>
        </w:tc>
        <w:tc>
          <w:tcPr>
            <w:tcW w:w="624" w:type="dxa"/>
          </w:tcPr>
          <w:p w14:paraId="6B523AAB" w14:textId="77777777" w:rsidR="0095776C" w:rsidRDefault="0095776C" w:rsidP="0095776C">
            <w:pPr>
              <w:pStyle w:val="TableText"/>
              <w:ind w:right="0"/>
              <w:jc w:val="both"/>
            </w:pPr>
          </w:p>
        </w:tc>
        <w:tc>
          <w:tcPr>
            <w:tcW w:w="624" w:type="dxa"/>
          </w:tcPr>
          <w:p w14:paraId="4CA1A73C" w14:textId="77777777" w:rsidR="0095776C" w:rsidRDefault="0095776C" w:rsidP="0095776C">
            <w:pPr>
              <w:pStyle w:val="TableText"/>
              <w:ind w:right="0"/>
              <w:jc w:val="both"/>
              <w:rPr>
                <w:rtl/>
              </w:rPr>
            </w:pPr>
          </w:p>
        </w:tc>
        <w:tc>
          <w:tcPr>
            <w:tcW w:w="624" w:type="dxa"/>
          </w:tcPr>
          <w:p w14:paraId="4633499F" w14:textId="77777777" w:rsidR="0095776C" w:rsidRPr="0095776C" w:rsidRDefault="0095776C" w:rsidP="0095776C">
            <w:pPr>
              <w:pStyle w:val="TableText"/>
              <w:ind w:right="0"/>
              <w:jc w:val="both"/>
              <w:rPr>
                <w:rtl/>
              </w:rPr>
            </w:pPr>
          </w:p>
        </w:tc>
        <w:tc>
          <w:tcPr>
            <w:tcW w:w="5896" w:type="dxa"/>
          </w:tcPr>
          <w:p w14:paraId="70997F09" w14:textId="72DE322A" w:rsidR="0095776C" w:rsidRPr="0095776C" w:rsidRDefault="0095776C" w:rsidP="0095776C">
            <w:pPr>
              <w:pStyle w:val="TableBlockOutdent"/>
              <w:rPr>
                <w:rtl/>
              </w:rPr>
            </w:pPr>
            <w:r w:rsidRPr="0095776C">
              <w:rPr>
                <w:rFonts w:hint="cs"/>
                <w:rtl/>
              </w:rPr>
              <w:t xml:space="preserve">"חנות גדולה" </w:t>
            </w:r>
            <w:r w:rsidRPr="0095776C">
              <w:rPr>
                <w:rtl/>
              </w:rPr>
              <w:t>–</w:t>
            </w:r>
            <w:r w:rsidRPr="0095776C">
              <w:rPr>
                <w:rFonts w:hint="cs"/>
                <w:rtl/>
              </w:rPr>
              <w:t xml:space="preserve"> כהגדרתה בחוק קידום התחרות בענף המזון, </w:t>
            </w:r>
            <w:proofErr w:type="spellStart"/>
            <w:r w:rsidRPr="0095776C">
              <w:rPr>
                <w:rFonts w:hint="cs"/>
                <w:rtl/>
              </w:rPr>
              <w:t>התשע"ד</w:t>
            </w:r>
            <w:proofErr w:type="spellEnd"/>
            <w:r w:rsidRPr="0095776C">
              <w:rPr>
                <w:rFonts w:hint="eastAsia"/>
                <w:rtl/>
              </w:rPr>
              <w:t>–</w:t>
            </w:r>
            <w:r w:rsidRPr="0095776C">
              <w:rPr>
                <w:rFonts w:hint="cs"/>
                <w:rtl/>
              </w:rPr>
              <w:t>2014</w:t>
            </w:r>
            <w:r w:rsidRPr="0095776C">
              <w:rPr>
                <w:vertAlign w:val="superscript"/>
                <w:rtl/>
              </w:rPr>
              <w:footnoteReference w:id="3"/>
            </w:r>
            <w:r w:rsidRPr="0095776C">
              <w:rPr>
                <w:rFonts w:hint="cs"/>
                <w:rtl/>
              </w:rPr>
              <w:t>;</w:t>
            </w:r>
          </w:p>
        </w:tc>
      </w:tr>
      <w:tr w:rsidR="0095776C" w14:paraId="2101E17D" w14:textId="77777777" w:rsidTr="0095776C">
        <w:trPr>
          <w:cantSplit/>
        </w:trPr>
        <w:tc>
          <w:tcPr>
            <w:tcW w:w="1870" w:type="dxa"/>
          </w:tcPr>
          <w:p w14:paraId="0D379B41" w14:textId="77777777" w:rsidR="0095776C" w:rsidRDefault="0095776C" w:rsidP="0095776C">
            <w:pPr>
              <w:pStyle w:val="TableSideHeading"/>
              <w:ind w:right="0"/>
              <w:rPr>
                <w:rtl/>
              </w:rPr>
            </w:pPr>
          </w:p>
        </w:tc>
        <w:tc>
          <w:tcPr>
            <w:tcW w:w="624" w:type="dxa"/>
          </w:tcPr>
          <w:p w14:paraId="294BD6CB" w14:textId="77777777" w:rsidR="0095776C" w:rsidRDefault="0095776C" w:rsidP="0095776C">
            <w:pPr>
              <w:pStyle w:val="TableText"/>
              <w:ind w:right="0"/>
              <w:jc w:val="both"/>
            </w:pPr>
          </w:p>
        </w:tc>
        <w:tc>
          <w:tcPr>
            <w:tcW w:w="624" w:type="dxa"/>
          </w:tcPr>
          <w:p w14:paraId="5D7BFCD7" w14:textId="77777777" w:rsidR="0095776C" w:rsidRDefault="0095776C" w:rsidP="0095776C">
            <w:pPr>
              <w:pStyle w:val="TableText"/>
              <w:ind w:right="0"/>
              <w:jc w:val="both"/>
              <w:rPr>
                <w:rtl/>
              </w:rPr>
            </w:pPr>
          </w:p>
        </w:tc>
        <w:tc>
          <w:tcPr>
            <w:tcW w:w="624" w:type="dxa"/>
          </w:tcPr>
          <w:p w14:paraId="6D773C6B" w14:textId="77777777" w:rsidR="0095776C" w:rsidRPr="0095776C" w:rsidRDefault="0095776C" w:rsidP="0095776C">
            <w:pPr>
              <w:pStyle w:val="TableText"/>
              <w:ind w:right="0"/>
              <w:jc w:val="both"/>
              <w:rPr>
                <w:rtl/>
              </w:rPr>
            </w:pPr>
          </w:p>
        </w:tc>
        <w:tc>
          <w:tcPr>
            <w:tcW w:w="5896" w:type="dxa"/>
          </w:tcPr>
          <w:p w14:paraId="789FAECD" w14:textId="3E5F9564" w:rsidR="0095776C" w:rsidRPr="0095776C" w:rsidRDefault="0095776C" w:rsidP="0095776C">
            <w:pPr>
              <w:pStyle w:val="TableBlockOutdent"/>
              <w:rPr>
                <w:rtl/>
              </w:rPr>
            </w:pPr>
            <w:r w:rsidRPr="0095776C">
              <w:rPr>
                <w:rFonts w:hint="cs"/>
                <w:rtl/>
              </w:rPr>
              <w:t xml:space="preserve">"יין" </w:t>
            </w:r>
            <w:r w:rsidRPr="0095776C">
              <w:rPr>
                <w:rtl/>
              </w:rPr>
              <w:t>–</w:t>
            </w:r>
            <w:r w:rsidRPr="0095776C">
              <w:rPr>
                <w:rFonts w:hint="cs"/>
                <w:rtl/>
              </w:rPr>
              <w:t xml:space="preserve"> כהגדרתו בפקודת המשקאות המשכרים (ייצור ומכירה)</w:t>
            </w:r>
            <w:r w:rsidRPr="0095776C">
              <w:rPr>
                <w:vertAlign w:val="superscript"/>
                <w:rtl/>
              </w:rPr>
              <w:footnoteReference w:id="4"/>
            </w:r>
            <w:r w:rsidRPr="0095776C">
              <w:rPr>
                <w:rFonts w:hint="cs"/>
                <w:rtl/>
              </w:rPr>
              <w:t>;</w:t>
            </w:r>
          </w:p>
        </w:tc>
      </w:tr>
      <w:tr w:rsidR="0095776C" w14:paraId="3E55CF00" w14:textId="77777777" w:rsidTr="0095776C">
        <w:trPr>
          <w:cantSplit/>
        </w:trPr>
        <w:tc>
          <w:tcPr>
            <w:tcW w:w="1870" w:type="dxa"/>
          </w:tcPr>
          <w:p w14:paraId="60344B5B" w14:textId="77777777" w:rsidR="0095776C" w:rsidRDefault="0095776C" w:rsidP="0095776C">
            <w:pPr>
              <w:pStyle w:val="TableSideHeading"/>
              <w:ind w:right="0"/>
              <w:rPr>
                <w:rtl/>
              </w:rPr>
            </w:pPr>
          </w:p>
        </w:tc>
        <w:tc>
          <w:tcPr>
            <w:tcW w:w="624" w:type="dxa"/>
          </w:tcPr>
          <w:p w14:paraId="513BBED2" w14:textId="77777777" w:rsidR="0095776C" w:rsidRDefault="0095776C" w:rsidP="0095776C">
            <w:pPr>
              <w:pStyle w:val="TableText"/>
              <w:ind w:right="0"/>
              <w:jc w:val="both"/>
            </w:pPr>
          </w:p>
        </w:tc>
        <w:tc>
          <w:tcPr>
            <w:tcW w:w="624" w:type="dxa"/>
          </w:tcPr>
          <w:p w14:paraId="7C14532E" w14:textId="77777777" w:rsidR="0095776C" w:rsidRDefault="0095776C" w:rsidP="0095776C">
            <w:pPr>
              <w:pStyle w:val="TableText"/>
              <w:ind w:right="0"/>
              <w:jc w:val="both"/>
              <w:rPr>
                <w:rtl/>
              </w:rPr>
            </w:pPr>
          </w:p>
        </w:tc>
        <w:tc>
          <w:tcPr>
            <w:tcW w:w="624" w:type="dxa"/>
          </w:tcPr>
          <w:p w14:paraId="1207BDC1" w14:textId="77777777" w:rsidR="0095776C" w:rsidRPr="0095776C" w:rsidRDefault="0095776C" w:rsidP="0095776C">
            <w:pPr>
              <w:pStyle w:val="TableText"/>
              <w:ind w:right="0"/>
              <w:jc w:val="both"/>
              <w:rPr>
                <w:rtl/>
              </w:rPr>
            </w:pPr>
          </w:p>
        </w:tc>
        <w:tc>
          <w:tcPr>
            <w:tcW w:w="5896" w:type="dxa"/>
          </w:tcPr>
          <w:p w14:paraId="32C80432" w14:textId="630D2133" w:rsidR="0095776C" w:rsidRPr="0095776C" w:rsidRDefault="0095776C" w:rsidP="0095776C">
            <w:pPr>
              <w:pStyle w:val="TableBlockOutdent"/>
              <w:rPr>
                <w:rtl/>
              </w:rPr>
            </w:pPr>
            <w:r w:rsidRPr="0095776C">
              <w:rPr>
                <w:rtl/>
              </w:rPr>
              <w:t>"משקה משכר" – משקה תוסס או אלכוהולי שנועד לצריכת אדם והמכיל, בבדיקת מדגם ממנו, שני אחוזים או יותר אלכוהול לפי הנפח, למעט סמים ותרופות המוכנים או נמכרים על ידי רוקח כדין; צוינה תכולת האלכוהול שבמשקה הנמצא במיכל, ישמש ציון זה הוכחה לכאורה למידת התכולה</w:t>
            </w:r>
            <w:r w:rsidRPr="0095776C">
              <w:rPr>
                <w:rFonts w:hint="cs"/>
                <w:rtl/>
              </w:rPr>
              <w:t>."</w:t>
            </w:r>
          </w:p>
        </w:tc>
      </w:tr>
    </w:tbl>
    <w:p w14:paraId="7CF30EDC" w14:textId="77777777" w:rsidR="00110421" w:rsidRDefault="00110421" w:rsidP="00110421">
      <w:pPr>
        <w:pStyle w:val="HeadDivreiHesber"/>
        <w:rPr>
          <w:rtl/>
        </w:rPr>
      </w:pPr>
      <w:r w:rsidRPr="0027450A">
        <w:rPr>
          <w:rFonts w:hint="cs"/>
          <w:rtl/>
        </w:rPr>
        <w:t>דברי הסבר</w:t>
      </w:r>
    </w:p>
    <w:p w14:paraId="138E024A" w14:textId="77777777" w:rsidR="00110421" w:rsidRPr="00920625" w:rsidRDefault="00110421" w:rsidP="002D0E64">
      <w:pPr>
        <w:pStyle w:val="Hesber"/>
        <w:spacing w:line="240" w:lineRule="auto"/>
        <w:rPr>
          <w:rtl/>
        </w:rPr>
      </w:pPr>
      <w:r w:rsidRPr="00920625">
        <w:rPr>
          <w:rFonts w:hint="eastAsia"/>
          <w:rtl/>
        </w:rPr>
        <w:t>בשנים</w:t>
      </w:r>
      <w:r w:rsidRPr="00920625">
        <w:rPr>
          <w:rtl/>
        </w:rPr>
        <w:t xml:space="preserve"> האחרונות, בעקבות עלייה בשתיית אלכוהול מופרזת ותופעת השכרות בעיקר בקרב צעירים, בני נוער ובליינים, שטומנת בחובה סכנות בריאותיות ובטיחותיות, תוקן חוק רישוי עסקים, </w:t>
      </w:r>
      <w:proofErr w:type="spellStart"/>
      <w:r w:rsidRPr="00920625">
        <w:rPr>
          <w:rFonts w:hint="eastAsia"/>
          <w:rtl/>
        </w:rPr>
        <w:t>התשכ</w:t>
      </w:r>
      <w:r w:rsidRPr="00920625">
        <w:rPr>
          <w:rtl/>
        </w:rPr>
        <w:t>"ח</w:t>
      </w:r>
      <w:proofErr w:type="spellEnd"/>
      <w:r w:rsidRPr="00920625">
        <w:rPr>
          <w:rFonts w:hint="eastAsia"/>
          <w:rtl/>
        </w:rPr>
        <w:t>–</w:t>
      </w:r>
      <w:r w:rsidRPr="00920625">
        <w:rPr>
          <w:rtl/>
        </w:rPr>
        <w:t xml:space="preserve">1968 (להלן </w:t>
      </w:r>
      <w:r w:rsidRPr="00920625">
        <w:rPr>
          <w:rFonts w:hint="eastAsia"/>
          <w:rtl/>
        </w:rPr>
        <w:t>–</w:t>
      </w:r>
      <w:r w:rsidRPr="00920625">
        <w:rPr>
          <w:rtl/>
        </w:rPr>
        <w:t xml:space="preserve"> החוק), </w:t>
      </w:r>
      <w:r w:rsidRPr="00920625">
        <w:rPr>
          <w:rFonts w:hint="eastAsia"/>
          <w:rtl/>
        </w:rPr>
        <w:t>ונקבע</w:t>
      </w:r>
      <w:r w:rsidRPr="00920625">
        <w:rPr>
          <w:rtl/>
        </w:rPr>
        <w:t xml:space="preserve"> </w:t>
      </w:r>
      <w:r w:rsidRPr="00920625">
        <w:rPr>
          <w:rFonts w:hint="eastAsia"/>
          <w:rtl/>
        </w:rPr>
        <w:t>בו</w:t>
      </w:r>
      <w:r w:rsidRPr="00920625">
        <w:rPr>
          <w:rtl/>
        </w:rPr>
        <w:t xml:space="preserve"> </w:t>
      </w:r>
      <w:r w:rsidRPr="00920625">
        <w:rPr>
          <w:rFonts w:hint="eastAsia"/>
          <w:rtl/>
        </w:rPr>
        <w:t>איסור</w:t>
      </w:r>
      <w:r w:rsidRPr="00920625">
        <w:rPr>
          <w:rtl/>
        </w:rPr>
        <w:t xml:space="preserve"> </w:t>
      </w:r>
      <w:r w:rsidRPr="00920625">
        <w:rPr>
          <w:rFonts w:hint="eastAsia"/>
          <w:rtl/>
        </w:rPr>
        <w:t>על</w:t>
      </w:r>
      <w:r w:rsidRPr="00920625">
        <w:rPr>
          <w:rtl/>
        </w:rPr>
        <w:t xml:space="preserve"> </w:t>
      </w:r>
      <w:r w:rsidRPr="00920625">
        <w:rPr>
          <w:rFonts w:hint="eastAsia"/>
          <w:rtl/>
        </w:rPr>
        <w:t>מכירת</w:t>
      </w:r>
      <w:r w:rsidRPr="00920625">
        <w:rPr>
          <w:rtl/>
        </w:rPr>
        <w:t xml:space="preserve"> </w:t>
      </w:r>
      <w:r w:rsidRPr="00920625">
        <w:rPr>
          <w:rFonts w:hint="eastAsia"/>
          <w:rtl/>
        </w:rPr>
        <w:t>משקאות</w:t>
      </w:r>
      <w:r w:rsidRPr="00920625">
        <w:rPr>
          <w:rtl/>
        </w:rPr>
        <w:t xml:space="preserve"> </w:t>
      </w:r>
      <w:r w:rsidRPr="00920625">
        <w:rPr>
          <w:rFonts w:hint="eastAsia"/>
          <w:rtl/>
        </w:rPr>
        <w:t>משכרים</w:t>
      </w:r>
      <w:r w:rsidRPr="00920625">
        <w:rPr>
          <w:rtl/>
        </w:rPr>
        <w:t xml:space="preserve"> </w:t>
      </w:r>
      <w:r w:rsidRPr="00920625">
        <w:rPr>
          <w:rFonts w:hint="eastAsia"/>
          <w:rtl/>
        </w:rPr>
        <w:t>לאחר</w:t>
      </w:r>
      <w:r w:rsidRPr="00920625">
        <w:rPr>
          <w:rtl/>
        </w:rPr>
        <w:t xml:space="preserve"> </w:t>
      </w:r>
      <w:r w:rsidRPr="00920625">
        <w:rPr>
          <w:rFonts w:hint="eastAsia"/>
          <w:rtl/>
        </w:rPr>
        <w:t>השעה</w:t>
      </w:r>
      <w:r w:rsidRPr="00920625">
        <w:rPr>
          <w:rtl/>
        </w:rPr>
        <w:t xml:space="preserve"> 23:00. </w:t>
      </w:r>
      <w:r w:rsidRPr="00920625">
        <w:rPr>
          <w:rFonts w:hint="eastAsia"/>
          <w:rtl/>
        </w:rPr>
        <w:t>החוק</w:t>
      </w:r>
      <w:r w:rsidRPr="00920625">
        <w:rPr>
          <w:rtl/>
        </w:rPr>
        <w:t xml:space="preserve"> </w:t>
      </w:r>
      <w:r w:rsidRPr="00920625">
        <w:rPr>
          <w:rFonts w:hint="eastAsia"/>
          <w:rtl/>
        </w:rPr>
        <w:t>נועד</w:t>
      </w:r>
      <w:r w:rsidRPr="00920625">
        <w:rPr>
          <w:rtl/>
        </w:rPr>
        <w:t xml:space="preserve"> </w:t>
      </w:r>
      <w:r w:rsidRPr="00920625">
        <w:rPr>
          <w:rFonts w:hint="eastAsia"/>
          <w:rtl/>
        </w:rPr>
        <w:t>לצמצם</w:t>
      </w:r>
      <w:r w:rsidRPr="00920625">
        <w:rPr>
          <w:rtl/>
        </w:rPr>
        <w:t xml:space="preserve"> </w:t>
      </w:r>
      <w:r w:rsidRPr="00920625">
        <w:rPr>
          <w:rFonts w:hint="eastAsia"/>
          <w:rtl/>
        </w:rPr>
        <w:t>מכירה</w:t>
      </w:r>
      <w:r w:rsidRPr="00920625">
        <w:rPr>
          <w:rtl/>
        </w:rPr>
        <w:t xml:space="preserve"> </w:t>
      </w:r>
      <w:r w:rsidRPr="00920625">
        <w:rPr>
          <w:rFonts w:hint="eastAsia"/>
          <w:rtl/>
        </w:rPr>
        <w:t>ושתייה</w:t>
      </w:r>
      <w:r w:rsidRPr="00920625">
        <w:rPr>
          <w:rtl/>
        </w:rPr>
        <w:t xml:space="preserve"> </w:t>
      </w:r>
      <w:r w:rsidRPr="00920625">
        <w:rPr>
          <w:rFonts w:hint="eastAsia"/>
          <w:rtl/>
        </w:rPr>
        <w:t>של</w:t>
      </w:r>
      <w:r w:rsidRPr="00920625">
        <w:rPr>
          <w:rtl/>
        </w:rPr>
        <w:t xml:space="preserve"> </w:t>
      </w:r>
      <w:r w:rsidRPr="00920625">
        <w:rPr>
          <w:rFonts w:hint="eastAsia"/>
          <w:rtl/>
        </w:rPr>
        <w:t>אלכוהול</w:t>
      </w:r>
      <w:r w:rsidRPr="00920625">
        <w:rPr>
          <w:rtl/>
        </w:rPr>
        <w:t xml:space="preserve"> </w:t>
      </w:r>
      <w:r w:rsidRPr="00920625">
        <w:rPr>
          <w:rFonts w:hint="eastAsia"/>
          <w:rtl/>
        </w:rPr>
        <w:t>בשעות</w:t>
      </w:r>
      <w:r w:rsidRPr="00920625">
        <w:rPr>
          <w:rtl/>
        </w:rPr>
        <w:t xml:space="preserve"> </w:t>
      </w:r>
      <w:r w:rsidRPr="00920625">
        <w:rPr>
          <w:rFonts w:hint="eastAsia"/>
          <w:rtl/>
        </w:rPr>
        <w:t>הלילה</w:t>
      </w:r>
      <w:r w:rsidRPr="00920625">
        <w:rPr>
          <w:rtl/>
        </w:rPr>
        <w:t>.</w:t>
      </w:r>
    </w:p>
    <w:p w14:paraId="49FA87CE" w14:textId="77777777" w:rsidR="00110421" w:rsidRPr="00920625" w:rsidRDefault="00110421" w:rsidP="002D0E64">
      <w:pPr>
        <w:pStyle w:val="Hesber"/>
        <w:spacing w:line="240" w:lineRule="auto"/>
        <w:rPr>
          <w:rtl/>
        </w:rPr>
      </w:pPr>
      <w:r w:rsidRPr="00920625">
        <w:rPr>
          <w:rFonts w:hint="eastAsia"/>
          <w:rtl/>
        </w:rPr>
        <w:t>עם</w:t>
      </w:r>
      <w:r w:rsidRPr="00920625">
        <w:rPr>
          <w:rtl/>
        </w:rPr>
        <w:t xml:space="preserve"> זאת, החוק גורם לפ</w:t>
      </w:r>
      <w:r>
        <w:rPr>
          <w:rtl/>
        </w:rPr>
        <w:t>גיעה בצרכנים רבים שעורכים קניות,</w:t>
      </w:r>
      <w:r>
        <w:rPr>
          <w:rFonts w:hint="cs"/>
          <w:rtl/>
        </w:rPr>
        <w:t xml:space="preserve"> </w:t>
      </w:r>
      <w:r w:rsidRPr="00920625">
        <w:rPr>
          <w:rtl/>
        </w:rPr>
        <w:t>שה</w:t>
      </w:r>
      <w:r>
        <w:rPr>
          <w:rFonts w:hint="cs"/>
          <w:rtl/>
        </w:rPr>
        <w:t>משקה האלכוהולי</w:t>
      </w:r>
      <w:r w:rsidRPr="00920625">
        <w:rPr>
          <w:rtl/>
        </w:rPr>
        <w:t xml:space="preserve"> אותו הם מעוניינים לרכוש, אינו מיועד לשתייה </w:t>
      </w:r>
      <w:r w:rsidRPr="00920625">
        <w:rPr>
          <w:rFonts w:hint="cs"/>
          <w:rtl/>
        </w:rPr>
        <w:t>מידית</w:t>
      </w:r>
      <w:r w:rsidRPr="00920625">
        <w:rPr>
          <w:rtl/>
        </w:rPr>
        <w:t xml:space="preserve">, </w:t>
      </w:r>
      <w:r w:rsidRPr="00920625">
        <w:rPr>
          <w:rFonts w:hint="eastAsia"/>
          <w:rtl/>
        </w:rPr>
        <w:t>אלא</w:t>
      </w:r>
      <w:r w:rsidRPr="00920625">
        <w:rPr>
          <w:rtl/>
        </w:rPr>
        <w:t xml:space="preserve"> </w:t>
      </w:r>
      <w:r w:rsidRPr="00920625">
        <w:rPr>
          <w:rFonts w:hint="eastAsia"/>
          <w:rtl/>
        </w:rPr>
        <w:t>לשימוש</w:t>
      </w:r>
      <w:r w:rsidRPr="00920625">
        <w:rPr>
          <w:rtl/>
        </w:rPr>
        <w:t xml:space="preserve"> </w:t>
      </w:r>
      <w:r w:rsidRPr="00920625">
        <w:rPr>
          <w:rFonts w:hint="eastAsia"/>
          <w:rtl/>
        </w:rPr>
        <w:t>בסעודות</w:t>
      </w:r>
      <w:r w:rsidRPr="00920625">
        <w:rPr>
          <w:rtl/>
        </w:rPr>
        <w:t xml:space="preserve"> </w:t>
      </w:r>
      <w:r w:rsidRPr="00920625">
        <w:rPr>
          <w:rFonts w:hint="eastAsia"/>
          <w:rtl/>
        </w:rPr>
        <w:t>שבת</w:t>
      </w:r>
      <w:r w:rsidRPr="00920625">
        <w:rPr>
          <w:rtl/>
        </w:rPr>
        <w:t xml:space="preserve"> </w:t>
      </w:r>
      <w:r w:rsidRPr="00920625">
        <w:rPr>
          <w:rFonts w:hint="eastAsia"/>
          <w:rtl/>
        </w:rPr>
        <w:t>וחג</w:t>
      </w:r>
      <w:r w:rsidRPr="00920625">
        <w:rPr>
          <w:rtl/>
        </w:rPr>
        <w:t xml:space="preserve">, </w:t>
      </w:r>
      <w:r w:rsidRPr="00920625">
        <w:rPr>
          <w:rFonts w:hint="eastAsia"/>
          <w:rtl/>
        </w:rPr>
        <w:t>לצורך</w:t>
      </w:r>
      <w:r w:rsidRPr="00920625">
        <w:rPr>
          <w:rtl/>
        </w:rPr>
        <w:t xml:space="preserve"> </w:t>
      </w:r>
      <w:r w:rsidRPr="00920625">
        <w:rPr>
          <w:rFonts w:hint="eastAsia"/>
          <w:rtl/>
        </w:rPr>
        <w:t>בישולים</w:t>
      </w:r>
      <w:r w:rsidRPr="00920625">
        <w:rPr>
          <w:rtl/>
        </w:rPr>
        <w:t xml:space="preserve">, </w:t>
      </w:r>
      <w:r w:rsidRPr="00920625">
        <w:rPr>
          <w:rFonts w:hint="eastAsia"/>
          <w:rtl/>
        </w:rPr>
        <w:t>או</w:t>
      </w:r>
      <w:r w:rsidRPr="00920625">
        <w:rPr>
          <w:rtl/>
        </w:rPr>
        <w:t xml:space="preserve"> </w:t>
      </w:r>
      <w:r w:rsidRPr="00920625">
        <w:rPr>
          <w:rFonts w:hint="eastAsia"/>
          <w:rtl/>
        </w:rPr>
        <w:t>לצרכי</w:t>
      </w:r>
      <w:r w:rsidRPr="00920625">
        <w:rPr>
          <w:rtl/>
        </w:rPr>
        <w:t xml:space="preserve"> </w:t>
      </w:r>
      <w:r w:rsidRPr="00920625">
        <w:rPr>
          <w:rFonts w:hint="eastAsia"/>
          <w:rtl/>
        </w:rPr>
        <w:t>דת</w:t>
      </w:r>
      <w:r w:rsidRPr="00920625">
        <w:rPr>
          <w:rtl/>
        </w:rPr>
        <w:t xml:space="preserve"> </w:t>
      </w:r>
      <w:r w:rsidRPr="00920625">
        <w:rPr>
          <w:rFonts w:hint="eastAsia"/>
          <w:rtl/>
        </w:rPr>
        <w:t>כגון</w:t>
      </w:r>
      <w:r w:rsidRPr="00920625">
        <w:rPr>
          <w:rtl/>
        </w:rPr>
        <w:t xml:space="preserve"> </w:t>
      </w:r>
      <w:r w:rsidRPr="00920625">
        <w:rPr>
          <w:rFonts w:hint="eastAsia"/>
          <w:rtl/>
        </w:rPr>
        <w:t>עריכת</w:t>
      </w:r>
      <w:r w:rsidRPr="00920625">
        <w:rPr>
          <w:rtl/>
        </w:rPr>
        <w:t xml:space="preserve"> </w:t>
      </w:r>
      <w:r w:rsidRPr="00920625">
        <w:rPr>
          <w:rFonts w:hint="eastAsia"/>
          <w:rtl/>
        </w:rPr>
        <w:t>קידוש</w:t>
      </w:r>
      <w:r w:rsidRPr="00920625">
        <w:rPr>
          <w:rtl/>
        </w:rPr>
        <w:t xml:space="preserve"> </w:t>
      </w:r>
      <w:r w:rsidRPr="00920625">
        <w:rPr>
          <w:rFonts w:hint="eastAsia"/>
          <w:rtl/>
        </w:rPr>
        <w:t>בשבת</w:t>
      </w:r>
      <w:r w:rsidRPr="00920625">
        <w:rPr>
          <w:rtl/>
        </w:rPr>
        <w:t xml:space="preserve"> </w:t>
      </w:r>
      <w:r w:rsidRPr="00920625">
        <w:rPr>
          <w:rFonts w:hint="eastAsia"/>
          <w:rtl/>
        </w:rPr>
        <w:t>והבדלה</w:t>
      </w:r>
      <w:r w:rsidRPr="00920625">
        <w:rPr>
          <w:rtl/>
        </w:rPr>
        <w:t xml:space="preserve"> </w:t>
      </w:r>
      <w:r w:rsidRPr="00920625">
        <w:rPr>
          <w:rFonts w:hint="eastAsia"/>
          <w:rtl/>
        </w:rPr>
        <w:t>במוצאי</w:t>
      </w:r>
      <w:r w:rsidRPr="00920625">
        <w:rPr>
          <w:rtl/>
        </w:rPr>
        <w:t xml:space="preserve"> </w:t>
      </w:r>
      <w:r w:rsidRPr="00920625">
        <w:rPr>
          <w:rFonts w:hint="eastAsia"/>
          <w:rtl/>
        </w:rPr>
        <w:t>שבת</w:t>
      </w:r>
      <w:r w:rsidRPr="00920625">
        <w:rPr>
          <w:rtl/>
        </w:rPr>
        <w:t>.</w:t>
      </w:r>
    </w:p>
    <w:p w14:paraId="2B38C925" w14:textId="77777777" w:rsidR="00110421" w:rsidRPr="00920625" w:rsidRDefault="00110421" w:rsidP="002D0E64">
      <w:pPr>
        <w:pStyle w:val="Hesber"/>
        <w:spacing w:line="240" w:lineRule="auto"/>
        <w:rPr>
          <w:rtl/>
        </w:rPr>
      </w:pPr>
      <w:r w:rsidRPr="00920625">
        <w:rPr>
          <w:rFonts w:hint="eastAsia"/>
          <w:rtl/>
        </w:rPr>
        <w:t>בשנים</w:t>
      </w:r>
      <w:r w:rsidRPr="00920625">
        <w:rPr>
          <w:rtl/>
        </w:rPr>
        <w:t xml:space="preserve"> האחרונות, כדי להקל את העומס ולהקל על קונים שעובדים או לומדים בשעות היום, החלו סופרמרקטים לפתוח את שעריהם גם בשעות מאוחרות, בעיקר בימי חמישי וערבי חג. </w:t>
      </w:r>
    </w:p>
    <w:p w14:paraId="3C896C14" w14:textId="77777777" w:rsidR="00110421" w:rsidRPr="00920625" w:rsidRDefault="00110421" w:rsidP="002D0E64">
      <w:pPr>
        <w:pStyle w:val="Hesber"/>
        <w:spacing w:line="240" w:lineRule="auto"/>
        <w:rPr>
          <w:rtl/>
        </w:rPr>
      </w:pPr>
      <w:r w:rsidRPr="00920625">
        <w:rPr>
          <w:rFonts w:hint="eastAsia"/>
          <w:rtl/>
        </w:rPr>
        <w:t>קונים</w:t>
      </w:r>
      <w:r w:rsidRPr="00920625">
        <w:rPr>
          <w:rtl/>
        </w:rPr>
        <w:t xml:space="preserve"> </w:t>
      </w:r>
      <w:r w:rsidRPr="00920625">
        <w:rPr>
          <w:rFonts w:hint="eastAsia"/>
          <w:rtl/>
        </w:rPr>
        <w:t>רבים</w:t>
      </w:r>
      <w:r w:rsidRPr="00920625">
        <w:rPr>
          <w:rtl/>
        </w:rPr>
        <w:t xml:space="preserve"> </w:t>
      </w:r>
      <w:r w:rsidRPr="00920625">
        <w:rPr>
          <w:rFonts w:hint="eastAsia"/>
          <w:rtl/>
        </w:rPr>
        <w:t>שעורכים</w:t>
      </w:r>
      <w:r w:rsidRPr="00920625">
        <w:rPr>
          <w:rtl/>
        </w:rPr>
        <w:t xml:space="preserve"> </w:t>
      </w:r>
      <w:r w:rsidRPr="00920625">
        <w:rPr>
          <w:rFonts w:hint="eastAsia"/>
          <w:rtl/>
        </w:rPr>
        <w:t>קנייה</w:t>
      </w:r>
      <w:r w:rsidRPr="00920625">
        <w:rPr>
          <w:rtl/>
        </w:rPr>
        <w:t xml:space="preserve"> </w:t>
      </w:r>
      <w:r w:rsidRPr="00920625">
        <w:rPr>
          <w:rFonts w:hint="eastAsia"/>
          <w:rtl/>
        </w:rPr>
        <w:t>גדולה</w:t>
      </w:r>
      <w:r w:rsidRPr="00920625">
        <w:rPr>
          <w:rtl/>
        </w:rPr>
        <w:t xml:space="preserve"> </w:t>
      </w:r>
      <w:r w:rsidRPr="00920625">
        <w:rPr>
          <w:rFonts w:hint="eastAsia"/>
          <w:rtl/>
        </w:rPr>
        <w:t>וממתינים</w:t>
      </w:r>
      <w:r w:rsidRPr="00920625">
        <w:rPr>
          <w:rtl/>
        </w:rPr>
        <w:t xml:space="preserve"> </w:t>
      </w:r>
      <w:r w:rsidRPr="00920625">
        <w:rPr>
          <w:rFonts w:hint="eastAsia"/>
          <w:rtl/>
        </w:rPr>
        <w:t>במשך</w:t>
      </w:r>
      <w:r w:rsidRPr="00920625">
        <w:rPr>
          <w:rtl/>
        </w:rPr>
        <w:t xml:space="preserve"> </w:t>
      </w:r>
      <w:r w:rsidRPr="00920625">
        <w:rPr>
          <w:rFonts w:hint="eastAsia"/>
          <w:rtl/>
        </w:rPr>
        <w:t>שעה</w:t>
      </w:r>
      <w:r w:rsidRPr="00920625">
        <w:rPr>
          <w:rtl/>
        </w:rPr>
        <w:t xml:space="preserve"> </w:t>
      </w:r>
      <w:r w:rsidRPr="00920625">
        <w:rPr>
          <w:rFonts w:hint="eastAsia"/>
          <w:rtl/>
        </w:rPr>
        <w:t>ארוכה</w:t>
      </w:r>
      <w:r w:rsidRPr="00920625">
        <w:rPr>
          <w:rtl/>
        </w:rPr>
        <w:t xml:space="preserve"> </w:t>
      </w:r>
      <w:r w:rsidRPr="00920625">
        <w:rPr>
          <w:rFonts w:hint="eastAsia"/>
          <w:rtl/>
        </w:rPr>
        <w:t>לעריכת</w:t>
      </w:r>
      <w:r w:rsidRPr="00920625">
        <w:rPr>
          <w:rtl/>
        </w:rPr>
        <w:t xml:space="preserve"> </w:t>
      </w:r>
      <w:r w:rsidRPr="00920625">
        <w:rPr>
          <w:rFonts w:hint="eastAsia"/>
          <w:rtl/>
        </w:rPr>
        <w:t>חשבון</w:t>
      </w:r>
      <w:r w:rsidRPr="00920625">
        <w:rPr>
          <w:rtl/>
        </w:rPr>
        <w:t xml:space="preserve">, </w:t>
      </w:r>
      <w:r w:rsidRPr="00920625">
        <w:rPr>
          <w:rFonts w:hint="eastAsia"/>
          <w:rtl/>
        </w:rPr>
        <w:t>נדהמים</w:t>
      </w:r>
      <w:r w:rsidRPr="00920625">
        <w:rPr>
          <w:rtl/>
        </w:rPr>
        <w:t xml:space="preserve"> </w:t>
      </w:r>
      <w:r w:rsidRPr="00920625">
        <w:rPr>
          <w:rFonts w:hint="eastAsia"/>
          <w:rtl/>
        </w:rPr>
        <w:t>לגלות</w:t>
      </w:r>
      <w:r w:rsidRPr="00920625">
        <w:rPr>
          <w:rtl/>
        </w:rPr>
        <w:t xml:space="preserve"> </w:t>
      </w:r>
      <w:r w:rsidRPr="00920625">
        <w:rPr>
          <w:rFonts w:hint="eastAsia"/>
          <w:rtl/>
        </w:rPr>
        <w:t>כי</w:t>
      </w:r>
      <w:r w:rsidRPr="00920625">
        <w:rPr>
          <w:rtl/>
        </w:rPr>
        <w:t xml:space="preserve"> </w:t>
      </w:r>
      <w:r w:rsidRPr="00920625">
        <w:rPr>
          <w:rFonts w:hint="eastAsia"/>
          <w:rtl/>
        </w:rPr>
        <w:t>אם</w:t>
      </w:r>
      <w:r w:rsidRPr="00920625">
        <w:rPr>
          <w:rtl/>
        </w:rPr>
        <w:t xml:space="preserve"> </w:t>
      </w:r>
      <w:r w:rsidRPr="00920625">
        <w:rPr>
          <w:rFonts w:hint="eastAsia"/>
          <w:rtl/>
        </w:rPr>
        <w:t>החשבון</w:t>
      </w:r>
      <w:r w:rsidRPr="00920625">
        <w:rPr>
          <w:rtl/>
        </w:rPr>
        <w:t xml:space="preserve"> </w:t>
      </w:r>
      <w:r w:rsidRPr="00920625">
        <w:rPr>
          <w:rFonts w:hint="eastAsia"/>
          <w:rtl/>
        </w:rPr>
        <w:t>בקופה</w:t>
      </w:r>
      <w:r w:rsidRPr="00920625">
        <w:rPr>
          <w:rtl/>
        </w:rPr>
        <w:t xml:space="preserve"> </w:t>
      </w:r>
      <w:r w:rsidRPr="00920625">
        <w:rPr>
          <w:rFonts w:hint="eastAsia"/>
          <w:rtl/>
        </w:rPr>
        <w:t>הסתיים</w:t>
      </w:r>
      <w:r w:rsidRPr="00920625">
        <w:rPr>
          <w:rtl/>
        </w:rPr>
        <w:t xml:space="preserve"> </w:t>
      </w:r>
      <w:r w:rsidRPr="00920625">
        <w:rPr>
          <w:rFonts w:hint="eastAsia"/>
          <w:rtl/>
        </w:rPr>
        <w:t>דקה</w:t>
      </w:r>
      <w:r w:rsidRPr="00920625">
        <w:rPr>
          <w:rtl/>
        </w:rPr>
        <w:t xml:space="preserve"> </w:t>
      </w:r>
      <w:r w:rsidRPr="00920625">
        <w:rPr>
          <w:rFonts w:hint="eastAsia"/>
          <w:rtl/>
        </w:rPr>
        <w:t>לאחר</w:t>
      </w:r>
      <w:r w:rsidRPr="00920625">
        <w:rPr>
          <w:rtl/>
        </w:rPr>
        <w:t xml:space="preserve"> </w:t>
      </w:r>
      <w:r w:rsidRPr="00920625">
        <w:rPr>
          <w:rFonts w:hint="eastAsia"/>
          <w:rtl/>
        </w:rPr>
        <w:t>השעה</w:t>
      </w:r>
      <w:r w:rsidRPr="00920625">
        <w:rPr>
          <w:rtl/>
        </w:rPr>
        <w:t xml:space="preserve"> 23:00, </w:t>
      </w:r>
      <w:r w:rsidRPr="00920625">
        <w:rPr>
          <w:rFonts w:hint="eastAsia"/>
          <w:rtl/>
        </w:rPr>
        <w:t>הם</w:t>
      </w:r>
      <w:r w:rsidRPr="00920625">
        <w:rPr>
          <w:rtl/>
        </w:rPr>
        <w:t xml:space="preserve"> </w:t>
      </w:r>
      <w:r w:rsidRPr="00920625">
        <w:rPr>
          <w:rFonts w:hint="eastAsia"/>
          <w:rtl/>
        </w:rPr>
        <w:t>אינם</w:t>
      </w:r>
      <w:r w:rsidRPr="00920625">
        <w:rPr>
          <w:rtl/>
        </w:rPr>
        <w:t xml:space="preserve"> </w:t>
      </w:r>
      <w:r w:rsidRPr="00920625">
        <w:rPr>
          <w:rFonts w:hint="eastAsia"/>
          <w:rtl/>
        </w:rPr>
        <w:t>יכולים</w:t>
      </w:r>
      <w:r w:rsidRPr="00920625">
        <w:rPr>
          <w:rtl/>
        </w:rPr>
        <w:t xml:space="preserve"> </w:t>
      </w:r>
      <w:r w:rsidRPr="00920625">
        <w:rPr>
          <w:rFonts w:hint="eastAsia"/>
          <w:rtl/>
        </w:rPr>
        <w:t>לרכוש</w:t>
      </w:r>
      <w:r w:rsidRPr="00920625">
        <w:rPr>
          <w:rtl/>
        </w:rPr>
        <w:t xml:space="preserve"> </w:t>
      </w:r>
      <w:r w:rsidRPr="00920625">
        <w:rPr>
          <w:rFonts w:hint="eastAsia"/>
          <w:rtl/>
        </w:rPr>
        <w:t>את</w:t>
      </w:r>
      <w:r w:rsidRPr="00920625">
        <w:rPr>
          <w:rtl/>
        </w:rPr>
        <w:t xml:space="preserve"> </w:t>
      </w:r>
      <w:r w:rsidRPr="00920625">
        <w:rPr>
          <w:rFonts w:hint="eastAsia"/>
          <w:rtl/>
        </w:rPr>
        <w:t>ה</w:t>
      </w:r>
      <w:r>
        <w:rPr>
          <w:rFonts w:hint="cs"/>
          <w:rtl/>
        </w:rPr>
        <w:t>משקאות האלכוהוליי</w:t>
      </w:r>
      <w:r>
        <w:rPr>
          <w:rFonts w:hint="eastAsia"/>
          <w:rtl/>
        </w:rPr>
        <w:t>ם</w:t>
      </w:r>
      <w:r w:rsidRPr="00920625">
        <w:rPr>
          <w:rtl/>
        </w:rPr>
        <w:t xml:space="preserve"> </w:t>
      </w:r>
      <w:r w:rsidRPr="00920625">
        <w:rPr>
          <w:rFonts w:hint="eastAsia"/>
          <w:rtl/>
        </w:rPr>
        <w:t>שנועדו</w:t>
      </w:r>
      <w:r w:rsidRPr="00920625">
        <w:rPr>
          <w:rtl/>
        </w:rPr>
        <w:t xml:space="preserve"> </w:t>
      </w:r>
      <w:r w:rsidRPr="00920625">
        <w:rPr>
          <w:rFonts w:hint="eastAsia"/>
          <w:rtl/>
        </w:rPr>
        <w:t>לשבת</w:t>
      </w:r>
      <w:r w:rsidRPr="00920625">
        <w:rPr>
          <w:rtl/>
        </w:rPr>
        <w:t xml:space="preserve"> </w:t>
      </w:r>
      <w:r w:rsidRPr="00920625">
        <w:rPr>
          <w:rFonts w:hint="eastAsia"/>
          <w:rtl/>
        </w:rPr>
        <w:t>ולחג</w:t>
      </w:r>
      <w:r w:rsidRPr="00920625">
        <w:rPr>
          <w:rtl/>
        </w:rPr>
        <w:t xml:space="preserve"> </w:t>
      </w:r>
      <w:r w:rsidRPr="00920625">
        <w:rPr>
          <w:rFonts w:hint="eastAsia"/>
          <w:rtl/>
        </w:rPr>
        <w:t>והם</w:t>
      </w:r>
      <w:r w:rsidRPr="00920625">
        <w:rPr>
          <w:rtl/>
        </w:rPr>
        <w:t xml:space="preserve"> </w:t>
      </w:r>
      <w:r w:rsidRPr="00920625">
        <w:rPr>
          <w:rFonts w:hint="eastAsia"/>
          <w:rtl/>
        </w:rPr>
        <w:t>נאלצים</w:t>
      </w:r>
      <w:r w:rsidRPr="00920625">
        <w:rPr>
          <w:rtl/>
        </w:rPr>
        <w:t xml:space="preserve"> </w:t>
      </w:r>
      <w:r w:rsidRPr="00920625">
        <w:rPr>
          <w:rFonts w:hint="eastAsia"/>
          <w:rtl/>
        </w:rPr>
        <w:t>להשיבם</w:t>
      </w:r>
      <w:r w:rsidRPr="00920625">
        <w:rPr>
          <w:rtl/>
        </w:rPr>
        <w:t xml:space="preserve"> </w:t>
      </w:r>
      <w:r w:rsidRPr="00920625">
        <w:rPr>
          <w:rFonts w:hint="eastAsia"/>
          <w:rtl/>
        </w:rPr>
        <w:t>למדפים</w:t>
      </w:r>
      <w:r w:rsidRPr="00920625">
        <w:rPr>
          <w:rtl/>
        </w:rPr>
        <w:t xml:space="preserve"> </w:t>
      </w:r>
      <w:r w:rsidRPr="00920625">
        <w:rPr>
          <w:rFonts w:hint="eastAsia"/>
          <w:rtl/>
        </w:rPr>
        <w:t>ולחזור</w:t>
      </w:r>
      <w:r w:rsidRPr="00920625">
        <w:rPr>
          <w:rtl/>
        </w:rPr>
        <w:t xml:space="preserve"> </w:t>
      </w:r>
      <w:r w:rsidRPr="00920625">
        <w:rPr>
          <w:rFonts w:hint="eastAsia"/>
          <w:rtl/>
        </w:rPr>
        <w:t>שנית</w:t>
      </w:r>
      <w:r w:rsidRPr="00920625">
        <w:rPr>
          <w:rtl/>
        </w:rPr>
        <w:t xml:space="preserve"> </w:t>
      </w:r>
      <w:r w:rsidRPr="00920625">
        <w:rPr>
          <w:rFonts w:hint="eastAsia"/>
          <w:rtl/>
        </w:rPr>
        <w:t>בשעות</w:t>
      </w:r>
      <w:r w:rsidRPr="00920625">
        <w:rPr>
          <w:rtl/>
        </w:rPr>
        <w:t xml:space="preserve"> </w:t>
      </w:r>
      <w:r w:rsidRPr="00920625">
        <w:rPr>
          <w:rFonts w:hint="eastAsia"/>
          <w:rtl/>
        </w:rPr>
        <w:t>היום</w:t>
      </w:r>
      <w:r w:rsidRPr="00920625">
        <w:rPr>
          <w:rtl/>
        </w:rPr>
        <w:t xml:space="preserve"> </w:t>
      </w:r>
      <w:r>
        <w:rPr>
          <w:rFonts w:hint="cs"/>
          <w:rtl/>
        </w:rPr>
        <w:t xml:space="preserve">על </w:t>
      </w:r>
      <w:r w:rsidRPr="00920625">
        <w:rPr>
          <w:rFonts w:hint="eastAsia"/>
          <w:rtl/>
        </w:rPr>
        <w:t>לרכוש</w:t>
      </w:r>
      <w:r>
        <w:rPr>
          <w:rFonts w:hint="cs"/>
          <w:rtl/>
        </w:rPr>
        <w:t xml:space="preserve"> אותם</w:t>
      </w:r>
      <w:r w:rsidRPr="00920625">
        <w:rPr>
          <w:rtl/>
        </w:rPr>
        <w:t>.</w:t>
      </w:r>
    </w:p>
    <w:p w14:paraId="7F041AB9" w14:textId="77777777" w:rsidR="00110421" w:rsidRDefault="00110421" w:rsidP="002D0E64">
      <w:pPr>
        <w:pStyle w:val="Hesber"/>
        <w:spacing w:line="240" w:lineRule="auto"/>
        <w:rPr>
          <w:rtl/>
        </w:rPr>
      </w:pPr>
      <w:r w:rsidRPr="00920625">
        <w:rPr>
          <w:rFonts w:hint="eastAsia"/>
          <w:rtl/>
        </w:rPr>
        <w:t>לנוכח</w:t>
      </w:r>
      <w:r w:rsidRPr="00920625">
        <w:rPr>
          <w:rtl/>
        </w:rPr>
        <w:t xml:space="preserve"> </w:t>
      </w:r>
      <w:r w:rsidRPr="00920625">
        <w:rPr>
          <w:rFonts w:hint="eastAsia"/>
          <w:rtl/>
        </w:rPr>
        <w:t>האמור</w:t>
      </w:r>
      <w:r w:rsidRPr="00920625">
        <w:rPr>
          <w:rtl/>
        </w:rPr>
        <w:t xml:space="preserve">, </w:t>
      </w:r>
      <w:r w:rsidRPr="00920625">
        <w:rPr>
          <w:rFonts w:hint="eastAsia"/>
          <w:rtl/>
        </w:rPr>
        <w:t>מוצע</w:t>
      </w:r>
      <w:r w:rsidRPr="00920625">
        <w:rPr>
          <w:rtl/>
        </w:rPr>
        <w:t xml:space="preserve"> </w:t>
      </w:r>
      <w:r w:rsidRPr="00920625">
        <w:rPr>
          <w:rFonts w:hint="eastAsia"/>
          <w:rtl/>
        </w:rPr>
        <w:t>להוסיף</w:t>
      </w:r>
      <w:r w:rsidRPr="00920625">
        <w:rPr>
          <w:rtl/>
        </w:rPr>
        <w:t xml:space="preserve"> </w:t>
      </w:r>
      <w:r w:rsidRPr="00920625">
        <w:rPr>
          <w:rFonts w:hint="eastAsia"/>
          <w:rtl/>
        </w:rPr>
        <w:t>חריג</w:t>
      </w:r>
      <w:r w:rsidRPr="00920625">
        <w:rPr>
          <w:rtl/>
        </w:rPr>
        <w:t xml:space="preserve"> </w:t>
      </w:r>
      <w:r w:rsidRPr="00920625">
        <w:rPr>
          <w:rFonts w:hint="eastAsia"/>
          <w:rtl/>
        </w:rPr>
        <w:t>בחוק</w:t>
      </w:r>
      <w:r w:rsidRPr="00920625">
        <w:rPr>
          <w:rtl/>
        </w:rPr>
        <w:t xml:space="preserve">, </w:t>
      </w:r>
      <w:r w:rsidRPr="00920625">
        <w:rPr>
          <w:rFonts w:hint="eastAsia"/>
          <w:rtl/>
        </w:rPr>
        <w:t>לפיו</w:t>
      </w:r>
      <w:r w:rsidRPr="00920625">
        <w:rPr>
          <w:rtl/>
        </w:rPr>
        <w:t xml:space="preserve"> </w:t>
      </w:r>
      <w:r w:rsidRPr="00920625">
        <w:rPr>
          <w:rFonts w:hint="eastAsia"/>
          <w:rtl/>
        </w:rPr>
        <w:t>תותר</w:t>
      </w:r>
      <w:r w:rsidRPr="00920625">
        <w:rPr>
          <w:rtl/>
        </w:rPr>
        <w:t xml:space="preserve"> </w:t>
      </w:r>
      <w:r w:rsidRPr="00920625">
        <w:rPr>
          <w:rFonts w:hint="eastAsia"/>
          <w:rtl/>
        </w:rPr>
        <w:t>מכירת</w:t>
      </w:r>
      <w:r w:rsidRPr="00920625">
        <w:rPr>
          <w:rtl/>
        </w:rPr>
        <w:t xml:space="preserve"> </w:t>
      </w:r>
      <w:r w:rsidRPr="00920625">
        <w:rPr>
          <w:rFonts w:hint="eastAsia"/>
          <w:rtl/>
        </w:rPr>
        <w:t>יינות</w:t>
      </w:r>
      <w:r w:rsidRPr="00920625">
        <w:rPr>
          <w:rtl/>
        </w:rPr>
        <w:t xml:space="preserve"> </w:t>
      </w:r>
      <w:r w:rsidRPr="00920625">
        <w:rPr>
          <w:rFonts w:hint="eastAsia"/>
          <w:rtl/>
        </w:rPr>
        <w:t>גם</w:t>
      </w:r>
      <w:r w:rsidRPr="00920625">
        <w:rPr>
          <w:rtl/>
        </w:rPr>
        <w:t xml:space="preserve"> </w:t>
      </w:r>
      <w:r w:rsidRPr="00920625">
        <w:rPr>
          <w:rFonts w:hint="eastAsia"/>
          <w:rtl/>
        </w:rPr>
        <w:t>בשעות</w:t>
      </w:r>
      <w:r w:rsidRPr="00920625">
        <w:rPr>
          <w:rtl/>
        </w:rPr>
        <w:t xml:space="preserve"> </w:t>
      </w:r>
      <w:r w:rsidRPr="00920625">
        <w:rPr>
          <w:rFonts w:hint="eastAsia"/>
          <w:rtl/>
        </w:rPr>
        <w:t>הלילה</w:t>
      </w:r>
      <w:r w:rsidRPr="00920625">
        <w:rPr>
          <w:rtl/>
        </w:rPr>
        <w:t xml:space="preserve">, </w:t>
      </w:r>
      <w:r w:rsidRPr="00920625">
        <w:rPr>
          <w:rFonts w:hint="eastAsia"/>
          <w:rtl/>
        </w:rPr>
        <w:t>שכן</w:t>
      </w:r>
      <w:r w:rsidRPr="00920625">
        <w:rPr>
          <w:rtl/>
        </w:rPr>
        <w:t xml:space="preserve"> </w:t>
      </w:r>
      <w:r w:rsidRPr="00920625">
        <w:rPr>
          <w:rFonts w:hint="eastAsia"/>
          <w:rtl/>
        </w:rPr>
        <w:t>צעירים</w:t>
      </w:r>
      <w:r w:rsidRPr="00920625">
        <w:rPr>
          <w:rtl/>
        </w:rPr>
        <w:t xml:space="preserve"> </w:t>
      </w:r>
      <w:r w:rsidRPr="00920625">
        <w:rPr>
          <w:rFonts w:hint="eastAsia"/>
          <w:rtl/>
        </w:rPr>
        <w:t>ובליינים</w:t>
      </w:r>
      <w:r w:rsidRPr="00920625">
        <w:rPr>
          <w:rtl/>
        </w:rPr>
        <w:t xml:space="preserve"> </w:t>
      </w:r>
      <w:r w:rsidRPr="00920625">
        <w:rPr>
          <w:rFonts w:hint="eastAsia"/>
          <w:rtl/>
        </w:rPr>
        <w:t>שמעוניינים</w:t>
      </w:r>
      <w:r w:rsidRPr="00920625">
        <w:rPr>
          <w:rtl/>
        </w:rPr>
        <w:t xml:space="preserve"> </w:t>
      </w:r>
      <w:r w:rsidRPr="00920625">
        <w:rPr>
          <w:rFonts w:hint="eastAsia"/>
          <w:rtl/>
        </w:rPr>
        <w:t>להשתכר</w:t>
      </w:r>
      <w:r w:rsidRPr="00920625">
        <w:rPr>
          <w:rtl/>
        </w:rPr>
        <w:t xml:space="preserve">, </w:t>
      </w:r>
      <w:r w:rsidRPr="00920625">
        <w:rPr>
          <w:rFonts w:hint="eastAsia"/>
          <w:rtl/>
        </w:rPr>
        <w:t>שותים</w:t>
      </w:r>
      <w:r w:rsidRPr="00920625">
        <w:rPr>
          <w:rtl/>
        </w:rPr>
        <w:t xml:space="preserve"> </w:t>
      </w:r>
      <w:r w:rsidRPr="00920625">
        <w:rPr>
          <w:rFonts w:hint="eastAsia"/>
          <w:rtl/>
        </w:rPr>
        <w:t>משקאות</w:t>
      </w:r>
      <w:r w:rsidRPr="00920625">
        <w:rPr>
          <w:rtl/>
        </w:rPr>
        <w:t xml:space="preserve"> </w:t>
      </w:r>
      <w:r w:rsidRPr="00920625">
        <w:rPr>
          <w:rFonts w:hint="eastAsia"/>
          <w:rtl/>
        </w:rPr>
        <w:t>אלכוהוליים</w:t>
      </w:r>
      <w:r w:rsidRPr="00920625">
        <w:rPr>
          <w:rtl/>
        </w:rPr>
        <w:t xml:space="preserve"> </w:t>
      </w:r>
      <w:r w:rsidRPr="00920625">
        <w:rPr>
          <w:rFonts w:hint="eastAsia"/>
          <w:rtl/>
        </w:rPr>
        <w:t>אחרים</w:t>
      </w:r>
      <w:r w:rsidRPr="00920625">
        <w:rPr>
          <w:rtl/>
        </w:rPr>
        <w:t xml:space="preserve"> </w:t>
      </w:r>
      <w:r w:rsidRPr="00920625">
        <w:rPr>
          <w:rFonts w:hint="eastAsia"/>
          <w:rtl/>
        </w:rPr>
        <w:t>ואינם</w:t>
      </w:r>
      <w:r w:rsidRPr="00920625">
        <w:rPr>
          <w:rtl/>
        </w:rPr>
        <w:t xml:space="preserve"> </w:t>
      </w:r>
      <w:r w:rsidRPr="00920625">
        <w:rPr>
          <w:rFonts w:hint="eastAsia"/>
          <w:rtl/>
        </w:rPr>
        <w:t>משתמשים</w:t>
      </w:r>
      <w:r w:rsidRPr="00920625">
        <w:rPr>
          <w:rtl/>
        </w:rPr>
        <w:t xml:space="preserve"> </w:t>
      </w:r>
      <w:r w:rsidRPr="00920625">
        <w:rPr>
          <w:rFonts w:hint="eastAsia"/>
          <w:rtl/>
        </w:rPr>
        <w:t>בדרך</w:t>
      </w:r>
      <w:r w:rsidRPr="00920625">
        <w:rPr>
          <w:rtl/>
        </w:rPr>
        <w:t xml:space="preserve"> </w:t>
      </w:r>
      <w:r w:rsidRPr="00920625">
        <w:rPr>
          <w:rFonts w:hint="eastAsia"/>
          <w:rtl/>
        </w:rPr>
        <w:t>כלל</w:t>
      </w:r>
      <w:r w:rsidRPr="00920625">
        <w:rPr>
          <w:rtl/>
        </w:rPr>
        <w:t xml:space="preserve"> </w:t>
      </w:r>
      <w:r w:rsidRPr="00920625">
        <w:rPr>
          <w:rFonts w:hint="eastAsia"/>
          <w:rtl/>
        </w:rPr>
        <w:t>ביינות</w:t>
      </w:r>
      <w:r w:rsidRPr="00920625">
        <w:rPr>
          <w:rtl/>
        </w:rPr>
        <w:t xml:space="preserve">. </w:t>
      </w:r>
    </w:p>
    <w:p w14:paraId="5B8214C8" w14:textId="77777777" w:rsidR="00110421" w:rsidRDefault="00110421" w:rsidP="002D0E64">
      <w:pPr>
        <w:pStyle w:val="Hesber"/>
        <w:spacing w:line="240" w:lineRule="auto"/>
        <w:rPr>
          <w:rtl/>
        </w:rPr>
      </w:pPr>
      <w:r>
        <w:rPr>
          <w:rFonts w:hint="cs"/>
          <w:rtl/>
        </w:rPr>
        <w:t>בנוסף, מוצע לקבוע שיהיה ניתן לרכוש משקאות משכרים אחרים, בתנאי שהרכישה תהיה חלק מקניית מוצרים לבית. כדי לוודא שמדובר בקניה כזו, מוצע לקבוע שיהיה ניתן לרכוש משקאות משכרים רק אם הקניה תהיה חלק מקניית מוצרים נוספים, שערכם הכספי כפול מעלות המשקאות האלכוהוליי</w:t>
      </w:r>
      <w:r>
        <w:rPr>
          <w:rFonts w:hint="eastAsia"/>
          <w:rtl/>
        </w:rPr>
        <w:t>ם</w:t>
      </w:r>
      <w:r>
        <w:rPr>
          <w:rFonts w:hint="cs"/>
          <w:rtl/>
        </w:rPr>
        <w:t>.</w:t>
      </w:r>
    </w:p>
    <w:p w14:paraId="286413F3" w14:textId="77777777" w:rsidR="00110421" w:rsidRPr="00920625" w:rsidRDefault="00110421" w:rsidP="002D0E64">
      <w:pPr>
        <w:pStyle w:val="Hesber"/>
        <w:spacing w:line="240" w:lineRule="auto"/>
        <w:rPr>
          <w:rtl/>
        </w:rPr>
      </w:pPr>
      <w:r w:rsidRPr="00920625">
        <w:rPr>
          <w:rFonts w:hint="eastAsia"/>
          <w:rtl/>
        </w:rPr>
        <w:t>כמו</w:t>
      </w:r>
      <w:r w:rsidRPr="00920625">
        <w:rPr>
          <w:rtl/>
        </w:rPr>
        <w:t xml:space="preserve"> </w:t>
      </w:r>
      <w:r w:rsidRPr="00920625">
        <w:rPr>
          <w:rFonts w:hint="eastAsia"/>
          <w:rtl/>
        </w:rPr>
        <w:t>כן</w:t>
      </w:r>
      <w:r w:rsidRPr="00920625">
        <w:rPr>
          <w:rtl/>
        </w:rPr>
        <w:t xml:space="preserve">, </w:t>
      </w:r>
      <w:r w:rsidRPr="00920625">
        <w:rPr>
          <w:rFonts w:hint="eastAsia"/>
          <w:rtl/>
        </w:rPr>
        <w:t>כדי</w:t>
      </w:r>
      <w:r w:rsidRPr="00920625">
        <w:rPr>
          <w:rtl/>
        </w:rPr>
        <w:t xml:space="preserve"> </w:t>
      </w:r>
      <w:r w:rsidRPr="00920625">
        <w:rPr>
          <w:rFonts w:hint="eastAsia"/>
          <w:rtl/>
        </w:rPr>
        <w:t>לא</w:t>
      </w:r>
      <w:r w:rsidRPr="00920625">
        <w:rPr>
          <w:rtl/>
        </w:rPr>
        <w:t xml:space="preserve"> </w:t>
      </w:r>
      <w:r w:rsidRPr="00920625">
        <w:rPr>
          <w:rFonts w:hint="eastAsia"/>
          <w:rtl/>
        </w:rPr>
        <w:t>לפגוע</w:t>
      </w:r>
      <w:r w:rsidRPr="00920625">
        <w:rPr>
          <w:rtl/>
        </w:rPr>
        <w:t xml:space="preserve"> </w:t>
      </w:r>
      <w:r w:rsidRPr="00920625">
        <w:rPr>
          <w:rFonts w:hint="eastAsia"/>
          <w:rtl/>
        </w:rPr>
        <w:t>במטרות</w:t>
      </w:r>
      <w:r w:rsidRPr="00920625">
        <w:rPr>
          <w:rtl/>
        </w:rPr>
        <w:t xml:space="preserve"> </w:t>
      </w:r>
      <w:r w:rsidRPr="00920625">
        <w:rPr>
          <w:rFonts w:hint="eastAsia"/>
          <w:rtl/>
        </w:rPr>
        <w:t>החוק</w:t>
      </w:r>
      <w:r w:rsidRPr="00920625">
        <w:rPr>
          <w:rtl/>
        </w:rPr>
        <w:t xml:space="preserve">, </w:t>
      </w:r>
      <w:r w:rsidRPr="00920625">
        <w:rPr>
          <w:rFonts w:hint="eastAsia"/>
          <w:rtl/>
        </w:rPr>
        <w:t>מוצע</w:t>
      </w:r>
      <w:r w:rsidRPr="00920625">
        <w:rPr>
          <w:rtl/>
        </w:rPr>
        <w:t xml:space="preserve"> </w:t>
      </w:r>
      <w:r w:rsidRPr="00920625">
        <w:rPr>
          <w:rFonts w:hint="eastAsia"/>
          <w:rtl/>
        </w:rPr>
        <w:t>לסייג</w:t>
      </w:r>
      <w:r w:rsidRPr="00920625">
        <w:rPr>
          <w:rtl/>
        </w:rPr>
        <w:t xml:space="preserve"> </w:t>
      </w:r>
      <w:r w:rsidRPr="00920625">
        <w:rPr>
          <w:rFonts w:hint="eastAsia"/>
          <w:rtl/>
        </w:rPr>
        <w:t>את</w:t>
      </w:r>
      <w:r w:rsidRPr="00920625">
        <w:rPr>
          <w:rtl/>
        </w:rPr>
        <w:t xml:space="preserve"> </w:t>
      </w:r>
      <w:r w:rsidRPr="00920625">
        <w:rPr>
          <w:rFonts w:hint="eastAsia"/>
          <w:rtl/>
        </w:rPr>
        <w:t>ההוראה</w:t>
      </w:r>
      <w:r w:rsidRPr="00920625">
        <w:rPr>
          <w:rtl/>
        </w:rPr>
        <w:t xml:space="preserve"> </w:t>
      </w:r>
      <w:r w:rsidRPr="00920625">
        <w:rPr>
          <w:rFonts w:hint="eastAsia"/>
          <w:rtl/>
        </w:rPr>
        <w:t>האמורה</w:t>
      </w:r>
      <w:r w:rsidRPr="00920625">
        <w:rPr>
          <w:rtl/>
        </w:rPr>
        <w:t xml:space="preserve"> </w:t>
      </w:r>
      <w:r w:rsidRPr="00920625">
        <w:rPr>
          <w:rFonts w:hint="eastAsia"/>
          <w:rtl/>
        </w:rPr>
        <w:t>ולקבוע</w:t>
      </w:r>
      <w:r w:rsidRPr="00920625">
        <w:rPr>
          <w:rtl/>
        </w:rPr>
        <w:t xml:space="preserve"> </w:t>
      </w:r>
      <w:r w:rsidRPr="00920625">
        <w:rPr>
          <w:rFonts w:hint="eastAsia"/>
          <w:rtl/>
        </w:rPr>
        <w:t>כי</w:t>
      </w:r>
      <w:r w:rsidRPr="00920625">
        <w:rPr>
          <w:rtl/>
        </w:rPr>
        <w:t xml:space="preserve"> </w:t>
      </w:r>
      <w:r w:rsidRPr="00920625">
        <w:rPr>
          <w:rFonts w:hint="eastAsia"/>
          <w:rtl/>
        </w:rPr>
        <w:t>מכירה</w:t>
      </w:r>
      <w:r w:rsidRPr="00920625">
        <w:rPr>
          <w:rtl/>
        </w:rPr>
        <w:t xml:space="preserve"> </w:t>
      </w:r>
      <w:r w:rsidRPr="00920625">
        <w:rPr>
          <w:rFonts w:hint="eastAsia"/>
          <w:rtl/>
        </w:rPr>
        <w:t>כאמור</w:t>
      </w:r>
      <w:r w:rsidRPr="00920625">
        <w:rPr>
          <w:rtl/>
        </w:rPr>
        <w:t xml:space="preserve"> </w:t>
      </w:r>
      <w:r w:rsidRPr="00920625">
        <w:rPr>
          <w:rFonts w:hint="eastAsia"/>
          <w:rtl/>
        </w:rPr>
        <w:t>תהא</w:t>
      </w:r>
      <w:r w:rsidRPr="00920625">
        <w:rPr>
          <w:rtl/>
        </w:rPr>
        <w:t xml:space="preserve"> </w:t>
      </w:r>
      <w:r w:rsidRPr="00920625">
        <w:rPr>
          <w:rFonts w:hint="eastAsia"/>
          <w:rtl/>
        </w:rPr>
        <w:t>רק</w:t>
      </w:r>
      <w:r w:rsidRPr="00920625">
        <w:rPr>
          <w:rtl/>
        </w:rPr>
        <w:t xml:space="preserve"> </w:t>
      </w:r>
      <w:r w:rsidRPr="00920625">
        <w:rPr>
          <w:rFonts w:hint="eastAsia"/>
          <w:rtl/>
        </w:rPr>
        <w:t>ברשתות</w:t>
      </w:r>
      <w:r w:rsidRPr="00920625">
        <w:rPr>
          <w:rtl/>
        </w:rPr>
        <w:t xml:space="preserve"> </w:t>
      </w:r>
      <w:r w:rsidRPr="00920625">
        <w:rPr>
          <w:rFonts w:hint="eastAsia"/>
          <w:rtl/>
        </w:rPr>
        <w:t>המזון</w:t>
      </w:r>
      <w:r w:rsidRPr="00920625">
        <w:rPr>
          <w:rtl/>
        </w:rPr>
        <w:t xml:space="preserve"> </w:t>
      </w:r>
      <w:r w:rsidRPr="00920625">
        <w:rPr>
          <w:rFonts w:hint="eastAsia"/>
          <w:rtl/>
        </w:rPr>
        <w:t>הגדולות</w:t>
      </w:r>
      <w:r w:rsidRPr="00920625">
        <w:rPr>
          <w:rtl/>
        </w:rPr>
        <w:t xml:space="preserve">. </w:t>
      </w:r>
      <w:r w:rsidRPr="00920625">
        <w:rPr>
          <w:rFonts w:hint="eastAsia"/>
          <w:rtl/>
        </w:rPr>
        <w:t>רשתות</w:t>
      </w:r>
      <w:r w:rsidRPr="00920625">
        <w:rPr>
          <w:rtl/>
        </w:rPr>
        <w:t xml:space="preserve"> </w:t>
      </w:r>
      <w:r w:rsidRPr="00920625">
        <w:rPr>
          <w:rFonts w:hint="eastAsia"/>
          <w:rtl/>
        </w:rPr>
        <w:t>כאמור</w:t>
      </w:r>
      <w:r w:rsidRPr="00920625">
        <w:rPr>
          <w:rtl/>
        </w:rPr>
        <w:t xml:space="preserve"> </w:t>
      </w:r>
      <w:r w:rsidRPr="00920625">
        <w:rPr>
          <w:rFonts w:hint="eastAsia"/>
          <w:rtl/>
        </w:rPr>
        <w:t>אינן</w:t>
      </w:r>
      <w:r w:rsidRPr="00920625">
        <w:rPr>
          <w:rtl/>
        </w:rPr>
        <w:t xml:space="preserve"> </w:t>
      </w:r>
      <w:r w:rsidRPr="00920625">
        <w:rPr>
          <w:rFonts w:hint="eastAsia"/>
          <w:rtl/>
        </w:rPr>
        <w:t>נמצאות</w:t>
      </w:r>
      <w:r w:rsidRPr="00920625">
        <w:rPr>
          <w:rtl/>
        </w:rPr>
        <w:t xml:space="preserve"> </w:t>
      </w:r>
      <w:r w:rsidRPr="00920625">
        <w:rPr>
          <w:rFonts w:hint="eastAsia"/>
          <w:rtl/>
        </w:rPr>
        <w:t>בדרך</w:t>
      </w:r>
      <w:r w:rsidRPr="00920625">
        <w:rPr>
          <w:rtl/>
        </w:rPr>
        <w:t xml:space="preserve"> </w:t>
      </w:r>
      <w:r w:rsidRPr="00920625">
        <w:rPr>
          <w:rFonts w:hint="eastAsia"/>
          <w:rtl/>
        </w:rPr>
        <w:t>כלל</w:t>
      </w:r>
      <w:r w:rsidRPr="00920625">
        <w:rPr>
          <w:rtl/>
        </w:rPr>
        <w:t xml:space="preserve"> </w:t>
      </w:r>
      <w:r w:rsidRPr="00920625">
        <w:rPr>
          <w:rFonts w:hint="eastAsia"/>
          <w:rtl/>
        </w:rPr>
        <w:t>באזורי</w:t>
      </w:r>
      <w:r w:rsidRPr="00920625">
        <w:rPr>
          <w:rtl/>
        </w:rPr>
        <w:t xml:space="preserve"> </w:t>
      </w:r>
      <w:r w:rsidRPr="00920625">
        <w:rPr>
          <w:rFonts w:hint="eastAsia"/>
          <w:rtl/>
        </w:rPr>
        <w:t>בילוי</w:t>
      </w:r>
      <w:r w:rsidRPr="00920625">
        <w:rPr>
          <w:rtl/>
        </w:rPr>
        <w:t xml:space="preserve"> </w:t>
      </w:r>
      <w:r w:rsidRPr="00920625">
        <w:rPr>
          <w:rFonts w:hint="eastAsia"/>
          <w:rtl/>
        </w:rPr>
        <w:t>ועל</w:t>
      </w:r>
      <w:r w:rsidRPr="00920625">
        <w:rPr>
          <w:rtl/>
        </w:rPr>
        <w:t xml:space="preserve"> </w:t>
      </w:r>
      <w:r w:rsidRPr="00920625">
        <w:rPr>
          <w:rFonts w:hint="eastAsia"/>
          <w:rtl/>
        </w:rPr>
        <w:t>כן</w:t>
      </w:r>
      <w:r w:rsidRPr="00920625">
        <w:rPr>
          <w:rtl/>
        </w:rPr>
        <w:t xml:space="preserve"> </w:t>
      </w:r>
      <w:r w:rsidRPr="00920625">
        <w:rPr>
          <w:rFonts w:hint="eastAsia"/>
          <w:rtl/>
        </w:rPr>
        <w:t>החשש</w:t>
      </w:r>
      <w:r w:rsidRPr="00920625">
        <w:rPr>
          <w:rtl/>
        </w:rPr>
        <w:t xml:space="preserve"> </w:t>
      </w:r>
      <w:r w:rsidRPr="00920625">
        <w:rPr>
          <w:rFonts w:hint="eastAsia"/>
          <w:rtl/>
        </w:rPr>
        <w:t>שירכשו</w:t>
      </w:r>
      <w:r w:rsidRPr="00920625">
        <w:rPr>
          <w:rtl/>
        </w:rPr>
        <w:t xml:space="preserve"> </w:t>
      </w:r>
      <w:r w:rsidRPr="00920625">
        <w:rPr>
          <w:rFonts w:hint="eastAsia"/>
          <w:rtl/>
        </w:rPr>
        <w:t>בהן</w:t>
      </w:r>
      <w:r w:rsidRPr="00920625">
        <w:rPr>
          <w:rtl/>
        </w:rPr>
        <w:t xml:space="preserve"> </w:t>
      </w:r>
      <w:r w:rsidRPr="00920625">
        <w:rPr>
          <w:rFonts w:hint="eastAsia"/>
          <w:rtl/>
        </w:rPr>
        <w:t>יינות</w:t>
      </w:r>
      <w:r w:rsidRPr="00920625">
        <w:rPr>
          <w:rtl/>
        </w:rPr>
        <w:t xml:space="preserve"> </w:t>
      </w:r>
      <w:r w:rsidRPr="00920625">
        <w:rPr>
          <w:rFonts w:hint="eastAsia"/>
          <w:rtl/>
        </w:rPr>
        <w:t>לשם</w:t>
      </w:r>
      <w:r w:rsidRPr="00920625">
        <w:rPr>
          <w:rtl/>
        </w:rPr>
        <w:t xml:space="preserve"> </w:t>
      </w:r>
      <w:r w:rsidRPr="00920625">
        <w:rPr>
          <w:rFonts w:hint="eastAsia"/>
          <w:rtl/>
        </w:rPr>
        <w:t>שכרות</w:t>
      </w:r>
      <w:r w:rsidRPr="00920625">
        <w:rPr>
          <w:rtl/>
        </w:rPr>
        <w:t xml:space="preserve"> </w:t>
      </w:r>
      <w:r w:rsidRPr="00920625">
        <w:rPr>
          <w:rFonts w:hint="eastAsia"/>
          <w:rtl/>
        </w:rPr>
        <w:t>קלושה</w:t>
      </w:r>
      <w:r w:rsidRPr="00920625">
        <w:rPr>
          <w:rtl/>
        </w:rPr>
        <w:t>.</w:t>
      </w:r>
    </w:p>
    <w:p w14:paraId="225E1C35" w14:textId="148498F3" w:rsidR="00110421" w:rsidRDefault="00110421" w:rsidP="002D0E64">
      <w:pPr>
        <w:pStyle w:val="Hesber"/>
        <w:spacing w:line="240" w:lineRule="auto"/>
        <w:rPr>
          <w:rtl/>
        </w:rPr>
      </w:pPr>
      <w:r w:rsidRPr="00920625">
        <w:rPr>
          <w:rFonts w:hint="eastAsia"/>
          <w:rtl/>
        </w:rPr>
        <w:t>הצעת</w:t>
      </w:r>
      <w:r w:rsidRPr="00920625">
        <w:rPr>
          <w:rtl/>
        </w:rPr>
        <w:t xml:space="preserve"> חוק </w:t>
      </w:r>
      <w:r>
        <w:rPr>
          <w:rFonts w:hint="cs"/>
          <w:rtl/>
        </w:rPr>
        <w:t>דומות</w:t>
      </w:r>
      <w:r w:rsidRPr="00920625">
        <w:rPr>
          <w:rtl/>
        </w:rPr>
        <w:t xml:space="preserve"> </w:t>
      </w:r>
      <w:r>
        <w:rPr>
          <w:rFonts w:hint="cs"/>
          <w:rtl/>
        </w:rPr>
        <w:t xml:space="preserve">בעיקרן </w:t>
      </w:r>
      <w:r w:rsidRPr="00920625">
        <w:rPr>
          <w:rtl/>
        </w:rPr>
        <w:t>הונח</w:t>
      </w:r>
      <w:r>
        <w:rPr>
          <w:rFonts w:hint="cs"/>
          <w:rtl/>
        </w:rPr>
        <w:t>ו</w:t>
      </w:r>
      <w:r w:rsidRPr="00920625">
        <w:rPr>
          <w:rtl/>
        </w:rPr>
        <w:t xml:space="preserve"> על שולחן הכנסת העשרים</w:t>
      </w:r>
      <w:r>
        <w:rPr>
          <w:rFonts w:hint="cs"/>
          <w:rtl/>
        </w:rPr>
        <w:t>,</w:t>
      </w:r>
      <w:r w:rsidRPr="00920625">
        <w:rPr>
          <w:rtl/>
        </w:rPr>
        <w:t xml:space="preserve"> </w:t>
      </w:r>
      <w:r>
        <w:rPr>
          <w:rtl/>
        </w:rPr>
        <w:t>על שולחן הכנסת העשרים ושתיים</w:t>
      </w:r>
      <w:r>
        <w:rPr>
          <w:rFonts w:hint="cs"/>
          <w:rtl/>
        </w:rPr>
        <w:t>, על שולחן הכנסת העשרים ושל</w:t>
      </w:r>
      <w:r w:rsidR="0095776C">
        <w:rPr>
          <w:rFonts w:hint="cs"/>
          <w:rtl/>
        </w:rPr>
        <w:t>וש ועל שולחן הכנסת העשרים וארבע</w:t>
      </w:r>
      <w:r>
        <w:rPr>
          <w:rFonts w:hint="cs"/>
          <w:rtl/>
        </w:rPr>
        <w:t xml:space="preserve"> </w:t>
      </w:r>
      <w:r w:rsidRPr="00920625">
        <w:rPr>
          <w:rtl/>
        </w:rPr>
        <w:t xml:space="preserve">על ידי חבר הכנסת אורי </w:t>
      </w:r>
      <w:proofErr w:type="spellStart"/>
      <w:r w:rsidRPr="00920625">
        <w:rPr>
          <w:rFonts w:hint="eastAsia"/>
          <w:rtl/>
        </w:rPr>
        <w:t>מקלב</w:t>
      </w:r>
      <w:proofErr w:type="spellEnd"/>
      <w:r>
        <w:rPr>
          <w:rtl/>
        </w:rPr>
        <w:t xml:space="preserve"> </w:t>
      </w:r>
      <w:r>
        <w:rPr>
          <w:rFonts w:hint="cs"/>
          <w:rtl/>
        </w:rPr>
        <w:t xml:space="preserve">וקבוצת חברי הכנסת </w:t>
      </w:r>
      <w:r>
        <w:rPr>
          <w:rtl/>
        </w:rPr>
        <w:t>(פ/3803/20</w:t>
      </w:r>
      <w:r>
        <w:rPr>
          <w:rFonts w:hint="cs"/>
          <w:rtl/>
        </w:rPr>
        <w:t>;</w:t>
      </w:r>
      <w:r w:rsidRPr="00920625">
        <w:rPr>
          <w:rtl/>
        </w:rPr>
        <w:t xml:space="preserve"> </w:t>
      </w:r>
      <w:r w:rsidRPr="00920625">
        <w:rPr>
          <w:rFonts w:hint="eastAsia"/>
          <w:rtl/>
        </w:rPr>
        <w:t>פ</w:t>
      </w:r>
      <w:r w:rsidRPr="00920625">
        <w:rPr>
          <w:rtl/>
        </w:rPr>
        <w:t>/908/22</w:t>
      </w:r>
      <w:r>
        <w:rPr>
          <w:rFonts w:hint="cs"/>
          <w:rtl/>
        </w:rPr>
        <w:t xml:space="preserve">; </w:t>
      </w:r>
      <w:r w:rsidRPr="00C20825">
        <w:rPr>
          <w:rtl/>
        </w:rPr>
        <w:t>פ/1272/23</w:t>
      </w:r>
      <w:r>
        <w:rPr>
          <w:rFonts w:hint="cs"/>
          <w:rtl/>
        </w:rPr>
        <w:t xml:space="preserve">; </w:t>
      </w:r>
      <w:r w:rsidRPr="00C20825">
        <w:rPr>
          <w:rtl/>
        </w:rPr>
        <w:t>פ/1978/24</w:t>
      </w:r>
      <w:r w:rsidRPr="00920625">
        <w:rPr>
          <w:rtl/>
        </w:rPr>
        <w:t>)</w:t>
      </w:r>
      <w:r>
        <w:rPr>
          <w:rFonts w:hint="cs"/>
          <w:rtl/>
        </w:rPr>
        <w:t>.</w:t>
      </w:r>
    </w:p>
    <w:p w14:paraId="1A6A9B9F" w14:textId="77777777" w:rsidR="002D0E64" w:rsidRDefault="002D0E64" w:rsidP="002D0E64">
      <w:pPr>
        <w:pStyle w:val="Hesber"/>
        <w:spacing w:line="240" w:lineRule="auto"/>
        <w:rPr>
          <w:rtl/>
        </w:rPr>
      </w:pPr>
    </w:p>
    <w:p w14:paraId="7F6961CB" w14:textId="77777777" w:rsidR="00E13C27" w:rsidRDefault="00E13C27" w:rsidP="002D0E64">
      <w:pPr>
        <w:pStyle w:val="HeadDivreiHesber"/>
        <w:spacing w:before="0" w:after="0" w:line="240" w:lineRule="auto"/>
        <w:rPr>
          <w:rtl/>
        </w:rPr>
      </w:pPr>
    </w:p>
    <w:p w14:paraId="6ABC51AC" w14:textId="77777777" w:rsidR="009814BC" w:rsidRDefault="002D0E64" w:rsidP="002D0E64">
      <w:pPr>
        <w:spacing w:before="0" w:line="240" w:lineRule="auto"/>
        <w:jc w:val="left"/>
      </w:pPr>
      <w:bookmarkStart w:id="7" w:name="selectedDocDateB"/>
      <w:bookmarkEnd w:id="7"/>
      <w:r>
        <w:rPr>
          <w:rFonts w:ascii="David" w:eastAsia="David" w:hAnsi="David" w:cs="David" w:hint="cs"/>
          <w:sz w:val="26"/>
          <w:szCs w:val="26"/>
          <w:rtl/>
        </w:rPr>
        <w:t>--------------------------------</w:t>
      </w:r>
    </w:p>
    <w:p w14:paraId="5596333C" w14:textId="77777777" w:rsidR="009814BC" w:rsidRDefault="002D0E64" w:rsidP="002D0E64">
      <w:pPr>
        <w:spacing w:before="0" w:line="240" w:lineRule="auto"/>
        <w:jc w:val="left"/>
      </w:pPr>
      <w:r>
        <w:rPr>
          <w:rFonts w:ascii="David" w:eastAsia="David" w:hAnsi="David" w:cs="David" w:hint="cs"/>
          <w:sz w:val="26"/>
          <w:szCs w:val="26"/>
          <w:rtl/>
        </w:rPr>
        <w:t>הוגשה ליו"ר הכנסת והסגנים</w:t>
      </w:r>
    </w:p>
    <w:p w14:paraId="7E387962" w14:textId="77777777" w:rsidR="009814BC" w:rsidRDefault="002D0E64" w:rsidP="002D0E64">
      <w:pPr>
        <w:spacing w:before="0" w:line="240" w:lineRule="auto"/>
        <w:jc w:val="left"/>
      </w:pPr>
      <w:r>
        <w:rPr>
          <w:rFonts w:ascii="David" w:eastAsia="David" w:hAnsi="David" w:cs="David" w:hint="cs"/>
          <w:sz w:val="26"/>
          <w:szCs w:val="26"/>
          <w:rtl/>
        </w:rPr>
        <w:t>והונחה על שולחן הכנסת ביום</w:t>
      </w:r>
    </w:p>
    <w:p w14:paraId="579596B7" w14:textId="77777777" w:rsidR="009814BC" w:rsidRDefault="002D0E64" w:rsidP="002D0E64">
      <w:pPr>
        <w:spacing w:before="0" w:line="240" w:lineRule="auto"/>
        <w:jc w:val="left"/>
      </w:pPr>
      <w:r>
        <w:rPr>
          <w:rFonts w:ascii="David" w:eastAsia="David" w:hAnsi="David" w:cs="David" w:hint="cs"/>
          <w:sz w:val="26"/>
          <w:szCs w:val="26"/>
          <w:rtl/>
        </w:rPr>
        <w:t xml:space="preserve">ט"ז בטבת התשפ"ב (20.12.2021) </w:t>
      </w:r>
    </w:p>
    <w:p w14:paraId="18575DF5" w14:textId="77777777" w:rsidR="009814BC" w:rsidRDefault="009814BC" w:rsidP="002D0E64">
      <w:pPr>
        <w:spacing w:before="0" w:line="240" w:lineRule="auto"/>
        <w:jc w:val="left"/>
      </w:pPr>
    </w:p>
    <w:sectPr w:rsidR="009814BC"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2D0E64">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110421">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0F6CE94F" w14:textId="77777777" w:rsidR="00110421" w:rsidRDefault="00110421" w:rsidP="00110421">
      <w:pPr>
        <w:pStyle w:val="a4"/>
      </w:pPr>
      <w:r>
        <w:rPr>
          <w:rStyle w:val="a5"/>
        </w:rPr>
        <w:footnoteRef/>
      </w:r>
      <w:r>
        <w:rPr>
          <w:sz w:val="20"/>
          <w:rtl/>
        </w:rPr>
        <w:t xml:space="preserve"> ס"ח </w:t>
      </w:r>
      <w:proofErr w:type="spellStart"/>
      <w:r>
        <w:rPr>
          <w:sz w:val="20"/>
          <w:rtl/>
        </w:rPr>
        <w:t>התשכ"ח</w:t>
      </w:r>
      <w:proofErr w:type="spellEnd"/>
      <w:r>
        <w:rPr>
          <w:sz w:val="20"/>
          <w:rtl/>
        </w:rPr>
        <w:t>, עמ' 204.</w:t>
      </w:r>
    </w:p>
  </w:footnote>
  <w:footnote w:id="3">
    <w:p w14:paraId="5137705D" w14:textId="77777777" w:rsidR="0095776C" w:rsidRDefault="0095776C">
      <w:pPr>
        <w:pStyle w:val="a4"/>
      </w:pPr>
      <w:r>
        <w:rPr>
          <w:rStyle w:val="a5"/>
        </w:rPr>
        <w:footnoteRef/>
      </w:r>
      <w:r>
        <w:rPr>
          <w:rtl/>
        </w:rPr>
        <w:t xml:space="preserve"> </w:t>
      </w:r>
      <w:r>
        <w:rPr>
          <w:rFonts w:hint="cs"/>
          <w:rtl/>
        </w:rPr>
        <w:t xml:space="preserve">ס"ח </w:t>
      </w:r>
      <w:proofErr w:type="spellStart"/>
      <w:r>
        <w:rPr>
          <w:rFonts w:hint="cs"/>
          <w:rtl/>
        </w:rPr>
        <w:t>התשע"ד</w:t>
      </w:r>
      <w:proofErr w:type="spellEnd"/>
      <w:r>
        <w:rPr>
          <w:rFonts w:hint="cs"/>
          <w:rtl/>
        </w:rPr>
        <w:t>, עמ' 438.</w:t>
      </w:r>
    </w:p>
  </w:footnote>
  <w:footnote w:id="4">
    <w:p w14:paraId="73F2F7EA" w14:textId="06E0E05B" w:rsidR="0095776C" w:rsidRDefault="0095776C" w:rsidP="00110421">
      <w:pPr>
        <w:pStyle w:val="a4"/>
      </w:pPr>
      <w:r>
        <w:rPr>
          <w:rStyle w:val="a5"/>
        </w:rPr>
        <w:footnoteRef/>
      </w:r>
      <w:r>
        <w:rPr>
          <w:rtl/>
        </w:rPr>
        <w:t xml:space="preserve"> </w:t>
      </w:r>
      <w:r>
        <w:rPr>
          <w:rFonts w:hint="cs"/>
          <w:rtl/>
        </w:rPr>
        <w:t xml:space="preserve">דיני מדינת ישראל, </w:t>
      </w:r>
      <w:r w:rsidR="002D0E64">
        <w:rPr>
          <w:rFonts w:hint="cs"/>
          <w:rtl/>
        </w:rPr>
        <w:t xml:space="preserve">נוסח חדש 4, </w:t>
      </w:r>
      <w:bookmarkStart w:id="6" w:name="_GoBack"/>
      <w:bookmarkEnd w:id="6"/>
      <w:r>
        <w:rPr>
          <w:rFonts w:hint="cs"/>
          <w:rtl/>
        </w:rPr>
        <w:t>עמ' 74.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10421"/>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0E64"/>
    <w:rsid w:val="002D1EE3"/>
    <w:rsid w:val="002F1D80"/>
    <w:rsid w:val="003232A2"/>
    <w:rsid w:val="00325C14"/>
    <w:rsid w:val="0036422C"/>
    <w:rsid w:val="003710F6"/>
    <w:rsid w:val="00386E88"/>
    <w:rsid w:val="00396585"/>
    <w:rsid w:val="003B6259"/>
    <w:rsid w:val="003D6E38"/>
    <w:rsid w:val="003D74A0"/>
    <w:rsid w:val="004033D8"/>
    <w:rsid w:val="004073F0"/>
    <w:rsid w:val="00412A7D"/>
    <w:rsid w:val="00416B4D"/>
    <w:rsid w:val="00417CFC"/>
    <w:rsid w:val="004375D0"/>
    <w:rsid w:val="004A06DC"/>
    <w:rsid w:val="004B24ED"/>
    <w:rsid w:val="004B6625"/>
    <w:rsid w:val="004D2D82"/>
    <w:rsid w:val="004D3876"/>
    <w:rsid w:val="004E4552"/>
    <w:rsid w:val="004E6CDF"/>
    <w:rsid w:val="00553C9D"/>
    <w:rsid w:val="00562A66"/>
    <w:rsid w:val="005B064E"/>
    <w:rsid w:val="005D51AE"/>
    <w:rsid w:val="005F3AF9"/>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4D5B"/>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5776C"/>
    <w:rsid w:val="00966D06"/>
    <w:rsid w:val="009814BC"/>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F1AA2"/>
    <w:rsid w:val="00D142D3"/>
    <w:rsid w:val="00D168AD"/>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BE4AB2CF-0B2B-4A15-B091-509198202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C25A29CB36A16E48989D4D40273092E6" ma:contentTypeVersion="" ma:contentTypeDescription="צור מסמך חדש." ma:contentTypeScope="" ma:versionID="960836d9d79fe574671dad3ce2a7fd77">
  <xsd:schema xmlns:xsd="http://www.w3.org/2001/XMLSchema" xmlns:xs="http://www.w3.org/2001/XMLSchema" xmlns:p="http://schemas.microsoft.com/office/2006/metadata/properties" targetNamespace="http://schemas.microsoft.com/office/2006/metadata/properties" ma:root="true" ma:fieldsID="6552e17932849a6e52ec7291f1d302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B150D5-304B-4A50-98BE-7C10F8746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D1CF305C-4D86-45BA-B28C-9F26E183B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Pages>
  <Words>515</Words>
  <Characters>2939</Characters>
  <Application>Microsoft Office Word</Application>
  <DocSecurity>0</DocSecurity>
  <Lines>24</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אילת וולברג</cp:lastModifiedBy>
  <cp:revision>9</cp:revision>
  <cp:lastPrinted>2021-12-12T11:50:00Z</cp:lastPrinted>
  <dcterms:created xsi:type="dcterms:W3CDTF">2015-04-20T09:58:00Z</dcterms:created>
  <dcterms:modified xsi:type="dcterms:W3CDTF">2021-12-16T09:08:00Z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0x010100C25A29CB36A16E48989D4D40273092E6</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2161602</vt:r8>
  </property>
</Properties>
</file>