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CC76D3" w:rsidRDefault="004033D8" w:rsidP="00E635A2">
      <w:pPr>
        <w:jc w:val="right"/>
        <w:rPr>
          <w:rFonts w:ascii="David" w:hAnsi="David" w:cs="David"/>
          <w:b/>
          <w:bCs/>
          <w:sz w:val="20"/>
          <w:szCs w:val="20"/>
        </w:rPr>
      </w:pPr>
      <w:r w:rsidRPr="00CC76D3">
        <w:rPr>
          <w:rFonts w:ascii="David" w:hAnsi="David" w:cs="David"/>
          <w:sz w:val="20"/>
          <w:szCs w:val="20"/>
          <w:rtl/>
        </w:rPr>
        <w:t xml:space="preserve">מספר פנימי: </w:t>
      </w:r>
      <w:bookmarkStart w:id="0" w:name="LGS_Internal_ID"/>
      <w:r w:rsidRPr="00CC76D3">
        <w:rPr>
          <w:rFonts w:ascii="David" w:hAnsi="David" w:cs="David"/>
          <w:sz w:val="20"/>
          <w:szCs w:val="20"/>
          <w:rtl/>
        </w:rPr>
        <w:t>2159797</w:t>
      </w:r>
      <w:bookmarkEnd w:id="0"/>
    </w:p>
    <w:p w14:paraId="7F6961A2" w14:textId="53D639AE" w:rsidR="00E13C27" w:rsidRPr="00CC76D3" w:rsidRDefault="00E13C27" w:rsidP="00A443CF">
      <w:pPr>
        <w:pStyle w:val="HeadHatzaotHok"/>
        <w:rPr>
          <w:rFonts w:ascii="David" w:hAnsi="David"/>
          <w:sz w:val="28"/>
          <w:szCs w:val="28"/>
          <w:rtl/>
        </w:rPr>
      </w:pPr>
      <w:r w:rsidRPr="00CC76D3">
        <w:rPr>
          <w:rFonts w:ascii="David" w:hAnsi="David"/>
          <w:sz w:val="28"/>
          <w:szCs w:val="28"/>
          <w:rtl/>
        </w:rPr>
        <w:t xml:space="preserve">הכנסת </w:t>
      </w:r>
      <w:bookmarkStart w:id="1" w:name="LGS_Knesset_Num"/>
      <w:r w:rsidRPr="00CC76D3">
        <w:rPr>
          <w:rFonts w:ascii="David" w:hAnsi="David"/>
          <w:sz w:val="28"/>
          <w:szCs w:val="28"/>
          <w:rtl/>
        </w:rPr>
        <w:t>העשרים וארבע</w:t>
      </w:r>
      <w:bookmarkEnd w:id="1"/>
    </w:p>
    <w:p w14:paraId="7F6961A3" w14:textId="77777777" w:rsidR="00E13C27" w:rsidRPr="00CC76D3" w:rsidRDefault="00E13C27" w:rsidP="00E13C27">
      <w:pPr>
        <w:rPr>
          <w:rFonts w:ascii="David" w:hAnsi="David" w:cs="David"/>
          <w:b/>
          <w:bCs/>
          <w:sz w:val="26"/>
          <w:szCs w:val="26"/>
          <w:rtl/>
        </w:rPr>
      </w:pPr>
    </w:p>
    <w:p w14:paraId="7F6961A6" w14:textId="77777777" w:rsidR="00E13C27" w:rsidRPr="00CC76D3" w:rsidRDefault="008F6665" w:rsidP="00930EFE">
      <w:pPr>
        <w:pStyle w:val="David"/>
        <w:spacing w:line="360" w:lineRule="auto"/>
        <w:ind w:left="3544"/>
        <w:rPr>
          <w:rFonts w:ascii="David" w:hAnsi="David"/>
          <w:b/>
          <w:bCs/>
          <w:rtl/>
        </w:rPr>
      </w:pPr>
      <w:bookmarkStart w:id="2" w:name="LGS_Initiators_List"/>
      <w:r>
        <w:rPr>
          <w:rFonts w:ascii="David" w:hAnsi="David"/>
          <w:b/>
          <w:bCs/>
          <w:rtl/>
        </w:rPr>
        <w:t>יוזמים:      חברי הכנסת</w:t>
      </w:r>
      <w:bookmarkEnd w:id="2"/>
      <w:r w:rsidR="00B35784" w:rsidRPr="00CC76D3">
        <w:rPr>
          <w:rFonts w:ascii="David" w:hAnsi="David"/>
          <w:b/>
          <w:bCs/>
        </w:rPr>
        <w:tab/>
      </w:r>
      <w:bookmarkStart w:id="3" w:name="LGS_PM_Names"/>
      <w:r>
        <w:rPr>
          <w:rFonts w:ascii="David" w:hAnsi="David"/>
          <w:b/>
          <w:bCs/>
          <w:rtl/>
        </w:rPr>
        <w:t>גבי לסקי</w:t>
      </w:r>
      <w:r>
        <w:br/>
      </w:r>
      <w:r>
        <w:rPr>
          <w:rFonts w:ascii="David" w:hAnsi="David"/>
          <w:b/>
          <w:bCs/>
          <w:rtl/>
        </w:rPr>
        <w:t xml:space="preserve"> </w:t>
      </w:r>
      <w:r>
        <w:tab/>
      </w:r>
      <w:r>
        <w:tab/>
      </w:r>
      <w:r>
        <w:tab/>
      </w:r>
      <w:r>
        <w:tab/>
      </w:r>
      <w:proofErr w:type="spellStart"/>
      <w:r>
        <w:rPr>
          <w:rFonts w:ascii="David" w:hAnsi="David"/>
          <w:b/>
          <w:bCs/>
          <w:rtl/>
        </w:rPr>
        <w:t>מוסי</w:t>
      </w:r>
      <w:proofErr w:type="spellEnd"/>
      <w:r>
        <w:rPr>
          <w:rFonts w:ascii="David" w:hAnsi="David"/>
          <w:b/>
          <w:bCs/>
          <w:rtl/>
        </w:rPr>
        <w:t xml:space="preserve"> רז</w:t>
      </w:r>
      <w:r>
        <w:br/>
      </w:r>
      <w:r>
        <w:rPr>
          <w:rFonts w:ascii="David" w:hAnsi="David"/>
          <w:b/>
          <w:bCs/>
          <w:rtl/>
        </w:rPr>
        <w:t xml:space="preserve"> </w:t>
      </w:r>
      <w:r>
        <w:tab/>
      </w:r>
      <w:r>
        <w:tab/>
      </w:r>
      <w:r>
        <w:tab/>
      </w:r>
      <w:r>
        <w:tab/>
      </w:r>
      <w:r>
        <w:rPr>
          <w:rFonts w:ascii="David" w:hAnsi="David"/>
          <w:b/>
          <w:bCs/>
          <w:rtl/>
        </w:rPr>
        <w:t>אלון טל</w:t>
      </w:r>
      <w:r>
        <w:br/>
      </w:r>
      <w:r>
        <w:rPr>
          <w:rFonts w:ascii="David" w:hAnsi="David"/>
          <w:b/>
          <w:bCs/>
          <w:rtl/>
        </w:rPr>
        <w:t xml:space="preserve"> </w:t>
      </w:r>
      <w:r>
        <w:tab/>
      </w:r>
      <w:r>
        <w:tab/>
      </w:r>
      <w:r>
        <w:tab/>
      </w:r>
      <w:r>
        <w:tab/>
      </w:r>
      <w:r>
        <w:rPr>
          <w:rFonts w:ascii="David" w:hAnsi="David"/>
          <w:b/>
          <w:bCs/>
          <w:rtl/>
        </w:rPr>
        <w:t>גלעד קריב</w:t>
      </w:r>
      <w:r>
        <w:br/>
      </w:r>
      <w:r>
        <w:rPr>
          <w:rFonts w:ascii="David" w:hAnsi="David"/>
          <w:b/>
          <w:bCs/>
          <w:rtl/>
        </w:rPr>
        <w:t xml:space="preserve"> </w:t>
      </w:r>
      <w:r>
        <w:tab/>
      </w:r>
      <w:r>
        <w:tab/>
      </w:r>
      <w:r>
        <w:tab/>
      </w:r>
      <w:r>
        <w:tab/>
      </w:r>
      <w:r>
        <w:rPr>
          <w:rFonts w:ascii="David" w:hAnsi="David"/>
          <w:b/>
          <w:bCs/>
          <w:rtl/>
        </w:rPr>
        <w:t>זאב בנימין בגין</w:t>
      </w:r>
      <w:bookmarkEnd w:id="3"/>
    </w:p>
    <w:p w14:paraId="34DB4103" w14:textId="77777777" w:rsidR="00904591" w:rsidRPr="00CC76D3" w:rsidRDefault="00266D86" w:rsidP="0036422C">
      <w:pPr>
        <w:pStyle w:val="David"/>
        <w:spacing w:before="0" w:line="360" w:lineRule="auto"/>
        <w:ind w:left="3544"/>
        <w:rPr>
          <w:rFonts w:ascii="David" w:hAnsi="David"/>
          <w:sz w:val="4"/>
          <w:szCs w:val="4"/>
          <w:rtl/>
        </w:rPr>
      </w:pPr>
      <w:r w:rsidRPr="00CC76D3">
        <w:rPr>
          <w:rFonts w:ascii="David" w:hAnsi="David"/>
        </w:rPr>
        <w:t>____</w:t>
      </w:r>
      <w:r w:rsidR="00E374F2" w:rsidRPr="00CC76D3">
        <w:rPr>
          <w:rFonts w:ascii="David" w:hAnsi="David"/>
        </w:rPr>
        <w:t>__</w:t>
      </w:r>
      <w:r w:rsidRPr="00CC76D3">
        <w:rPr>
          <w:rFonts w:ascii="David" w:hAnsi="David"/>
        </w:rPr>
        <w:t>________________________________________</w:t>
      </w:r>
      <w:r w:rsidR="00E06736" w:rsidRPr="00CC76D3">
        <w:rPr>
          <w:rFonts w:ascii="David" w:hAnsi="David"/>
        </w:rPr>
        <w:tab/>
      </w:r>
      <w:r w:rsidR="00E13C27" w:rsidRPr="00CC76D3">
        <w:rPr>
          <w:rFonts w:ascii="David" w:hAnsi="David"/>
          <w:rtl/>
        </w:rPr>
        <w:tab/>
      </w:r>
      <w:r w:rsidR="00E13C27" w:rsidRPr="00CC76D3">
        <w:rPr>
          <w:rFonts w:ascii="David" w:hAnsi="David"/>
          <w:rtl/>
        </w:rPr>
        <w:tab/>
      </w:r>
      <w:r w:rsidR="00E13C27" w:rsidRPr="00CC76D3">
        <w:rPr>
          <w:rFonts w:ascii="David" w:hAnsi="David"/>
          <w:rtl/>
        </w:rPr>
        <w:tab/>
      </w:r>
      <w:r w:rsidR="00904591" w:rsidRPr="00CC76D3">
        <w:rPr>
          <w:rFonts w:ascii="David" w:hAnsi="David"/>
        </w:rPr>
        <w:t xml:space="preserve">           </w:t>
      </w:r>
    </w:p>
    <w:p w14:paraId="7F6961AB" w14:textId="7C463E58" w:rsidR="00E13C27" w:rsidRPr="00CC76D3" w:rsidRDefault="00904591" w:rsidP="00F17C3F">
      <w:pPr>
        <w:pStyle w:val="David"/>
        <w:spacing w:before="0" w:line="240" w:lineRule="auto"/>
        <w:ind w:left="6424" w:firstLine="56"/>
        <w:rPr>
          <w:rFonts w:ascii="David" w:hAnsi="David"/>
          <w:rtl/>
        </w:rPr>
      </w:pPr>
      <w:bookmarkStart w:id="4" w:name="Private_Number"/>
      <w:r>
        <w:rPr>
          <w:rFonts w:ascii="David" w:hAnsi="David"/>
          <w:rtl/>
        </w:rPr>
        <w:t>פ/2657/24</w:t>
      </w:r>
      <w:bookmarkEnd w:id="4"/>
    </w:p>
    <w:p w14:paraId="7F6961AC" w14:textId="77777777" w:rsidR="00E13C27" w:rsidRPr="00CC76D3" w:rsidRDefault="00E13C27" w:rsidP="00E13C27">
      <w:pPr>
        <w:spacing w:before="0" w:line="360" w:lineRule="auto"/>
        <w:ind w:left="2880" w:firstLine="720"/>
        <w:rPr>
          <w:rFonts w:ascii="David" w:hAnsi="David" w:cs="David"/>
          <w:sz w:val="26"/>
          <w:szCs w:val="26"/>
          <w:rtl/>
        </w:rPr>
      </w:pPr>
    </w:p>
    <w:p w14:paraId="7F6961AE" w14:textId="77023E4B" w:rsidR="00E13C27" w:rsidRDefault="00A956FD" w:rsidP="00685D26">
      <w:pPr>
        <w:pStyle w:val="HeadHatzaotHok"/>
        <w:rPr>
          <w:rFonts w:ascii="David" w:hAnsi="David"/>
          <w:rtl/>
        </w:rPr>
      </w:pPr>
      <w:bookmarkStart w:id="5" w:name="LGS_Subject"/>
      <w:r>
        <w:rPr>
          <w:rFonts w:ascii="David" w:hAnsi="David" w:hint="cs"/>
          <w:rtl/>
        </w:rPr>
        <w:t xml:space="preserve">הצעת חוק </w:t>
      </w:r>
      <w:r w:rsidR="00A443CF" w:rsidRPr="00CC76D3">
        <w:rPr>
          <w:rFonts w:ascii="David" w:hAnsi="David"/>
          <w:rtl/>
        </w:rPr>
        <w:t xml:space="preserve">נציבות הדורות הבאים, </w:t>
      </w:r>
      <w:proofErr w:type="spellStart"/>
      <w:r w:rsidR="00A443CF" w:rsidRPr="00CC76D3">
        <w:rPr>
          <w:rFonts w:ascii="David" w:hAnsi="David"/>
          <w:rtl/>
        </w:rPr>
        <w:t>התשפ"</w:t>
      </w:r>
      <w:bookmarkEnd w:id="5"/>
      <w:r w:rsidR="00111D0D">
        <w:rPr>
          <w:rFonts w:ascii="David" w:hAnsi="David" w:hint="cs"/>
          <w:rtl/>
        </w:rPr>
        <w:t>ב</w:t>
      </w:r>
      <w:proofErr w:type="spellEnd"/>
      <w:r w:rsidR="00111D0D">
        <w:rPr>
          <w:rFonts w:ascii="David" w:hAnsi="David" w:hint="cs"/>
          <w:rtl/>
        </w:rPr>
        <w:t>–2021</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111D0D" w14:paraId="36D5EA4B" w14:textId="77777777" w:rsidTr="009371A1">
        <w:trPr>
          <w:cantSplit/>
          <w:trHeight w:val="60"/>
        </w:trPr>
        <w:tc>
          <w:tcPr>
            <w:tcW w:w="1871" w:type="dxa"/>
          </w:tcPr>
          <w:p w14:paraId="6DADC3D5" w14:textId="64F06BC5" w:rsidR="00111D0D" w:rsidRPr="006B0712" w:rsidRDefault="00111D0D" w:rsidP="00111D0D">
            <w:pPr>
              <w:pStyle w:val="TableSideHeading"/>
              <w:rPr>
                <w:rtl/>
              </w:rPr>
            </w:pPr>
            <w:r w:rsidRPr="006B0712">
              <w:rPr>
                <w:rtl/>
              </w:rPr>
              <w:t>הגדרות</w:t>
            </w:r>
          </w:p>
        </w:tc>
        <w:tc>
          <w:tcPr>
            <w:tcW w:w="624" w:type="dxa"/>
          </w:tcPr>
          <w:p w14:paraId="3E3EB94A" w14:textId="1CA5FCC6" w:rsidR="00111D0D" w:rsidRDefault="00111D0D" w:rsidP="00111D0D">
            <w:pPr>
              <w:pStyle w:val="TableText"/>
              <w:rPr>
                <w:rtl/>
              </w:rPr>
            </w:pPr>
            <w:r>
              <w:rPr>
                <w:rFonts w:hint="cs"/>
                <w:rtl/>
              </w:rPr>
              <w:t>1.</w:t>
            </w:r>
          </w:p>
        </w:tc>
        <w:tc>
          <w:tcPr>
            <w:tcW w:w="7146" w:type="dxa"/>
            <w:gridSpan w:val="2"/>
          </w:tcPr>
          <w:p w14:paraId="07572FEA" w14:textId="6EFB8DD1" w:rsidR="00111D0D" w:rsidRPr="006B0712" w:rsidRDefault="00111D0D" w:rsidP="00111D0D">
            <w:pPr>
              <w:pStyle w:val="TableBlock"/>
              <w:rPr>
                <w:rtl/>
              </w:rPr>
            </w:pPr>
            <w:r w:rsidRPr="006B0712">
              <w:rPr>
                <w:rtl/>
              </w:rPr>
              <w:t>בחוק זה –</w:t>
            </w:r>
          </w:p>
        </w:tc>
      </w:tr>
      <w:tr w:rsidR="00111D0D" w14:paraId="3B177B41" w14:textId="77777777" w:rsidTr="009371A1">
        <w:trPr>
          <w:cantSplit/>
          <w:trHeight w:val="60"/>
        </w:trPr>
        <w:tc>
          <w:tcPr>
            <w:tcW w:w="1871" w:type="dxa"/>
          </w:tcPr>
          <w:p w14:paraId="70FA126E" w14:textId="77777777" w:rsidR="00111D0D" w:rsidRDefault="00111D0D" w:rsidP="00111D0D">
            <w:pPr>
              <w:pStyle w:val="TableSideHeading"/>
              <w:keepLines w:val="0"/>
            </w:pPr>
          </w:p>
        </w:tc>
        <w:tc>
          <w:tcPr>
            <w:tcW w:w="624" w:type="dxa"/>
          </w:tcPr>
          <w:p w14:paraId="44A2051D" w14:textId="77777777" w:rsidR="00111D0D" w:rsidRDefault="00111D0D" w:rsidP="00111D0D">
            <w:pPr>
              <w:pStyle w:val="TableText"/>
              <w:keepLines w:val="0"/>
              <w:tabs>
                <w:tab w:val="clear" w:pos="624"/>
              </w:tabs>
            </w:pPr>
          </w:p>
        </w:tc>
        <w:tc>
          <w:tcPr>
            <w:tcW w:w="7146" w:type="dxa"/>
            <w:gridSpan w:val="2"/>
          </w:tcPr>
          <w:p w14:paraId="16AB0CD1" w14:textId="77777777" w:rsidR="00111D0D" w:rsidRPr="006B0712" w:rsidRDefault="00111D0D" w:rsidP="00111D0D">
            <w:pPr>
              <w:pStyle w:val="TableBlockOutdent"/>
            </w:pPr>
            <w:r w:rsidRPr="006B0712">
              <w:rPr>
                <w:rtl/>
              </w:rPr>
              <w:t>"הדורות הבאים" – מי שעתידים להימנות על אוכלוסיית המדינה בכל עת, וטרם נולדו;</w:t>
            </w:r>
          </w:p>
        </w:tc>
      </w:tr>
      <w:tr w:rsidR="00111D0D" w14:paraId="3DBD8317" w14:textId="77777777" w:rsidTr="009371A1">
        <w:trPr>
          <w:cantSplit/>
          <w:trHeight w:val="60"/>
        </w:trPr>
        <w:tc>
          <w:tcPr>
            <w:tcW w:w="1871" w:type="dxa"/>
          </w:tcPr>
          <w:p w14:paraId="0EE0317A" w14:textId="77777777" w:rsidR="00111D0D" w:rsidRDefault="00111D0D" w:rsidP="00111D0D">
            <w:pPr>
              <w:pStyle w:val="TableSideHeading"/>
              <w:keepLines w:val="0"/>
            </w:pPr>
          </w:p>
        </w:tc>
        <w:tc>
          <w:tcPr>
            <w:tcW w:w="624" w:type="dxa"/>
          </w:tcPr>
          <w:p w14:paraId="49D6C606" w14:textId="77777777" w:rsidR="00111D0D" w:rsidRDefault="00111D0D" w:rsidP="00111D0D">
            <w:pPr>
              <w:pStyle w:val="TableText"/>
              <w:keepLines w:val="0"/>
              <w:tabs>
                <w:tab w:val="clear" w:pos="624"/>
              </w:tabs>
            </w:pPr>
          </w:p>
        </w:tc>
        <w:tc>
          <w:tcPr>
            <w:tcW w:w="7146" w:type="dxa"/>
            <w:gridSpan w:val="2"/>
          </w:tcPr>
          <w:p w14:paraId="4F77B091" w14:textId="2C1CA9D3" w:rsidR="00111D0D" w:rsidRPr="006B0712" w:rsidRDefault="00111D0D" w:rsidP="00111D0D">
            <w:pPr>
              <w:pStyle w:val="TableBlock"/>
              <w:rPr>
                <w:rtl/>
              </w:rPr>
            </w:pPr>
            <w:r w:rsidRPr="006B0712">
              <w:rPr>
                <w:rtl/>
              </w:rPr>
              <w:t>"הוועדה" – ועדת החוקה</w:t>
            </w:r>
            <w:r>
              <w:rPr>
                <w:rFonts w:hint="cs"/>
                <w:rtl/>
              </w:rPr>
              <w:t>,</w:t>
            </w:r>
            <w:r w:rsidRPr="006B0712">
              <w:rPr>
                <w:rtl/>
              </w:rPr>
              <w:t xml:space="preserve"> חוק ומשפט של הכנסת;</w:t>
            </w:r>
          </w:p>
        </w:tc>
      </w:tr>
      <w:tr w:rsidR="00111D0D" w14:paraId="7CEE9E86" w14:textId="77777777" w:rsidTr="009371A1">
        <w:trPr>
          <w:cantSplit/>
          <w:trHeight w:val="60"/>
        </w:trPr>
        <w:tc>
          <w:tcPr>
            <w:tcW w:w="1871" w:type="dxa"/>
          </w:tcPr>
          <w:p w14:paraId="2A5AF015" w14:textId="77777777" w:rsidR="00111D0D" w:rsidRDefault="00111D0D" w:rsidP="00111D0D">
            <w:pPr>
              <w:pStyle w:val="TableSideHeading"/>
              <w:keepLines w:val="0"/>
            </w:pPr>
          </w:p>
        </w:tc>
        <w:tc>
          <w:tcPr>
            <w:tcW w:w="624" w:type="dxa"/>
          </w:tcPr>
          <w:p w14:paraId="7DB93097" w14:textId="77777777" w:rsidR="00111D0D" w:rsidRDefault="00111D0D" w:rsidP="00111D0D">
            <w:pPr>
              <w:pStyle w:val="TableText"/>
            </w:pPr>
          </w:p>
        </w:tc>
        <w:tc>
          <w:tcPr>
            <w:tcW w:w="7146" w:type="dxa"/>
            <w:gridSpan w:val="2"/>
          </w:tcPr>
          <w:p w14:paraId="4489FE53" w14:textId="62ABD0C0" w:rsidR="00111D0D" w:rsidRPr="008B29D2" w:rsidRDefault="00111D0D" w:rsidP="008B29D2">
            <w:pPr>
              <w:pStyle w:val="TableBlockOutdent"/>
              <w:rPr>
                <w:rtl/>
              </w:rPr>
            </w:pPr>
            <w:r w:rsidRPr="008B29D2">
              <w:rPr>
                <w:rtl/>
              </w:rPr>
              <w:t>"עניין מיוחד של הדורות הבאים" – עניין שיש לו השפעה ניכרת על חיי הדורות הבאים לרבות בנושאי כלכלה, דמוגרפיה, איכות הסביבה, איכות חיים, בריאות ומדע.</w:t>
            </w:r>
          </w:p>
        </w:tc>
      </w:tr>
      <w:tr w:rsidR="00111D0D" w14:paraId="6FAA44A6" w14:textId="77777777" w:rsidTr="009371A1">
        <w:trPr>
          <w:cantSplit/>
          <w:trHeight w:val="60"/>
        </w:trPr>
        <w:tc>
          <w:tcPr>
            <w:tcW w:w="1871" w:type="dxa"/>
          </w:tcPr>
          <w:p w14:paraId="69447BDB" w14:textId="77777777" w:rsidR="00111D0D" w:rsidRDefault="00111D0D" w:rsidP="00111D0D">
            <w:pPr>
              <w:pStyle w:val="TableSideHeading"/>
              <w:keepLines w:val="0"/>
              <w:jc w:val="center"/>
            </w:pPr>
            <w:r w:rsidRPr="006B0712">
              <w:rPr>
                <w:rtl/>
              </w:rPr>
              <w:t>הקמת נציבות</w:t>
            </w:r>
          </w:p>
        </w:tc>
        <w:tc>
          <w:tcPr>
            <w:tcW w:w="624" w:type="dxa"/>
          </w:tcPr>
          <w:p w14:paraId="03506019" w14:textId="77777777" w:rsidR="00111D0D" w:rsidRDefault="00111D0D" w:rsidP="00111D0D">
            <w:pPr>
              <w:pStyle w:val="TableText"/>
            </w:pPr>
            <w:r>
              <w:rPr>
                <w:rFonts w:hint="cs"/>
                <w:rtl/>
              </w:rPr>
              <w:t>2.</w:t>
            </w:r>
          </w:p>
        </w:tc>
        <w:tc>
          <w:tcPr>
            <w:tcW w:w="7146" w:type="dxa"/>
            <w:gridSpan w:val="2"/>
          </w:tcPr>
          <w:p w14:paraId="3D8342E6" w14:textId="2670F6A8" w:rsidR="00111D0D" w:rsidRPr="006B0712" w:rsidRDefault="00111D0D" w:rsidP="00111D0D">
            <w:pPr>
              <w:pStyle w:val="TableBlock"/>
              <w:rPr>
                <w:rtl/>
              </w:rPr>
            </w:pPr>
            <w:r w:rsidRPr="006B0712">
              <w:rPr>
                <w:rtl/>
              </w:rPr>
              <w:t>מוקמת בזה נציבות הדורות הבאים (</w:t>
            </w:r>
            <w:r>
              <w:rPr>
                <w:rFonts w:hint="cs"/>
                <w:rtl/>
              </w:rPr>
              <w:t>בחוק זה –</w:t>
            </w:r>
            <w:r w:rsidRPr="006B0712">
              <w:rPr>
                <w:rtl/>
              </w:rPr>
              <w:t xml:space="preserve"> </w:t>
            </w:r>
            <w:r>
              <w:rPr>
                <w:rtl/>
              </w:rPr>
              <w:t>הנציבות) אשר תפעל באמצעות נציב</w:t>
            </w:r>
            <w:r w:rsidRPr="006B0712">
              <w:rPr>
                <w:rtl/>
              </w:rPr>
              <w:t xml:space="preserve"> הדורות הבאים (</w:t>
            </w:r>
            <w:r>
              <w:rPr>
                <w:rFonts w:hint="cs"/>
                <w:rtl/>
              </w:rPr>
              <w:t xml:space="preserve">בחוק זה – </w:t>
            </w:r>
            <w:r w:rsidRPr="006B0712">
              <w:rPr>
                <w:rtl/>
              </w:rPr>
              <w:t>הנציב) ועובדי הנציבות.</w:t>
            </w:r>
          </w:p>
        </w:tc>
      </w:tr>
      <w:tr w:rsidR="00111D0D" w14:paraId="74133FF4" w14:textId="77777777" w:rsidTr="009371A1">
        <w:trPr>
          <w:cantSplit/>
          <w:trHeight w:val="60"/>
        </w:trPr>
        <w:tc>
          <w:tcPr>
            <w:tcW w:w="1871" w:type="dxa"/>
          </w:tcPr>
          <w:p w14:paraId="72189601" w14:textId="31C52EB2" w:rsidR="00111D0D" w:rsidRPr="006B0712" w:rsidRDefault="00111D0D" w:rsidP="00111D0D">
            <w:pPr>
              <w:pStyle w:val="TableSideHeading"/>
              <w:keepLines w:val="0"/>
              <w:jc w:val="center"/>
              <w:rPr>
                <w:rtl/>
              </w:rPr>
            </w:pPr>
            <w:r>
              <w:rPr>
                <w:rFonts w:hint="cs"/>
                <w:rtl/>
              </w:rPr>
              <w:t>מעמד הנציב בכנסת</w:t>
            </w:r>
          </w:p>
        </w:tc>
        <w:tc>
          <w:tcPr>
            <w:tcW w:w="624" w:type="dxa"/>
          </w:tcPr>
          <w:p w14:paraId="343F8E63" w14:textId="77777777" w:rsidR="00111D0D" w:rsidRDefault="00111D0D" w:rsidP="00111D0D">
            <w:pPr>
              <w:pStyle w:val="TableText"/>
              <w:rPr>
                <w:rtl/>
              </w:rPr>
            </w:pPr>
            <w:r>
              <w:rPr>
                <w:rFonts w:hint="cs"/>
                <w:rtl/>
              </w:rPr>
              <w:t>3.</w:t>
            </w:r>
          </w:p>
        </w:tc>
        <w:tc>
          <w:tcPr>
            <w:tcW w:w="7146" w:type="dxa"/>
            <w:gridSpan w:val="2"/>
          </w:tcPr>
          <w:p w14:paraId="054646B5" w14:textId="0A80CDA0" w:rsidR="00111D0D" w:rsidRPr="006B0712" w:rsidRDefault="00111D0D" w:rsidP="00111D0D">
            <w:pPr>
              <w:pStyle w:val="TableBlock"/>
              <w:rPr>
                <w:rtl/>
              </w:rPr>
            </w:pPr>
            <w:r>
              <w:rPr>
                <w:rFonts w:hint="cs"/>
                <w:rtl/>
              </w:rPr>
              <w:t>נציב הדורות הבאים הוא עובד כנסת וישמש כראש נציבות הדורות הבאים של הכנסת.</w:t>
            </w:r>
          </w:p>
        </w:tc>
      </w:tr>
      <w:tr w:rsidR="00111D0D" w14:paraId="6DC3697B" w14:textId="77777777" w:rsidTr="009371A1">
        <w:trPr>
          <w:cantSplit/>
          <w:trHeight w:val="60"/>
        </w:trPr>
        <w:tc>
          <w:tcPr>
            <w:tcW w:w="1871" w:type="dxa"/>
          </w:tcPr>
          <w:p w14:paraId="2189684E" w14:textId="77777777" w:rsidR="00111D0D" w:rsidRPr="006B0712" w:rsidRDefault="00111D0D" w:rsidP="00111D0D">
            <w:pPr>
              <w:pStyle w:val="TableSideHeading"/>
              <w:keepLines w:val="0"/>
              <w:jc w:val="center"/>
              <w:rPr>
                <w:rtl/>
              </w:rPr>
            </w:pPr>
            <w:r w:rsidRPr="006B0712">
              <w:rPr>
                <w:rtl/>
              </w:rPr>
              <w:t>תפקיד הנציבות</w:t>
            </w:r>
          </w:p>
        </w:tc>
        <w:tc>
          <w:tcPr>
            <w:tcW w:w="624" w:type="dxa"/>
          </w:tcPr>
          <w:p w14:paraId="2F734B22" w14:textId="77777777" w:rsidR="00111D0D" w:rsidRDefault="00111D0D" w:rsidP="00111D0D">
            <w:pPr>
              <w:pStyle w:val="TableText"/>
              <w:rPr>
                <w:rtl/>
              </w:rPr>
            </w:pPr>
            <w:r>
              <w:rPr>
                <w:rFonts w:hint="cs"/>
                <w:rtl/>
              </w:rPr>
              <w:t>4.</w:t>
            </w:r>
          </w:p>
        </w:tc>
        <w:tc>
          <w:tcPr>
            <w:tcW w:w="7146" w:type="dxa"/>
            <w:gridSpan w:val="2"/>
          </w:tcPr>
          <w:p w14:paraId="7516262C" w14:textId="0A5D3C69" w:rsidR="00111D0D" w:rsidRPr="006B0712" w:rsidRDefault="00111D0D" w:rsidP="00111D0D">
            <w:pPr>
              <w:pStyle w:val="TableBlock"/>
              <w:rPr>
                <w:rtl/>
              </w:rPr>
            </w:pPr>
            <w:r w:rsidRPr="006B0712">
              <w:rPr>
                <w:rtl/>
              </w:rPr>
              <w:t>תפקיד הנציבות לייצג את ענייניהם המיוחדים של הדורות הבאים בפני הכנסת; נושא לייצוג על יד הנציבות יכול שיהיה כל נושא, אשר יש בו, לדעת הנציב, עניין מיוחד של הדורות הבאים.</w:t>
            </w:r>
          </w:p>
        </w:tc>
      </w:tr>
      <w:tr w:rsidR="00111D0D" w14:paraId="4E32AA16" w14:textId="77777777" w:rsidTr="009371A1">
        <w:trPr>
          <w:cantSplit/>
          <w:trHeight w:val="60"/>
        </w:trPr>
        <w:tc>
          <w:tcPr>
            <w:tcW w:w="1871" w:type="dxa"/>
          </w:tcPr>
          <w:p w14:paraId="7CB28B7E" w14:textId="77777777" w:rsidR="00111D0D" w:rsidRPr="006B0712" w:rsidRDefault="00111D0D" w:rsidP="00111D0D">
            <w:pPr>
              <w:pStyle w:val="TableSideHeading"/>
              <w:keepLines w:val="0"/>
              <w:jc w:val="center"/>
              <w:rPr>
                <w:rtl/>
              </w:rPr>
            </w:pPr>
            <w:r w:rsidRPr="006B0712">
              <w:rPr>
                <w:rtl/>
              </w:rPr>
              <w:t>כשירות</w:t>
            </w:r>
          </w:p>
        </w:tc>
        <w:tc>
          <w:tcPr>
            <w:tcW w:w="624" w:type="dxa"/>
          </w:tcPr>
          <w:p w14:paraId="689E4BB2" w14:textId="77777777" w:rsidR="00111D0D" w:rsidRDefault="00111D0D" w:rsidP="00111D0D">
            <w:pPr>
              <w:pStyle w:val="TableText"/>
              <w:rPr>
                <w:rtl/>
              </w:rPr>
            </w:pPr>
            <w:r>
              <w:rPr>
                <w:rFonts w:hint="cs"/>
                <w:rtl/>
              </w:rPr>
              <w:t>5.</w:t>
            </w:r>
          </w:p>
        </w:tc>
        <w:tc>
          <w:tcPr>
            <w:tcW w:w="7146" w:type="dxa"/>
            <w:gridSpan w:val="2"/>
          </w:tcPr>
          <w:p w14:paraId="1BCACD4C" w14:textId="77777777" w:rsidR="00111D0D" w:rsidRPr="006B0712" w:rsidRDefault="00111D0D" w:rsidP="00111D0D">
            <w:pPr>
              <w:pStyle w:val="TableBlock"/>
              <w:rPr>
                <w:rtl/>
              </w:rPr>
            </w:pPr>
            <w:r w:rsidRPr="006B0712">
              <w:rPr>
                <w:rtl/>
              </w:rPr>
              <w:t>כשיר לכהן כנציב אזרח ישראלי ותושב ישראל הכשיר לכהן כשופט בית המשפט העליון, ובלבד שבחמש השנים הקודמות להצגת מועמדותו, לא היה פעיל בחיים הפוליטיים ולא היה חבר במפלגה כלשהי; לעניין סעיף זה, מי שלא שילם דמי חבר למפלגה ולא השתתף בפעילות במוסדותיה, לא יראוהו כחבר מפלגה.</w:t>
            </w:r>
          </w:p>
        </w:tc>
      </w:tr>
      <w:tr w:rsidR="00111D0D" w14:paraId="57DECAF9" w14:textId="77777777" w:rsidTr="009371A1">
        <w:trPr>
          <w:cantSplit/>
          <w:trHeight w:val="60"/>
        </w:trPr>
        <w:tc>
          <w:tcPr>
            <w:tcW w:w="1871" w:type="dxa"/>
          </w:tcPr>
          <w:p w14:paraId="59294EAF" w14:textId="41AC3BE7" w:rsidR="00111D0D" w:rsidRPr="006B0712" w:rsidRDefault="00111D0D" w:rsidP="00111D0D">
            <w:pPr>
              <w:pStyle w:val="TableSideHeading"/>
              <w:keepLines w:val="0"/>
              <w:jc w:val="center"/>
              <w:rPr>
                <w:rtl/>
              </w:rPr>
            </w:pPr>
            <w:r>
              <w:rPr>
                <w:rtl/>
              </w:rPr>
              <w:lastRenderedPageBreak/>
              <w:t>בחירת נציב</w:t>
            </w:r>
            <w:r>
              <w:rPr>
                <w:rFonts w:hint="cs"/>
                <w:rtl/>
              </w:rPr>
              <w:t xml:space="preserve"> </w:t>
            </w:r>
            <w:r w:rsidRPr="006B0712">
              <w:rPr>
                <w:rtl/>
              </w:rPr>
              <w:t>הדורות הבאים</w:t>
            </w:r>
          </w:p>
        </w:tc>
        <w:tc>
          <w:tcPr>
            <w:tcW w:w="624" w:type="dxa"/>
          </w:tcPr>
          <w:p w14:paraId="20BC6405" w14:textId="0782DCDF" w:rsidR="00111D0D" w:rsidRDefault="00111D0D" w:rsidP="00111D0D">
            <w:pPr>
              <w:pStyle w:val="TableText"/>
              <w:rPr>
                <w:rtl/>
              </w:rPr>
            </w:pPr>
            <w:r>
              <w:rPr>
                <w:rFonts w:hint="cs"/>
                <w:rtl/>
              </w:rPr>
              <w:t>6.</w:t>
            </w:r>
          </w:p>
        </w:tc>
        <w:tc>
          <w:tcPr>
            <w:tcW w:w="7146" w:type="dxa"/>
            <w:gridSpan w:val="2"/>
          </w:tcPr>
          <w:p w14:paraId="7655E27D" w14:textId="319CE442" w:rsidR="00111D0D" w:rsidRPr="006B0712" w:rsidRDefault="00111D0D" w:rsidP="00111D0D">
            <w:pPr>
              <w:pStyle w:val="TableBlock"/>
              <w:rPr>
                <w:rtl/>
              </w:rPr>
            </w:pPr>
            <w:r>
              <w:rPr>
                <w:rFonts w:hint="cs"/>
                <w:rtl/>
              </w:rPr>
              <w:t>(א)</w:t>
            </w:r>
            <w:r>
              <w:rPr>
                <w:rtl/>
              </w:rPr>
              <w:tab/>
            </w:r>
            <w:r w:rsidRPr="006B0712">
              <w:rPr>
                <w:rtl/>
              </w:rPr>
              <w:t>יושב ראש הכנסת ימנה ועדה ציבורית, אשר תבדוק את כשירותם ואת התאמתם של מועמדים למשרת הנציב ותמליץ לפניו על שניים עד ארבעה מהם, תוך ציון מספר חברי הועדה שתמכו במועמדותו של כל אחד מהם, ורשאית היא לצרף את הערותיה לגביהם; שמות המועמדים שעליהם המליצה ה</w:t>
            </w:r>
            <w:r>
              <w:rPr>
                <w:rFonts w:hint="cs"/>
                <w:rtl/>
              </w:rPr>
              <w:t>ו</w:t>
            </w:r>
            <w:r w:rsidRPr="006B0712">
              <w:rPr>
                <w:rtl/>
              </w:rPr>
              <w:t>ועדה יפ</w:t>
            </w:r>
            <w:r>
              <w:rPr>
                <w:rtl/>
              </w:rPr>
              <w:t>ורסמו ברשומות</w:t>
            </w:r>
            <w:r>
              <w:rPr>
                <w:rFonts w:hint="cs"/>
                <w:rtl/>
              </w:rPr>
              <w:t>.</w:t>
            </w:r>
          </w:p>
        </w:tc>
      </w:tr>
      <w:tr w:rsidR="00111D0D" w14:paraId="4CEEF77E" w14:textId="77777777" w:rsidTr="009371A1">
        <w:trPr>
          <w:cantSplit/>
          <w:trHeight w:val="60"/>
        </w:trPr>
        <w:tc>
          <w:tcPr>
            <w:tcW w:w="1871" w:type="dxa"/>
          </w:tcPr>
          <w:p w14:paraId="1FA0C166" w14:textId="77777777" w:rsidR="00111D0D" w:rsidRDefault="00111D0D" w:rsidP="00111D0D">
            <w:pPr>
              <w:pStyle w:val="TableSideHeading"/>
              <w:keepLines w:val="0"/>
              <w:jc w:val="center"/>
              <w:rPr>
                <w:rtl/>
              </w:rPr>
            </w:pPr>
          </w:p>
        </w:tc>
        <w:tc>
          <w:tcPr>
            <w:tcW w:w="624" w:type="dxa"/>
          </w:tcPr>
          <w:p w14:paraId="75281A6D" w14:textId="77777777" w:rsidR="00111D0D" w:rsidRDefault="00111D0D" w:rsidP="00111D0D">
            <w:pPr>
              <w:pStyle w:val="TableText"/>
              <w:rPr>
                <w:rtl/>
              </w:rPr>
            </w:pPr>
          </w:p>
        </w:tc>
        <w:tc>
          <w:tcPr>
            <w:tcW w:w="7146" w:type="dxa"/>
            <w:gridSpan w:val="2"/>
          </w:tcPr>
          <w:p w14:paraId="1E8AC687" w14:textId="6AED7929" w:rsidR="00111D0D" w:rsidRDefault="00111D0D" w:rsidP="00111D0D">
            <w:pPr>
              <w:pStyle w:val="TableBlock"/>
              <w:rPr>
                <w:rtl/>
              </w:rPr>
            </w:pPr>
            <w:r>
              <w:rPr>
                <w:rFonts w:hint="cs"/>
                <w:rtl/>
              </w:rPr>
              <w:t>(ב)</w:t>
            </w:r>
            <w:r>
              <w:rPr>
                <w:rtl/>
              </w:rPr>
              <w:tab/>
            </w:r>
            <w:r w:rsidRPr="006B0712">
              <w:rPr>
                <w:rtl/>
              </w:rPr>
              <w:t>ה</w:t>
            </w:r>
            <w:r>
              <w:rPr>
                <w:rFonts w:hint="cs"/>
                <w:rtl/>
              </w:rPr>
              <w:t>ו</w:t>
            </w:r>
            <w:r w:rsidRPr="006B0712">
              <w:rPr>
                <w:rtl/>
              </w:rPr>
              <w:t>ועדה הציבורית תהיה בת שבעה חברים, וזה הרכבה:</w:t>
            </w:r>
          </w:p>
        </w:tc>
      </w:tr>
      <w:tr w:rsidR="00111D0D" w14:paraId="63887978" w14:textId="77777777">
        <w:trPr>
          <w:cantSplit/>
          <w:trHeight w:val="60"/>
        </w:trPr>
        <w:tc>
          <w:tcPr>
            <w:tcW w:w="1871" w:type="dxa"/>
          </w:tcPr>
          <w:p w14:paraId="5F88D67A" w14:textId="77777777" w:rsidR="00111D0D" w:rsidRDefault="00111D0D" w:rsidP="00111D0D">
            <w:pPr>
              <w:pStyle w:val="TableSideHeading"/>
            </w:pPr>
          </w:p>
        </w:tc>
        <w:tc>
          <w:tcPr>
            <w:tcW w:w="624" w:type="dxa"/>
          </w:tcPr>
          <w:p w14:paraId="1F98E209" w14:textId="77777777" w:rsidR="00111D0D" w:rsidRDefault="00111D0D" w:rsidP="00111D0D">
            <w:pPr>
              <w:pStyle w:val="TableText"/>
            </w:pPr>
          </w:p>
        </w:tc>
        <w:tc>
          <w:tcPr>
            <w:tcW w:w="624" w:type="dxa"/>
          </w:tcPr>
          <w:p w14:paraId="47243355" w14:textId="77777777" w:rsidR="00111D0D" w:rsidRDefault="00111D0D" w:rsidP="00111D0D">
            <w:pPr>
              <w:pStyle w:val="TableText"/>
            </w:pPr>
          </w:p>
        </w:tc>
        <w:tc>
          <w:tcPr>
            <w:tcW w:w="6522" w:type="dxa"/>
          </w:tcPr>
          <w:p w14:paraId="52D22955" w14:textId="444A85B7" w:rsidR="00111D0D" w:rsidRDefault="00111D0D" w:rsidP="00111D0D">
            <w:pPr>
              <w:pStyle w:val="TableBlock"/>
            </w:pPr>
            <w:r>
              <w:rPr>
                <w:rFonts w:hint="cs"/>
                <w:rtl/>
              </w:rPr>
              <w:t>(1)</w:t>
            </w:r>
            <w:r>
              <w:rPr>
                <w:rtl/>
              </w:rPr>
              <w:tab/>
            </w:r>
            <w:r w:rsidRPr="006B0712">
              <w:rPr>
                <w:rtl/>
              </w:rPr>
              <w:t>שופט של בית המשפט העליון בדימוס שימנה נשיא בית המשפט העליון והוא יהיה היושב ראש;</w:t>
            </w:r>
          </w:p>
        </w:tc>
      </w:tr>
      <w:tr w:rsidR="00111D0D" w14:paraId="1A41B8A1" w14:textId="77777777">
        <w:trPr>
          <w:cantSplit/>
          <w:trHeight w:val="60"/>
        </w:trPr>
        <w:tc>
          <w:tcPr>
            <w:tcW w:w="1871" w:type="dxa"/>
          </w:tcPr>
          <w:p w14:paraId="6338DB5F" w14:textId="77777777" w:rsidR="00111D0D" w:rsidRDefault="00111D0D" w:rsidP="00111D0D">
            <w:pPr>
              <w:pStyle w:val="TableSideHeading"/>
            </w:pPr>
          </w:p>
        </w:tc>
        <w:tc>
          <w:tcPr>
            <w:tcW w:w="624" w:type="dxa"/>
          </w:tcPr>
          <w:p w14:paraId="1744B204" w14:textId="77777777" w:rsidR="00111D0D" w:rsidRDefault="00111D0D" w:rsidP="00111D0D">
            <w:pPr>
              <w:pStyle w:val="TableText"/>
            </w:pPr>
          </w:p>
        </w:tc>
        <w:tc>
          <w:tcPr>
            <w:tcW w:w="624" w:type="dxa"/>
          </w:tcPr>
          <w:p w14:paraId="416E0983" w14:textId="77777777" w:rsidR="00111D0D" w:rsidRDefault="00111D0D" w:rsidP="00111D0D">
            <w:pPr>
              <w:pStyle w:val="TableText"/>
            </w:pPr>
          </w:p>
        </w:tc>
        <w:tc>
          <w:tcPr>
            <w:tcW w:w="6522" w:type="dxa"/>
          </w:tcPr>
          <w:p w14:paraId="356FBA10" w14:textId="334E1B26" w:rsidR="00111D0D" w:rsidRDefault="00111D0D" w:rsidP="00111D0D">
            <w:pPr>
              <w:pStyle w:val="TableBlock"/>
              <w:rPr>
                <w:rtl/>
              </w:rPr>
            </w:pPr>
            <w:r>
              <w:rPr>
                <w:rFonts w:hint="cs"/>
                <w:rtl/>
              </w:rPr>
              <w:t>(2)</w:t>
            </w:r>
            <w:r>
              <w:rPr>
                <w:rtl/>
              </w:rPr>
              <w:tab/>
            </w:r>
            <w:r w:rsidRPr="006B0712">
              <w:rPr>
                <w:rtl/>
              </w:rPr>
              <w:t>שלושה חברי הכנסת, והם: יושב ראש ועדת הכנסת, יושב ראש ועדת החוקה חוק ומשפט של הכנסת ויושב ראש ה</w:t>
            </w:r>
            <w:r>
              <w:rPr>
                <w:rFonts w:hint="cs"/>
                <w:rtl/>
              </w:rPr>
              <w:t>ו</w:t>
            </w:r>
            <w:r w:rsidRPr="006B0712">
              <w:rPr>
                <w:rtl/>
              </w:rPr>
              <w:t>ועדה לענייני ביקורת המדינה של הכנסת;</w:t>
            </w:r>
          </w:p>
        </w:tc>
      </w:tr>
      <w:tr w:rsidR="00111D0D" w14:paraId="28AB7E79" w14:textId="77777777">
        <w:trPr>
          <w:cantSplit/>
          <w:trHeight w:val="60"/>
        </w:trPr>
        <w:tc>
          <w:tcPr>
            <w:tcW w:w="1871" w:type="dxa"/>
          </w:tcPr>
          <w:p w14:paraId="735865DB" w14:textId="77777777" w:rsidR="00111D0D" w:rsidRDefault="00111D0D" w:rsidP="00111D0D">
            <w:pPr>
              <w:pStyle w:val="TableSideHeading"/>
            </w:pPr>
          </w:p>
        </w:tc>
        <w:tc>
          <w:tcPr>
            <w:tcW w:w="624" w:type="dxa"/>
          </w:tcPr>
          <w:p w14:paraId="21487DF8" w14:textId="77777777" w:rsidR="00111D0D" w:rsidRDefault="00111D0D" w:rsidP="00111D0D">
            <w:pPr>
              <w:pStyle w:val="TableText"/>
            </w:pPr>
          </w:p>
        </w:tc>
        <w:tc>
          <w:tcPr>
            <w:tcW w:w="624" w:type="dxa"/>
          </w:tcPr>
          <w:p w14:paraId="75154CDC" w14:textId="77777777" w:rsidR="00111D0D" w:rsidRDefault="00111D0D" w:rsidP="00111D0D">
            <w:pPr>
              <w:pStyle w:val="TableText"/>
            </w:pPr>
          </w:p>
        </w:tc>
        <w:tc>
          <w:tcPr>
            <w:tcW w:w="6522" w:type="dxa"/>
          </w:tcPr>
          <w:p w14:paraId="4D3295D9" w14:textId="412079DD" w:rsidR="00111D0D" w:rsidRDefault="00111D0D" w:rsidP="00111D0D">
            <w:pPr>
              <w:pStyle w:val="TableBlock"/>
              <w:rPr>
                <w:rtl/>
              </w:rPr>
            </w:pPr>
            <w:r>
              <w:rPr>
                <w:rFonts w:hint="cs"/>
                <w:rtl/>
              </w:rPr>
              <w:t>(3)</w:t>
            </w:r>
            <w:r>
              <w:rPr>
                <w:rtl/>
              </w:rPr>
              <w:tab/>
            </w:r>
            <w:r w:rsidRPr="006B0712">
              <w:rPr>
                <w:rtl/>
              </w:rPr>
              <w:t>נציב שירות המדינה או נציגו;</w:t>
            </w:r>
          </w:p>
        </w:tc>
      </w:tr>
      <w:tr w:rsidR="00111D0D" w14:paraId="2951040E" w14:textId="77777777">
        <w:trPr>
          <w:cantSplit/>
          <w:trHeight w:val="60"/>
        </w:trPr>
        <w:tc>
          <w:tcPr>
            <w:tcW w:w="1871" w:type="dxa"/>
          </w:tcPr>
          <w:p w14:paraId="626748BC" w14:textId="77777777" w:rsidR="00111D0D" w:rsidRDefault="00111D0D" w:rsidP="00111D0D">
            <w:pPr>
              <w:pStyle w:val="TableSideHeading"/>
            </w:pPr>
          </w:p>
        </w:tc>
        <w:tc>
          <w:tcPr>
            <w:tcW w:w="624" w:type="dxa"/>
          </w:tcPr>
          <w:p w14:paraId="2F5E3D93" w14:textId="77777777" w:rsidR="00111D0D" w:rsidRDefault="00111D0D" w:rsidP="00111D0D">
            <w:pPr>
              <w:pStyle w:val="TableText"/>
            </w:pPr>
          </w:p>
        </w:tc>
        <w:tc>
          <w:tcPr>
            <w:tcW w:w="624" w:type="dxa"/>
          </w:tcPr>
          <w:p w14:paraId="4D6CEBBF" w14:textId="77777777" w:rsidR="00111D0D" w:rsidRDefault="00111D0D" w:rsidP="00111D0D">
            <w:pPr>
              <w:pStyle w:val="TableText"/>
            </w:pPr>
          </w:p>
        </w:tc>
        <w:tc>
          <w:tcPr>
            <w:tcW w:w="6522" w:type="dxa"/>
          </w:tcPr>
          <w:p w14:paraId="669CD2D4" w14:textId="0DCBB4C5" w:rsidR="00111D0D" w:rsidRDefault="00111D0D" w:rsidP="00111D0D">
            <w:pPr>
              <w:pStyle w:val="TableBlock"/>
              <w:rPr>
                <w:rtl/>
              </w:rPr>
            </w:pPr>
            <w:r>
              <w:rPr>
                <w:rFonts w:hint="cs"/>
                <w:rtl/>
              </w:rPr>
              <w:t>(4)</w:t>
            </w:r>
            <w:r>
              <w:rPr>
                <w:rtl/>
              </w:rPr>
              <w:tab/>
            </w:r>
            <w:r w:rsidRPr="006B0712">
              <w:rPr>
                <w:rtl/>
              </w:rPr>
              <w:t>נציג של הארגונים הסביבתיים היציגים</w:t>
            </w:r>
            <w:r>
              <w:rPr>
                <w:rFonts w:hint="cs"/>
                <w:rtl/>
              </w:rPr>
              <w:t xml:space="preserve"> שימנה השר להגנת הסביבה מתוך רשימת מועמדים שיגישו לו הארגונים המנויים בתוספת הראשונה לחוק ייצוג גופים ציבוריים שעניינים בשמירת איכות הסביבה (תיקוני חקיקה), </w:t>
            </w:r>
            <w:proofErr w:type="spellStart"/>
            <w:r>
              <w:rPr>
                <w:rFonts w:hint="cs"/>
                <w:rtl/>
              </w:rPr>
              <w:t>התשס"ג</w:t>
            </w:r>
            <w:proofErr w:type="spellEnd"/>
            <w:r>
              <w:rPr>
                <w:rFonts w:hint="cs"/>
                <w:rtl/>
              </w:rPr>
              <w:t>–2002</w:t>
            </w:r>
            <w:r>
              <w:rPr>
                <w:rStyle w:val="a6"/>
                <w:rtl/>
              </w:rPr>
              <w:footnoteReference w:id="2"/>
            </w:r>
            <w:r>
              <w:rPr>
                <w:rFonts w:hint="cs"/>
                <w:rtl/>
              </w:rPr>
              <w:t xml:space="preserve">; </w:t>
            </w:r>
          </w:p>
        </w:tc>
      </w:tr>
      <w:tr w:rsidR="00111D0D" w14:paraId="2638E00E" w14:textId="77777777">
        <w:trPr>
          <w:cantSplit/>
          <w:trHeight w:val="60"/>
        </w:trPr>
        <w:tc>
          <w:tcPr>
            <w:tcW w:w="1871" w:type="dxa"/>
          </w:tcPr>
          <w:p w14:paraId="111F3ACB" w14:textId="77777777" w:rsidR="00111D0D" w:rsidRDefault="00111D0D" w:rsidP="00111D0D">
            <w:pPr>
              <w:pStyle w:val="TableSideHeading"/>
            </w:pPr>
          </w:p>
        </w:tc>
        <w:tc>
          <w:tcPr>
            <w:tcW w:w="624" w:type="dxa"/>
          </w:tcPr>
          <w:p w14:paraId="761F2DB2" w14:textId="77777777" w:rsidR="00111D0D" w:rsidRDefault="00111D0D" w:rsidP="00111D0D">
            <w:pPr>
              <w:pStyle w:val="TableText"/>
            </w:pPr>
          </w:p>
        </w:tc>
        <w:tc>
          <w:tcPr>
            <w:tcW w:w="624" w:type="dxa"/>
          </w:tcPr>
          <w:p w14:paraId="25290F76" w14:textId="77777777" w:rsidR="00111D0D" w:rsidRDefault="00111D0D" w:rsidP="00111D0D">
            <w:pPr>
              <w:pStyle w:val="TableText"/>
            </w:pPr>
          </w:p>
        </w:tc>
        <w:tc>
          <w:tcPr>
            <w:tcW w:w="6522" w:type="dxa"/>
          </w:tcPr>
          <w:p w14:paraId="3342D6D8" w14:textId="223B9681" w:rsidR="00111D0D" w:rsidRDefault="00111D0D" w:rsidP="00111D0D">
            <w:pPr>
              <w:pStyle w:val="TableBlock"/>
              <w:rPr>
                <w:rtl/>
              </w:rPr>
            </w:pPr>
            <w:r>
              <w:rPr>
                <w:rFonts w:hint="cs"/>
                <w:rtl/>
              </w:rPr>
              <w:t>(5)</w:t>
            </w:r>
            <w:r>
              <w:rPr>
                <w:rtl/>
              </w:rPr>
              <w:tab/>
            </w:r>
            <w:r w:rsidRPr="006B0712">
              <w:rPr>
                <w:rtl/>
              </w:rPr>
              <w:t>חבר הסגל האקדמי של מוסד להשכלה גבוהה המומחה בתחומי המשפט הציבורי, שייבחר בידי הדיקנים של הפקולטות למשפטים ובעלי תפקידים מקבילים להם, במוסדות להשכלה גבוהה המקיימים לימודי משפטים; לעניין זה, "מוסד להשכלה גבוהה" – מוסד שהוכר או שקיבל היתר לפי</w:t>
            </w:r>
            <w:r>
              <w:rPr>
                <w:rtl/>
              </w:rPr>
              <w:t xml:space="preserve"> חוק המועצה להשכלה גבוהה, </w:t>
            </w:r>
            <w:proofErr w:type="spellStart"/>
            <w:r w:rsidR="008B29D2">
              <w:rPr>
                <w:rFonts w:hint="cs"/>
                <w:rtl/>
              </w:rPr>
              <w:t>ה</w:t>
            </w:r>
            <w:r>
              <w:rPr>
                <w:rtl/>
              </w:rPr>
              <w:t>תשי"ח</w:t>
            </w:r>
            <w:proofErr w:type="spellEnd"/>
            <w:r>
              <w:rPr>
                <w:rFonts w:hint="cs"/>
                <w:rtl/>
              </w:rPr>
              <w:t>–</w:t>
            </w:r>
            <w:r w:rsidRPr="006B0712">
              <w:rPr>
                <w:rtl/>
              </w:rPr>
              <w:t>1958</w:t>
            </w:r>
            <w:r>
              <w:rPr>
                <w:rStyle w:val="a6"/>
                <w:rtl/>
              </w:rPr>
              <w:footnoteReference w:id="3"/>
            </w:r>
            <w:r w:rsidRPr="006B0712">
              <w:rPr>
                <w:rtl/>
              </w:rPr>
              <w:t>.</w:t>
            </w:r>
          </w:p>
        </w:tc>
      </w:tr>
      <w:tr w:rsidR="00111D0D" w14:paraId="297A771D" w14:textId="77777777" w:rsidTr="009371A1">
        <w:trPr>
          <w:cantSplit/>
          <w:trHeight w:val="60"/>
        </w:trPr>
        <w:tc>
          <w:tcPr>
            <w:tcW w:w="1871" w:type="dxa"/>
          </w:tcPr>
          <w:p w14:paraId="5C6F573B" w14:textId="77777777" w:rsidR="00111D0D" w:rsidRDefault="00111D0D" w:rsidP="00111D0D">
            <w:pPr>
              <w:pStyle w:val="TableSideHeading"/>
            </w:pPr>
            <w:r w:rsidRPr="00ED1531">
              <w:rPr>
                <w:rtl/>
              </w:rPr>
              <w:t>סדרי עבודת הוועדה הציבורית</w:t>
            </w:r>
          </w:p>
        </w:tc>
        <w:tc>
          <w:tcPr>
            <w:tcW w:w="624" w:type="dxa"/>
          </w:tcPr>
          <w:p w14:paraId="3672546F" w14:textId="77777777" w:rsidR="00111D0D" w:rsidRDefault="00111D0D" w:rsidP="00111D0D">
            <w:pPr>
              <w:pStyle w:val="TableText"/>
            </w:pPr>
            <w:r>
              <w:rPr>
                <w:rFonts w:hint="cs"/>
                <w:rtl/>
              </w:rPr>
              <w:t>7.</w:t>
            </w:r>
          </w:p>
        </w:tc>
        <w:tc>
          <w:tcPr>
            <w:tcW w:w="7146" w:type="dxa"/>
            <w:gridSpan w:val="2"/>
          </w:tcPr>
          <w:p w14:paraId="5B1E0389" w14:textId="56744104" w:rsidR="00111D0D" w:rsidRPr="00C34DE2" w:rsidRDefault="00111D0D" w:rsidP="00111D0D">
            <w:pPr>
              <w:pStyle w:val="TableBlock"/>
            </w:pPr>
            <w:r w:rsidRPr="00ED1531">
              <w:rPr>
                <w:rtl/>
              </w:rPr>
              <w:t>הו</w:t>
            </w:r>
            <w:r>
              <w:rPr>
                <w:rFonts w:hint="cs"/>
                <w:rtl/>
              </w:rPr>
              <w:t>ו</w:t>
            </w:r>
            <w:r w:rsidRPr="00ED1531">
              <w:rPr>
                <w:rtl/>
              </w:rPr>
              <w:t>עדה הציבורית תקבע את הדרכים להגשת מועמדות לתפקיד הנציב וכן את סדרי עבודתה ואת נוהלי בדיקת המועמדים, ובלבד שהחלטתה להמליץ בפני יושב ראש הכנסת על מועמד למשרת הנציב תתקבל ברוב של לפחות ארבעה מחבריה.</w:t>
            </w:r>
          </w:p>
        </w:tc>
      </w:tr>
      <w:tr w:rsidR="00111D0D" w14:paraId="40C6B6AD" w14:textId="77777777" w:rsidTr="009371A1">
        <w:trPr>
          <w:cantSplit/>
          <w:trHeight w:val="60"/>
        </w:trPr>
        <w:tc>
          <w:tcPr>
            <w:tcW w:w="1871" w:type="dxa"/>
          </w:tcPr>
          <w:p w14:paraId="5A384CEE" w14:textId="77777777" w:rsidR="00111D0D" w:rsidRDefault="00111D0D" w:rsidP="00111D0D">
            <w:pPr>
              <w:pStyle w:val="TableSideHeading"/>
            </w:pPr>
            <w:r w:rsidRPr="00ED1531">
              <w:rPr>
                <w:rtl/>
              </w:rPr>
              <w:t>משך כהונה</w:t>
            </w:r>
          </w:p>
        </w:tc>
        <w:tc>
          <w:tcPr>
            <w:tcW w:w="624" w:type="dxa"/>
          </w:tcPr>
          <w:p w14:paraId="3CEC258C" w14:textId="77777777" w:rsidR="00111D0D" w:rsidRDefault="00111D0D" w:rsidP="00111D0D">
            <w:pPr>
              <w:pStyle w:val="TableText"/>
            </w:pPr>
            <w:r>
              <w:rPr>
                <w:rFonts w:hint="cs"/>
                <w:rtl/>
              </w:rPr>
              <w:t>8.</w:t>
            </w:r>
          </w:p>
        </w:tc>
        <w:tc>
          <w:tcPr>
            <w:tcW w:w="7146" w:type="dxa"/>
            <w:gridSpan w:val="2"/>
          </w:tcPr>
          <w:p w14:paraId="4A693297" w14:textId="00DBD75A" w:rsidR="00111D0D" w:rsidRPr="00ED1531" w:rsidRDefault="00111D0D" w:rsidP="00111D0D">
            <w:pPr>
              <w:pStyle w:val="TableBlock"/>
              <w:rPr>
                <w:rtl/>
              </w:rPr>
            </w:pPr>
            <w:r w:rsidRPr="00ED1531">
              <w:rPr>
                <w:rtl/>
              </w:rPr>
              <w:t xml:space="preserve">תקופת כהונתו של הנציב תהיה </w:t>
            </w:r>
            <w:r>
              <w:rPr>
                <w:rFonts w:hint="cs"/>
                <w:rtl/>
              </w:rPr>
              <w:t>שבע</w:t>
            </w:r>
            <w:r w:rsidRPr="00ED1531">
              <w:rPr>
                <w:rtl/>
              </w:rPr>
              <w:t xml:space="preserve"> שנים מיום מינויו</w:t>
            </w:r>
            <w:r>
              <w:rPr>
                <w:rFonts w:hint="cs"/>
                <w:rtl/>
              </w:rPr>
              <w:t>; הנציב יכהן תקופה אחת בלבד.</w:t>
            </w:r>
            <w:r w:rsidRPr="00ED1531" w:rsidDel="003B6AC6">
              <w:rPr>
                <w:rtl/>
              </w:rPr>
              <w:t xml:space="preserve"> </w:t>
            </w:r>
          </w:p>
        </w:tc>
      </w:tr>
      <w:tr w:rsidR="00111D0D" w14:paraId="44CE4A94" w14:textId="77777777" w:rsidTr="009371A1">
        <w:trPr>
          <w:cantSplit/>
          <w:trHeight w:val="60"/>
        </w:trPr>
        <w:tc>
          <w:tcPr>
            <w:tcW w:w="1871" w:type="dxa"/>
          </w:tcPr>
          <w:p w14:paraId="225AF34D" w14:textId="77777777" w:rsidR="00111D0D" w:rsidRPr="00ED1531" w:rsidRDefault="00111D0D" w:rsidP="00111D0D">
            <w:pPr>
              <w:pStyle w:val="TableSideHeading"/>
              <w:rPr>
                <w:rtl/>
              </w:rPr>
            </w:pPr>
            <w:r w:rsidRPr="00ED1531">
              <w:rPr>
                <w:rtl/>
              </w:rPr>
              <w:t>הגבלת פעילות</w:t>
            </w:r>
          </w:p>
        </w:tc>
        <w:tc>
          <w:tcPr>
            <w:tcW w:w="624" w:type="dxa"/>
          </w:tcPr>
          <w:p w14:paraId="16348C65" w14:textId="77777777" w:rsidR="00111D0D" w:rsidRDefault="00111D0D" w:rsidP="00111D0D">
            <w:pPr>
              <w:pStyle w:val="TableText"/>
              <w:rPr>
                <w:rtl/>
              </w:rPr>
            </w:pPr>
            <w:r>
              <w:rPr>
                <w:rFonts w:hint="cs"/>
                <w:rtl/>
              </w:rPr>
              <w:t>9.</w:t>
            </w:r>
          </w:p>
        </w:tc>
        <w:tc>
          <w:tcPr>
            <w:tcW w:w="7146" w:type="dxa"/>
            <w:gridSpan w:val="2"/>
          </w:tcPr>
          <w:p w14:paraId="78FAB3BD" w14:textId="77777777" w:rsidR="00111D0D" w:rsidRPr="00ED1531" w:rsidRDefault="00111D0D" w:rsidP="00111D0D">
            <w:pPr>
              <w:pStyle w:val="TableBlock"/>
              <w:rPr>
                <w:rtl/>
              </w:rPr>
            </w:pPr>
            <w:r w:rsidRPr="00ED1531">
              <w:rPr>
                <w:rtl/>
              </w:rPr>
              <w:t>במהלך תקופת כהונתו ובשנה שלאחריה, לא יהיה הנציב פעיל בחיים הפוליטיים ולא יהיה חבר במפלגה כלשהי.</w:t>
            </w:r>
          </w:p>
        </w:tc>
      </w:tr>
      <w:tr w:rsidR="00111D0D" w14:paraId="4049EE21" w14:textId="77777777" w:rsidTr="009371A1">
        <w:trPr>
          <w:cantSplit/>
          <w:trHeight w:val="60"/>
        </w:trPr>
        <w:tc>
          <w:tcPr>
            <w:tcW w:w="1871" w:type="dxa"/>
          </w:tcPr>
          <w:p w14:paraId="4A0AFA35" w14:textId="21843169" w:rsidR="00111D0D" w:rsidRPr="00ED1531" w:rsidRDefault="00111D0D" w:rsidP="00111D0D">
            <w:pPr>
              <w:pStyle w:val="TableSideHeading"/>
              <w:rPr>
                <w:rtl/>
              </w:rPr>
            </w:pPr>
            <w:r w:rsidRPr="00ED1531">
              <w:rPr>
                <w:rtl/>
              </w:rPr>
              <w:t>שכר וגמלאות</w:t>
            </w:r>
          </w:p>
        </w:tc>
        <w:tc>
          <w:tcPr>
            <w:tcW w:w="624" w:type="dxa"/>
          </w:tcPr>
          <w:p w14:paraId="222DA9D5" w14:textId="3F0C9F72" w:rsidR="00111D0D" w:rsidRDefault="00111D0D" w:rsidP="00111D0D">
            <w:pPr>
              <w:pStyle w:val="TableText"/>
              <w:rPr>
                <w:rtl/>
              </w:rPr>
            </w:pPr>
            <w:r>
              <w:rPr>
                <w:rFonts w:hint="cs"/>
                <w:rtl/>
              </w:rPr>
              <w:t>10.</w:t>
            </w:r>
          </w:p>
        </w:tc>
        <w:tc>
          <w:tcPr>
            <w:tcW w:w="7146" w:type="dxa"/>
            <w:gridSpan w:val="2"/>
          </w:tcPr>
          <w:p w14:paraId="4CD91D68" w14:textId="53DAAD22" w:rsidR="00111D0D" w:rsidRPr="00ED1531" w:rsidRDefault="00111D0D" w:rsidP="00111D0D">
            <w:pPr>
              <w:pStyle w:val="TableBlock"/>
              <w:rPr>
                <w:rtl/>
              </w:rPr>
            </w:pPr>
            <w:r w:rsidRPr="00ED1531">
              <w:rPr>
                <w:rtl/>
              </w:rPr>
              <w:t>שכרו של הנציב ייקבע על ידי יושב ראש הכנסת, באישור ועדת הכנסת</w:t>
            </w:r>
            <w:r>
              <w:rPr>
                <w:rFonts w:hint="cs"/>
                <w:rtl/>
              </w:rPr>
              <w:t>.</w:t>
            </w:r>
          </w:p>
        </w:tc>
      </w:tr>
      <w:tr w:rsidR="00111D0D" w14:paraId="43A5C7CA" w14:textId="77777777" w:rsidTr="009371A1">
        <w:trPr>
          <w:cantSplit/>
          <w:trHeight w:val="60"/>
        </w:trPr>
        <w:tc>
          <w:tcPr>
            <w:tcW w:w="1871" w:type="dxa"/>
          </w:tcPr>
          <w:p w14:paraId="48E94435" w14:textId="77777777" w:rsidR="00111D0D" w:rsidRPr="00ED1531" w:rsidRDefault="00111D0D" w:rsidP="00111D0D">
            <w:pPr>
              <w:pStyle w:val="TableSideHeading"/>
              <w:rPr>
                <w:rtl/>
              </w:rPr>
            </w:pPr>
            <w:r w:rsidRPr="00ED1531">
              <w:rPr>
                <w:rtl/>
              </w:rPr>
              <w:t>תום כהונה</w:t>
            </w:r>
          </w:p>
        </w:tc>
        <w:tc>
          <w:tcPr>
            <w:tcW w:w="624" w:type="dxa"/>
          </w:tcPr>
          <w:p w14:paraId="37EA6F49" w14:textId="77777777" w:rsidR="00111D0D" w:rsidRDefault="00111D0D" w:rsidP="00111D0D">
            <w:pPr>
              <w:pStyle w:val="TableText"/>
              <w:rPr>
                <w:rtl/>
              </w:rPr>
            </w:pPr>
            <w:r>
              <w:rPr>
                <w:rFonts w:hint="cs"/>
                <w:rtl/>
              </w:rPr>
              <w:t>11.</w:t>
            </w:r>
          </w:p>
        </w:tc>
        <w:tc>
          <w:tcPr>
            <w:tcW w:w="7146" w:type="dxa"/>
            <w:gridSpan w:val="2"/>
          </w:tcPr>
          <w:p w14:paraId="37BC08AE" w14:textId="3E789982" w:rsidR="00111D0D" w:rsidRPr="00ED1531" w:rsidRDefault="00111D0D" w:rsidP="00111D0D">
            <w:pPr>
              <w:pStyle w:val="TableBlock"/>
              <w:rPr>
                <w:rtl/>
              </w:rPr>
            </w:pPr>
            <w:r w:rsidRPr="00ED1531">
              <w:rPr>
                <w:rtl/>
              </w:rPr>
              <w:t>כהונת הנציב פוקעת</w:t>
            </w:r>
            <w:r>
              <w:rPr>
                <w:rFonts w:hint="cs"/>
                <w:rtl/>
              </w:rPr>
              <w:t xml:space="preserve"> בהתקיים אחד או יותר מהמצבים הבאים</w:t>
            </w:r>
            <w:r w:rsidR="00362514">
              <w:rPr>
                <w:rFonts w:hint="cs"/>
                <w:rtl/>
              </w:rPr>
              <w:t>:</w:t>
            </w:r>
          </w:p>
        </w:tc>
      </w:tr>
      <w:tr w:rsidR="001F00B9" w14:paraId="53797B99" w14:textId="77777777" w:rsidTr="00053B54">
        <w:trPr>
          <w:cantSplit/>
          <w:trHeight w:val="60"/>
        </w:trPr>
        <w:tc>
          <w:tcPr>
            <w:tcW w:w="1871" w:type="dxa"/>
          </w:tcPr>
          <w:p w14:paraId="49EE5C49" w14:textId="77777777" w:rsidR="001F00B9" w:rsidRDefault="001F00B9" w:rsidP="00111D0D">
            <w:pPr>
              <w:pStyle w:val="TableSideHeading"/>
            </w:pPr>
          </w:p>
        </w:tc>
        <w:tc>
          <w:tcPr>
            <w:tcW w:w="624" w:type="dxa"/>
          </w:tcPr>
          <w:p w14:paraId="5857366F" w14:textId="77777777" w:rsidR="001F00B9" w:rsidRDefault="001F00B9" w:rsidP="00111D0D">
            <w:pPr>
              <w:pStyle w:val="TableText"/>
            </w:pPr>
          </w:p>
        </w:tc>
        <w:tc>
          <w:tcPr>
            <w:tcW w:w="7146" w:type="dxa"/>
            <w:gridSpan w:val="2"/>
          </w:tcPr>
          <w:p w14:paraId="5E5A90FF" w14:textId="77777777" w:rsidR="001F00B9" w:rsidRDefault="001F00B9" w:rsidP="00111D0D">
            <w:pPr>
              <w:pStyle w:val="TableBlock"/>
            </w:pPr>
            <w:r>
              <w:rPr>
                <w:rFonts w:hint="cs"/>
                <w:rtl/>
              </w:rPr>
              <w:t>(1)</w:t>
            </w:r>
            <w:r>
              <w:rPr>
                <w:rtl/>
              </w:rPr>
              <w:tab/>
            </w:r>
            <w:r w:rsidRPr="00ED1531">
              <w:rPr>
                <w:rtl/>
              </w:rPr>
              <w:t>בתום תקופתה</w:t>
            </w:r>
            <w:r>
              <w:rPr>
                <w:rFonts w:hint="cs"/>
                <w:rtl/>
              </w:rPr>
              <w:t>;</w:t>
            </w:r>
          </w:p>
        </w:tc>
      </w:tr>
      <w:tr w:rsidR="001F00B9" w14:paraId="2360E3F9" w14:textId="77777777" w:rsidTr="0006653A">
        <w:trPr>
          <w:cantSplit/>
          <w:trHeight w:val="60"/>
        </w:trPr>
        <w:tc>
          <w:tcPr>
            <w:tcW w:w="1871" w:type="dxa"/>
          </w:tcPr>
          <w:p w14:paraId="76878B2C" w14:textId="77777777" w:rsidR="001F00B9" w:rsidRDefault="001F00B9" w:rsidP="00111D0D">
            <w:pPr>
              <w:pStyle w:val="TableSideHeading"/>
            </w:pPr>
          </w:p>
        </w:tc>
        <w:tc>
          <w:tcPr>
            <w:tcW w:w="624" w:type="dxa"/>
          </w:tcPr>
          <w:p w14:paraId="48F31B15" w14:textId="77777777" w:rsidR="001F00B9" w:rsidRDefault="001F00B9" w:rsidP="00111D0D">
            <w:pPr>
              <w:pStyle w:val="TableText"/>
            </w:pPr>
          </w:p>
        </w:tc>
        <w:tc>
          <w:tcPr>
            <w:tcW w:w="7146" w:type="dxa"/>
            <w:gridSpan w:val="2"/>
          </w:tcPr>
          <w:p w14:paraId="37F093BF" w14:textId="77777777" w:rsidR="001F00B9" w:rsidRDefault="001F00B9" w:rsidP="00111D0D">
            <w:pPr>
              <w:pStyle w:val="TableBlock"/>
              <w:rPr>
                <w:rtl/>
              </w:rPr>
            </w:pPr>
            <w:r>
              <w:rPr>
                <w:rFonts w:hint="cs"/>
                <w:rtl/>
              </w:rPr>
              <w:t>(2)</w:t>
            </w:r>
            <w:r>
              <w:rPr>
                <w:rtl/>
              </w:rPr>
              <w:tab/>
            </w:r>
            <w:r w:rsidRPr="00ED1531">
              <w:rPr>
                <w:rtl/>
              </w:rPr>
              <w:t>בפטירתו או התפטרותו</w:t>
            </w:r>
            <w:r>
              <w:rPr>
                <w:rFonts w:hint="cs"/>
                <w:rtl/>
              </w:rPr>
              <w:t>;</w:t>
            </w:r>
          </w:p>
        </w:tc>
      </w:tr>
      <w:tr w:rsidR="001F00B9" w14:paraId="081B3407" w14:textId="77777777" w:rsidTr="00D03530">
        <w:trPr>
          <w:cantSplit/>
          <w:trHeight w:val="60"/>
        </w:trPr>
        <w:tc>
          <w:tcPr>
            <w:tcW w:w="1871" w:type="dxa"/>
          </w:tcPr>
          <w:p w14:paraId="57169C46" w14:textId="77777777" w:rsidR="001F00B9" w:rsidRDefault="001F00B9" w:rsidP="00111D0D">
            <w:pPr>
              <w:pStyle w:val="TableSideHeading"/>
            </w:pPr>
          </w:p>
        </w:tc>
        <w:tc>
          <w:tcPr>
            <w:tcW w:w="624" w:type="dxa"/>
          </w:tcPr>
          <w:p w14:paraId="19761AF3" w14:textId="77777777" w:rsidR="001F00B9" w:rsidRDefault="001F00B9" w:rsidP="00111D0D">
            <w:pPr>
              <w:pStyle w:val="TableText"/>
            </w:pPr>
          </w:p>
        </w:tc>
        <w:tc>
          <w:tcPr>
            <w:tcW w:w="7146" w:type="dxa"/>
            <w:gridSpan w:val="2"/>
          </w:tcPr>
          <w:p w14:paraId="5C4CC47F" w14:textId="77777777" w:rsidR="001F00B9" w:rsidRDefault="001F00B9" w:rsidP="00111D0D">
            <w:pPr>
              <w:pStyle w:val="TableBlock"/>
              <w:rPr>
                <w:rtl/>
              </w:rPr>
            </w:pPr>
            <w:r>
              <w:rPr>
                <w:rFonts w:hint="cs"/>
                <w:rtl/>
              </w:rPr>
              <w:t>(3)</w:t>
            </w:r>
            <w:r>
              <w:rPr>
                <w:rtl/>
              </w:rPr>
              <w:tab/>
            </w:r>
            <w:r w:rsidRPr="00ED1531">
              <w:rPr>
                <w:rtl/>
              </w:rPr>
              <w:t>בהעברתו מכהונתו</w:t>
            </w:r>
            <w:r>
              <w:rPr>
                <w:rFonts w:hint="cs"/>
                <w:rtl/>
              </w:rPr>
              <w:t>.</w:t>
            </w:r>
          </w:p>
        </w:tc>
      </w:tr>
      <w:tr w:rsidR="00111D0D" w14:paraId="289778CD" w14:textId="77777777">
        <w:trPr>
          <w:cantSplit/>
          <w:trHeight w:val="60"/>
        </w:trPr>
        <w:tc>
          <w:tcPr>
            <w:tcW w:w="1871" w:type="dxa"/>
          </w:tcPr>
          <w:p w14:paraId="052BD209" w14:textId="5CF21821" w:rsidR="00111D0D" w:rsidRDefault="00111D0D" w:rsidP="00111D0D">
            <w:pPr>
              <w:pStyle w:val="TableSideHeading"/>
              <w:keepLines w:val="0"/>
            </w:pPr>
            <w:r w:rsidRPr="00ED1531">
              <w:rPr>
                <w:rtl/>
              </w:rPr>
              <w:t>העברה מכהונה</w:t>
            </w:r>
          </w:p>
        </w:tc>
        <w:tc>
          <w:tcPr>
            <w:tcW w:w="624" w:type="dxa"/>
          </w:tcPr>
          <w:p w14:paraId="7D255372" w14:textId="4E9488C6" w:rsidR="00111D0D" w:rsidRDefault="00111D0D" w:rsidP="00111D0D">
            <w:pPr>
              <w:pStyle w:val="TableText"/>
              <w:keepLines w:val="0"/>
              <w:autoSpaceDE/>
              <w:autoSpaceDN/>
              <w:adjustRightInd/>
              <w:ind w:right="0"/>
              <w:contextualSpacing/>
              <w:textAlignment w:val="auto"/>
            </w:pPr>
            <w:r>
              <w:rPr>
                <w:rFonts w:hint="cs"/>
                <w:rtl/>
              </w:rPr>
              <w:t>12.</w:t>
            </w:r>
          </w:p>
        </w:tc>
        <w:tc>
          <w:tcPr>
            <w:tcW w:w="7146" w:type="dxa"/>
            <w:gridSpan w:val="2"/>
          </w:tcPr>
          <w:p w14:paraId="1BFF34C0" w14:textId="3F341543" w:rsidR="00111D0D" w:rsidRPr="00C34DE2" w:rsidRDefault="00111D0D" w:rsidP="00111D0D">
            <w:pPr>
              <w:pStyle w:val="TableBlock"/>
              <w:keepLines w:val="0"/>
            </w:pPr>
            <w:r>
              <w:rPr>
                <w:rFonts w:hint="cs"/>
                <w:rtl/>
              </w:rPr>
              <w:t>(א)</w:t>
            </w:r>
            <w:r>
              <w:rPr>
                <w:rtl/>
              </w:rPr>
              <w:tab/>
            </w:r>
            <w:r w:rsidRPr="00ED1531">
              <w:rPr>
                <w:rtl/>
              </w:rPr>
              <w:t>יושב ראש הכנסת רשאי, בהסכמת ועדת הכנסת, להעביר את הנציב מכהונתו, בהתקיים אחד מאלה:</w:t>
            </w:r>
          </w:p>
        </w:tc>
      </w:tr>
      <w:tr w:rsidR="00111D0D" w14:paraId="591581A5" w14:textId="77777777">
        <w:trPr>
          <w:cantSplit/>
          <w:trHeight w:val="60"/>
        </w:trPr>
        <w:tc>
          <w:tcPr>
            <w:tcW w:w="1871" w:type="dxa"/>
          </w:tcPr>
          <w:p w14:paraId="3F3EEC60" w14:textId="77777777" w:rsidR="00111D0D" w:rsidRDefault="00111D0D" w:rsidP="00111D0D">
            <w:pPr>
              <w:pStyle w:val="TableSideHeading"/>
            </w:pPr>
          </w:p>
        </w:tc>
        <w:tc>
          <w:tcPr>
            <w:tcW w:w="624" w:type="dxa"/>
          </w:tcPr>
          <w:p w14:paraId="6BFEEDD9" w14:textId="77777777" w:rsidR="00111D0D" w:rsidRDefault="00111D0D" w:rsidP="00111D0D">
            <w:pPr>
              <w:pStyle w:val="TableText"/>
            </w:pPr>
          </w:p>
        </w:tc>
        <w:tc>
          <w:tcPr>
            <w:tcW w:w="624" w:type="dxa"/>
          </w:tcPr>
          <w:p w14:paraId="2DF788E8" w14:textId="77777777" w:rsidR="00111D0D" w:rsidRDefault="00111D0D" w:rsidP="00111D0D">
            <w:pPr>
              <w:pStyle w:val="TableText"/>
            </w:pPr>
          </w:p>
        </w:tc>
        <w:tc>
          <w:tcPr>
            <w:tcW w:w="6522" w:type="dxa"/>
          </w:tcPr>
          <w:p w14:paraId="0C4BF57D" w14:textId="2C5458D3" w:rsidR="00111D0D" w:rsidRDefault="00111D0D" w:rsidP="00111D0D">
            <w:pPr>
              <w:pStyle w:val="TableBlock"/>
            </w:pPr>
            <w:r>
              <w:rPr>
                <w:rFonts w:hint="cs"/>
                <w:rtl/>
              </w:rPr>
              <w:t>(1)</w:t>
            </w:r>
            <w:r>
              <w:rPr>
                <w:rtl/>
              </w:rPr>
              <w:tab/>
            </w:r>
            <w:r w:rsidRPr="00ED1531">
              <w:rPr>
                <w:rtl/>
              </w:rPr>
              <w:t xml:space="preserve"> נאשם בעבירה פלילית, למעט בעבירה המנויה בסעיף7 (א)(2)</w:t>
            </w:r>
            <w:r>
              <w:rPr>
                <w:rFonts w:hint="cs"/>
                <w:rtl/>
              </w:rPr>
              <w:t xml:space="preserve"> לחוק הכנסת, </w:t>
            </w:r>
            <w:proofErr w:type="spellStart"/>
            <w:r>
              <w:rPr>
                <w:rFonts w:hint="cs"/>
                <w:rtl/>
              </w:rPr>
              <w:t>התשנ"ד</w:t>
            </w:r>
            <w:proofErr w:type="spellEnd"/>
            <w:r>
              <w:rPr>
                <w:rFonts w:hint="cs"/>
                <w:rtl/>
              </w:rPr>
              <w:t>–1994</w:t>
            </w:r>
            <w:r>
              <w:rPr>
                <w:rStyle w:val="a6"/>
                <w:rtl/>
              </w:rPr>
              <w:footnoteReference w:id="4"/>
            </w:r>
            <w:r w:rsidRPr="00ED1531">
              <w:rPr>
                <w:rtl/>
              </w:rPr>
              <w:t>;</w:t>
            </w:r>
          </w:p>
        </w:tc>
      </w:tr>
      <w:tr w:rsidR="00111D0D" w14:paraId="2FAFE1EC" w14:textId="77777777">
        <w:trPr>
          <w:cantSplit/>
          <w:trHeight w:val="60"/>
        </w:trPr>
        <w:tc>
          <w:tcPr>
            <w:tcW w:w="1871" w:type="dxa"/>
          </w:tcPr>
          <w:p w14:paraId="19CC477F" w14:textId="77777777" w:rsidR="00111D0D" w:rsidRDefault="00111D0D" w:rsidP="00111D0D">
            <w:pPr>
              <w:pStyle w:val="TableSideHeading"/>
            </w:pPr>
          </w:p>
        </w:tc>
        <w:tc>
          <w:tcPr>
            <w:tcW w:w="624" w:type="dxa"/>
          </w:tcPr>
          <w:p w14:paraId="4CDFA329" w14:textId="77777777" w:rsidR="00111D0D" w:rsidRDefault="00111D0D" w:rsidP="00111D0D">
            <w:pPr>
              <w:pStyle w:val="TableText"/>
            </w:pPr>
          </w:p>
        </w:tc>
        <w:tc>
          <w:tcPr>
            <w:tcW w:w="624" w:type="dxa"/>
          </w:tcPr>
          <w:p w14:paraId="3A83356F" w14:textId="77777777" w:rsidR="00111D0D" w:rsidRDefault="00111D0D" w:rsidP="00111D0D">
            <w:pPr>
              <w:pStyle w:val="TableText"/>
            </w:pPr>
          </w:p>
        </w:tc>
        <w:tc>
          <w:tcPr>
            <w:tcW w:w="6522" w:type="dxa"/>
          </w:tcPr>
          <w:p w14:paraId="56A5BF7C" w14:textId="1ADA3A29" w:rsidR="00111D0D" w:rsidRDefault="00111D0D" w:rsidP="00111D0D">
            <w:pPr>
              <w:pStyle w:val="TableBlock"/>
              <w:rPr>
                <w:rtl/>
              </w:rPr>
            </w:pPr>
            <w:r>
              <w:rPr>
                <w:rtl/>
              </w:rPr>
              <w:t>(</w:t>
            </w:r>
            <w:r>
              <w:rPr>
                <w:rFonts w:hint="cs"/>
                <w:rtl/>
              </w:rPr>
              <w:t>2</w:t>
            </w:r>
            <w:r>
              <w:rPr>
                <w:rtl/>
              </w:rPr>
              <w:t>)</w:t>
            </w:r>
            <w:r>
              <w:rPr>
                <w:rtl/>
              </w:rPr>
              <w:tab/>
            </w:r>
            <w:r w:rsidRPr="00ED1531">
              <w:rPr>
                <w:rtl/>
              </w:rPr>
              <w:t>נבצר ממנו דרך קבע למלא את תפקידו.</w:t>
            </w:r>
          </w:p>
        </w:tc>
      </w:tr>
      <w:tr w:rsidR="00111D0D" w14:paraId="153C541A" w14:textId="77777777">
        <w:trPr>
          <w:cantSplit/>
          <w:trHeight w:val="60"/>
        </w:trPr>
        <w:tc>
          <w:tcPr>
            <w:tcW w:w="1871" w:type="dxa"/>
          </w:tcPr>
          <w:p w14:paraId="4C208A93" w14:textId="77777777" w:rsidR="00111D0D" w:rsidRDefault="00111D0D" w:rsidP="00111D0D">
            <w:pPr>
              <w:pStyle w:val="TableSideHeading"/>
              <w:keepLines w:val="0"/>
            </w:pPr>
          </w:p>
        </w:tc>
        <w:tc>
          <w:tcPr>
            <w:tcW w:w="624" w:type="dxa"/>
          </w:tcPr>
          <w:p w14:paraId="1770FE13" w14:textId="77777777" w:rsidR="00111D0D" w:rsidRDefault="00111D0D" w:rsidP="00111D0D">
            <w:pPr>
              <w:pStyle w:val="TableText"/>
              <w:keepLines w:val="0"/>
              <w:autoSpaceDE/>
              <w:autoSpaceDN/>
              <w:adjustRightInd/>
              <w:ind w:right="0"/>
              <w:contextualSpacing/>
              <w:textAlignment w:val="auto"/>
            </w:pPr>
          </w:p>
        </w:tc>
        <w:tc>
          <w:tcPr>
            <w:tcW w:w="7146" w:type="dxa"/>
            <w:gridSpan w:val="2"/>
          </w:tcPr>
          <w:p w14:paraId="64CFDC1E" w14:textId="2EC685C2" w:rsidR="00111D0D" w:rsidRPr="00C34DE2" w:rsidRDefault="00111D0D" w:rsidP="00111D0D">
            <w:pPr>
              <w:pStyle w:val="TableBlock"/>
              <w:keepLines w:val="0"/>
            </w:pPr>
            <w:r>
              <w:rPr>
                <w:rFonts w:hint="cs"/>
                <w:rtl/>
              </w:rPr>
              <w:t>(ב</w:t>
            </w:r>
            <w:r>
              <w:rPr>
                <w:rtl/>
              </w:rPr>
              <w:t>)</w:t>
            </w:r>
            <w:r>
              <w:rPr>
                <w:rtl/>
              </w:rPr>
              <w:tab/>
            </w:r>
            <w:r w:rsidRPr="00035950">
              <w:rPr>
                <w:rtl/>
              </w:rPr>
              <w:t>יושב ראש הכנסת לא יעביר את הנציב מכהונתו, אלא לאחר שניתנה לו הזדמנות להשמיע את טענותיו בפני יושב ראש הכנסת ובפני ועדת הכנסת.</w:t>
            </w:r>
          </w:p>
        </w:tc>
      </w:tr>
      <w:tr w:rsidR="00111D0D" w14:paraId="0B85AB21" w14:textId="77777777">
        <w:trPr>
          <w:cantSplit/>
          <w:trHeight w:val="60"/>
        </w:trPr>
        <w:tc>
          <w:tcPr>
            <w:tcW w:w="1871" w:type="dxa"/>
          </w:tcPr>
          <w:p w14:paraId="690D7FDC" w14:textId="77777777" w:rsidR="00111D0D" w:rsidRDefault="00111D0D" w:rsidP="00111D0D">
            <w:pPr>
              <w:pStyle w:val="TableSideHeading"/>
              <w:keepLines w:val="0"/>
            </w:pPr>
          </w:p>
        </w:tc>
        <w:tc>
          <w:tcPr>
            <w:tcW w:w="624" w:type="dxa"/>
          </w:tcPr>
          <w:p w14:paraId="45EEFFA0" w14:textId="77777777" w:rsidR="00111D0D" w:rsidRDefault="00111D0D" w:rsidP="00111D0D">
            <w:pPr>
              <w:pStyle w:val="TableText"/>
            </w:pPr>
          </w:p>
        </w:tc>
        <w:tc>
          <w:tcPr>
            <w:tcW w:w="7146" w:type="dxa"/>
            <w:gridSpan w:val="2"/>
          </w:tcPr>
          <w:p w14:paraId="7CD17BC2" w14:textId="26FEA71A" w:rsidR="00111D0D" w:rsidRDefault="00111D0D" w:rsidP="00111D0D">
            <w:pPr>
              <w:pStyle w:val="TableBlock"/>
              <w:keepLines w:val="0"/>
              <w:rPr>
                <w:rtl/>
              </w:rPr>
            </w:pPr>
            <w:r>
              <w:rPr>
                <w:rFonts w:hint="cs"/>
                <w:rtl/>
              </w:rPr>
              <w:t>(ג)</w:t>
            </w:r>
            <w:r>
              <w:rPr>
                <w:rtl/>
              </w:rPr>
              <w:tab/>
            </w:r>
            <w:r w:rsidRPr="00035950">
              <w:rPr>
                <w:rtl/>
              </w:rPr>
              <w:t>הכנסת רשאית, בהחלטה ברוב חבריה, להעביר את הנציב מכהונתו, ואולם הכנסת לא תעבירו מכהונתו אלא לפי הצעה של ועדת הכנסת שהתקבלה ברוב חבריה;</w:t>
            </w:r>
          </w:p>
        </w:tc>
      </w:tr>
      <w:tr w:rsidR="00111D0D" w14:paraId="7C6BD101" w14:textId="77777777">
        <w:trPr>
          <w:cantSplit/>
          <w:trHeight w:val="60"/>
        </w:trPr>
        <w:tc>
          <w:tcPr>
            <w:tcW w:w="1871" w:type="dxa"/>
          </w:tcPr>
          <w:p w14:paraId="71AFD616" w14:textId="77777777" w:rsidR="00111D0D" w:rsidRDefault="00111D0D" w:rsidP="00111D0D">
            <w:pPr>
              <w:pStyle w:val="TableSideHeading"/>
              <w:keepLines w:val="0"/>
            </w:pPr>
          </w:p>
        </w:tc>
        <w:tc>
          <w:tcPr>
            <w:tcW w:w="624" w:type="dxa"/>
          </w:tcPr>
          <w:p w14:paraId="01B50EFE" w14:textId="77777777" w:rsidR="00111D0D" w:rsidRDefault="00111D0D" w:rsidP="00111D0D">
            <w:pPr>
              <w:pStyle w:val="TableText"/>
            </w:pPr>
          </w:p>
        </w:tc>
        <w:tc>
          <w:tcPr>
            <w:tcW w:w="7146" w:type="dxa"/>
            <w:gridSpan w:val="2"/>
          </w:tcPr>
          <w:p w14:paraId="1A0CE9A3" w14:textId="125D4C2B" w:rsidR="00111D0D" w:rsidRDefault="00111D0D" w:rsidP="00111D0D">
            <w:pPr>
              <w:pStyle w:val="TableBlock"/>
              <w:keepLines w:val="0"/>
              <w:rPr>
                <w:rtl/>
              </w:rPr>
            </w:pPr>
            <w:r>
              <w:rPr>
                <w:rtl/>
              </w:rPr>
              <w:t>(</w:t>
            </w:r>
            <w:r>
              <w:rPr>
                <w:rFonts w:hint="cs"/>
                <w:rtl/>
              </w:rPr>
              <w:t>ד</w:t>
            </w:r>
            <w:r>
              <w:rPr>
                <w:rtl/>
              </w:rPr>
              <w:t xml:space="preserve">) </w:t>
            </w:r>
            <w:r>
              <w:rPr>
                <w:rtl/>
              </w:rPr>
              <w:tab/>
            </w:r>
            <w:r w:rsidRPr="00035950">
              <w:rPr>
                <w:rtl/>
              </w:rPr>
              <w:t>ועדת הכנסת לא תציע להעביר את הנציב מכהונתו, אלא לאחר שנתנה לו הזדמנות להשמיע את טענותיו בפניה.</w:t>
            </w:r>
          </w:p>
        </w:tc>
      </w:tr>
      <w:tr w:rsidR="00111D0D" w14:paraId="2648E14F" w14:textId="77777777">
        <w:trPr>
          <w:cantSplit/>
          <w:trHeight w:val="60"/>
        </w:trPr>
        <w:tc>
          <w:tcPr>
            <w:tcW w:w="1871" w:type="dxa"/>
          </w:tcPr>
          <w:p w14:paraId="116940F6" w14:textId="57151515" w:rsidR="00111D0D" w:rsidRDefault="00111D0D" w:rsidP="00111D0D">
            <w:pPr>
              <w:pStyle w:val="TableSideHeading"/>
              <w:keepLines w:val="0"/>
            </w:pPr>
            <w:r w:rsidRPr="00035950">
              <w:rPr>
                <w:rtl/>
              </w:rPr>
              <w:t>השעיה</w:t>
            </w:r>
          </w:p>
        </w:tc>
        <w:tc>
          <w:tcPr>
            <w:tcW w:w="624" w:type="dxa"/>
          </w:tcPr>
          <w:p w14:paraId="0DEDE633" w14:textId="11D866AA" w:rsidR="00111D0D" w:rsidRDefault="00111D0D" w:rsidP="00111D0D">
            <w:pPr>
              <w:pStyle w:val="TableText"/>
            </w:pPr>
            <w:r>
              <w:rPr>
                <w:rFonts w:hint="cs"/>
                <w:rtl/>
              </w:rPr>
              <w:t>13.</w:t>
            </w:r>
          </w:p>
        </w:tc>
        <w:tc>
          <w:tcPr>
            <w:tcW w:w="7146" w:type="dxa"/>
            <w:gridSpan w:val="2"/>
          </w:tcPr>
          <w:p w14:paraId="7AA4FB48" w14:textId="098DFFA6" w:rsidR="00111D0D" w:rsidRDefault="00111D0D" w:rsidP="00111D0D">
            <w:pPr>
              <w:pStyle w:val="TableBlock"/>
              <w:keepLines w:val="0"/>
              <w:rPr>
                <w:rtl/>
              </w:rPr>
            </w:pPr>
            <w:r>
              <w:rPr>
                <w:rFonts w:hint="cs"/>
                <w:rtl/>
              </w:rPr>
              <w:t>(א)</w:t>
            </w:r>
            <w:r>
              <w:rPr>
                <w:rtl/>
              </w:rPr>
              <w:tab/>
            </w:r>
            <w:r w:rsidRPr="00035950">
              <w:rPr>
                <w:rtl/>
              </w:rPr>
              <w:t>יושב ראש הכנסת רשאי להשעות את הנציב, אם מתקיימים נגדו הליכים פליליים כהגדרתם בסעיף 7(א)(2)</w:t>
            </w:r>
            <w:r>
              <w:rPr>
                <w:rFonts w:hint="cs"/>
                <w:rtl/>
              </w:rPr>
              <w:t xml:space="preserve"> לחוק הכנסת, </w:t>
            </w:r>
            <w:proofErr w:type="spellStart"/>
            <w:r>
              <w:rPr>
                <w:rFonts w:hint="cs"/>
                <w:rtl/>
              </w:rPr>
              <w:t>התשנ"ד</w:t>
            </w:r>
            <w:proofErr w:type="spellEnd"/>
            <w:r>
              <w:rPr>
                <w:rFonts w:hint="cs"/>
                <w:rtl/>
              </w:rPr>
              <w:t>–1994,</w:t>
            </w:r>
            <w:r w:rsidRPr="00035950">
              <w:rPr>
                <w:rtl/>
              </w:rPr>
              <w:t xml:space="preserve"> או מתקיימת נגדו חקירה שיש בה כדי להביא לקיום הליכים כאמור, לתקופה שבה הם מתקיימים; היו ההליכים או החקירה כאמור, בעבירה אשר מפאת מהותה, חומרתה או נסיבותיה אין הנציב ראוי לשמש עוד בתפקידו, ישעה יושב ראש הכנסת את הנציב לתקופה האמורה.</w:t>
            </w:r>
          </w:p>
        </w:tc>
      </w:tr>
      <w:tr w:rsidR="00111D0D" w14:paraId="4CE4DC37" w14:textId="77777777">
        <w:trPr>
          <w:cantSplit/>
          <w:trHeight w:val="60"/>
        </w:trPr>
        <w:tc>
          <w:tcPr>
            <w:tcW w:w="1871" w:type="dxa"/>
          </w:tcPr>
          <w:p w14:paraId="3F004635" w14:textId="77777777" w:rsidR="00111D0D" w:rsidRPr="00035950" w:rsidRDefault="00111D0D" w:rsidP="00111D0D">
            <w:pPr>
              <w:pStyle w:val="TableSideHeading"/>
              <w:keepLines w:val="0"/>
              <w:rPr>
                <w:rtl/>
              </w:rPr>
            </w:pPr>
          </w:p>
        </w:tc>
        <w:tc>
          <w:tcPr>
            <w:tcW w:w="624" w:type="dxa"/>
          </w:tcPr>
          <w:p w14:paraId="089236B3" w14:textId="77777777" w:rsidR="00111D0D" w:rsidRDefault="00111D0D" w:rsidP="00111D0D">
            <w:pPr>
              <w:pStyle w:val="TableText"/>
              <w:rPr>
                <w:rtl/>
              </w:rPr>
            </w:pPr>
          </w:p>
        </w:tc>
        <w:tc>
          <w:tcPr>
            <w:tcW w:w="7146" w:type="dxa"/>
            <w:gridSpan w:val="2"/>
          </w:tcPr>
          <w:p w14:paraId="6C492387" w14:textId="16D1EE14" w:rsidR="00111D0D" w:rsidRDefault="00111D0D" w:rsidP="00111D0D">
            <w:pPr>
              <w:pStyle w:val="TableBlock"/>
              <w:keepLines w:val="0"/>
              <w:rPr>
                <w:rtl/>
              </w:rPr>
            </w:pPr>
            <w:r>
              <w:rPr>
                <w:rFonts w:hint="cs"/>
                <w:rtl/>
              </w:rPr>
              <w:t>(ב)</w:t>
            </w:r>
            <w:r>
              <w:rPr>
                <w:rtl/>
              </w:rPr>
              <w:tab/>
            </w:r>
            <w:r w:rsidRPr="00A43075">
              <w:rPr>
                <w:rtl/>
              </w:rPr>
              <w:t>יושב ראש הכנסת לא ישעה את הנציב, אלא לאחר שנתן לו הזדמנות להשמיע את טענותיו בפניו.</w:t>
            </w:r>
          </w:p>
        </w:tc>
      </w:tr>
      <w:tr w:rsidR="00111D0D" w14:paraId="7E1B2407" w14:textId="77777777" w:rsidTr="009371A1">
        <w:trPr>
          <w:cantSplit/>
          <w:trHeight w:val="60"/>
        </w:trPr>
        <w:tc>
          <w:tcPr>
            <w:tcW w:w="1871" w:type="dxa"/>
          </w:tcPr>
          <w:p w14:paraId="08F74190" w14:textId="7C282243" w:rsidR="00111D0D" w:rsidRDefault="00111D0D" w:rsidP="00111D0D">
            <w:pPr>
              <w:pStyle w:val="TableSideHeading"/>
            </w:pPr>
            <w:r w:rsidRPr="00A43075">
              <w:rPr>
                <w:rtl/>
              </w:rPr>
              <w:t>אחריות בפני הכנסת</w:t>
            </w:r>
          </w:p>
        </w:tc>
        <w:tc>
          <w:tcPr>
            <w:tcW w:w="624" w:type="dxa"/>
          </w:tcPr>
          <w:p w14:paraId="109AF799" w14:textId="0549D2C9" w:rsidR="00111D0D" w:rsidRDefault="00111D0D" w:rsidP="00111D0D">
            <w:pPr>
              <w:pStyle w:val="TableText"/>
            </w:pPr>
            <w:r>
              <w:rPr>
                <w:rFonts w:hint="cs"/>
                <w:rtl/>
              </w:rPr>
              <w:t>14.</w:t>
            </w:r>
          </w:p>
        </w:tc>
        <w:tc>
          <w:tcPr>
            <w:tcW w:w="7146" w:type="dxa"/>
            <w:gridSpan w:val="2"/>
          </w:tcPr>
          <w:p w14:paraId="24196A99" w14:textId="4A8C5947" w:rsidR="00111D0D" w:rsidRPr="00C34DE2" w:rsidRDefault="00111D0D" w:rsidP="00111D0D">
            <w:pPr>
              <w:pStyle w:val="TableBlock"/>
            </w:pPr>
            <w:r w:rsidRPr="00A43075">
              <w:rPr>
                <w:rtl/>
              </w:rPr>
              <w:t>במילוי תפקידו יהיה הנציב אחראי בפני הכנסת בלבד ולא יהיה תלוי בממשלה.</w:t>
            </w:r>
          </w:p>
        </w:tc>
      </w:tr>
      <w:tr w:rsidR="00111D0D" w14:paraId="7F931F09" w14:textId="77777777" w:rsidTr="009371A1">
        <w:trPr>
          <w:cantSplit/>
          <w:trHeight w:val="60"/>
        </w:trPr>
        <w:tc>
          <w:tcPr>
            <w:tcW w:w="1871" w:type="dxa"/>
          </w:tcPr>
          <w:p w14:paraId="3A21A664" w14:textId="0D5A1D0D" w:rsidR="00111D0D" w:rsidRPr="00A43075" w:rsidRDefault="00111D0D" w:rsidP="00111D0D">
            <w:pPr>
              <w:pStyle w:val="TableSideHeading"/>
              <w:rPr>
                <w:rtl/>
              </w:rPr>
            </w:pPr>
            <w:r>
              <w:rPr>
                <w:rFonts w:hint="cs"/>
                <w:rtl/>
              </w:rPr>
              <w:t>דרכי ייצוג</w:t>
            </w:r>
          </w:p>
        </w:tc>
        <w:tc>
          <w:tcPr>
            <w:tcW w:w="624" w:type="dxa"/>
          </w:tcPr>
          <w:p w14:paraId="37F91DB9" w14:textId="3EAF61E9" w:rsidR="00111D0D" w:rsidRDefault="00111D0D" w:rsidP="00111D0D">
            <w:pPr>
              <w:pStyle w:val="TableText"/>
              <w:rPr>
                <w:rtl/>
              </w:rPr>
            </w:pPr>
            <w:r>
              <w:rPr>
                <w:rFonts w:hint="cs"/>
                <w:rtl/>
              </w:rPr>
              <w:t>15.</w:t>
            </w:r>
          </w:p>
        </w:tc>
        <w:tc>
          <w:tcPr>
            <w:tcW w:w="7146" w:type="dxa"/>
            <w:gridSpan w:val="2"/>
          </w:tcPr>
          <w:p w14:paraId="6AF6226A" w14:textId="49C6311B" w:rsidR="00111D0D" w:rsidRPr="00A43075" w:rsidRDefault="00111D0D" w:rsidP="00111D0D">
            <w:pPr>
              <w:pStyle w:val="TableBlock"/>
              <w:rPr>
                <w:rtl/>
              </w:rPr>
            </w:pPr>
            <w:r>
              <w:rPr>
                <w:rFonts w:hint="cs"/>
                <w:rtl/>
              </w:rPr>
              <w:t>(א)</w:t>
            </w:r>
            <w:r>
              <w:rPr>
                <w:rtl/>
              </w:rPr>
              <w:tab/>
            </w:r>
            <w:r w:rsidRPr="00447956">
              <w:rPr>
                <w:rtl/>
              </w:rPr>
              <w:t>הכנסת תציג בפני הנציב כל הצעת חוק, העומדת להידון לגופה לראשונה בוועדה מוועדותיה.</w:t>
            </w:r>
          </w:p>
        </w:tc>
      </w:tr>
      <w:tr w:rsidR="00111D0D" w14:paraId="5EE8EB7A" w14:textId="77777777" w:rsidTr="009371A1">
        <w:trPr>
          <w:cantSplit/>
          <w:trHeight w:val="60"/>
        </w:trPr>
        <w:tc>
          <w:tcPr>
            <w:tcW w:w="1871" w:type="dxa"/>
          </w:tcPr>
          <w:p w14:paraId="2643F833" w14:textId="77777777" w:rsidR="00111D0D" w:rsidRDefault="00111D0D" w:rsidP="00111D0D">
            <w:pPr>
              <w:pStyle w:val="TableSideHeading"/>
              <w:rPr>
                <w:rtl/>
              </w:rPr>
            </w:pPr>
          </w:p>
        </w:tc>
        <w:tc>
          <w:tcPr>
            <w:tcW w:w="624" w:type="dxa"/>
          </w:tcPr>
          <w:p w14:paraId="18957FE4" w14:textId="77777777" w:rsidR="00111D0D" w:rsidRDefault="00111D0D" w:rsidP="00111D0D">
            <w:pPr>
              <w:pStyle w:val="TableText"/>
              <w:rPr>
                <w:rtl/>
              </w:rPr>
            </w:pPr>
          </w:p>
        </w:tc>
        <w:tc>
          <w:tcPr>
            <w:tcW w:w="7146" w:type="dxa"/>
            <w:gridSpan w:val="2"/>
          </w:tcPr>
          <w:p w14:paraId="3A580C9E" w14:textId="63CBA476" w:rsidR="00111D0D" w:rsidRDefault="00111D0D" w:rsidP="00111D0D">
            <w:pPr>
              <w:pStyle w:val="TableBlock"/>
              <w:rPr>
                <w:rtl/>
              </w:rPr>
            </w:pPr>
            <w:r>
              <w:rPr>
                <w:rFonts w:hint="cs"/>
                <w:rtl/>
              </w:rPr>
              <w:t>(ב)</w:t>
            </w:r>
            <w:r>
              <w:rPr>
                <w:rtl/>
              </w:rPr>
              <w:tab/>
            </w:r>
            <w:r>
              <w:rPr>
                <w:rFonts w:ascii="David" w:hAnsi="David"/>
                <w:rtl/>
              </w:rPr>
              <w:t xml:space="preserve">לצורך הייצוג </w:t>
            </w:r>
            <w:r>
              <w:rPr>
                <w:rFonts w:ascii="David" w:hAnsi="David" w:hint="cs"/>
                <w:rtl/>
              </w:rPr>
              <w:t>רשאי</w:t>
            </w:r>
            <w:r>
              <w:rPr>
                <w:rFonts w:ascii="David" w:hAnsi="David"/>
                <w:rtl/>
              </w:rPr>
              <w:t xml:space="preserve"> הנציב</w:t>
            </w:r>
            <w:r>
              <w:rPr>
                <w:rFonts w:ascii="David" w:hAnsi="David" w:hint="cs"/>
                <w:rtl/>
              </w:rPr>
              <w:t xml:space="preserve"> –</w:t>
            </w:r>
          </w:p>
        </w:tc>
      </w:tr>
      <w:tr w:rsidR="00111D0D" w14:paraId="3EF88A3B" w14:textId="77777777">
        <w:trPr>
          <w:cantSplit/>
          <w:trHeight w:val="60"/>
        </w:trPr>
        <w:tc>
          <w:tcPr>
            <w:tcW w:w="1871" w:type="dxa"/>
          </w:tcPr>
          <w:p w14:paraId="16712DB8" w14:textId="77777777" w:rsidR="00111D0D" w:rsidRDefault="00111D0D" w:rsidP="00111D0D">
            <w:pPr>
              <w:pStyle w:val="TableSideHeading"/>
            </w:pPr>
          </w:p>
        </w:tc>
        <w:tc>
          <w:tcPr>
            <w:tcW w:w="624" w:type="dxa"/>
          </w:tcPr>
          <w:p w14:paraId="0EF3A012" w14:textId="77777777" w:rsidR="00111D0D" w:rsidRDefault="00111D0D" w:rsidP="00111D0D">
            <w:pPr>
              <w:pStyle w:val="TableText"/>
            </w:pPr>
          </w:p>
        </w:tc>
        <w:tc>
          <w:tcPr>
            <w:tcW w:w="624" w:type="dxa"/>
          </w:tcPr>
          <w:p w14:paraId="33509D2B" w14:textId="77777777" w:rsidR="00111D0D" w:rsidRDefault="00111D0D" w:rsidP="00111D0D">
            <w:pPr>
              <w:pStyle w:val="TableText"/>
            </w:pPr>
          </w:p>
        </w:tc>
        <w:tc>
          <w:tcPr>
            <w:tcW w:w="6522" w:type="dxa"/>
          </w:tcPr>
          <w:p w14:paraId="36AA512A" w14:textId="13C34902" w:rsidR="00111D0D" w:rsidRDefault="00111D0D" w:rsidP="00111D0D">
            <w:pPr>
              <w:pStyle w:val="TableBlock"/>
            </w:pPr>
            <w:r>
              <w:rPr>
                <w:rFonts w:hint="cs"/>
                <w:rtl/>
              </w:rPr>
              <w:t>(1)</w:t>
            </w:r>
            <w:r>
              <w:rPr>
                <w:rtl/>
              </w:rPr>
              <w:tab/>
            </w:r>
            <w:r w:rsidRPr="00447956">
              <w:rPr>
                <w:rtl/>
              </w:rPr>
              <w:t>לדרוש מכל שר למסור לו, תוך תקופה שיקבע ובאופן שיקבע, כל ידיעה ומסמך, העשויים, לדעת הנציב, לסייע בידיו בייצוג ענייניהם המיוחדים של הדורות הבאים; שר שנדרש למסור ידיעה או מסמך כאמור, יהיה חייב למלא אחר הדרישה;</w:t>
            </w:r>
          </w:p>
        </w:tc>
      </w:tr>
      <w:tr w:rsidR="00111D0D" w14:paraId="5A406A73" w14:textId="77777777">
        <w:trPr>
          <w:cantSplit/>
          <w:trHeight w:val="60"/>
        </w:trPr>
        <w:tc>
          <w:tcPr>
            <w:tcW w:w="1871" w:type="dxa"/>
          </w:tcPr>
          <w:p w14:paraId="0EB7D204" w14:textId="77777777" w:rsidR="00111D0D" w:rsidRDefault="00111D0D" w:rsidP="00111D0D">
            <w:pPr>
              <w:pStyle w:val="TableSideHeading"/>
            </w:pPr>
          </w:p>
        </w:tc>
        <w:tc>
          <w:tcPr>
            <w:tcW w:w="624" w:type="dxa"/>
          </w:tcPr>
          <w:p w14:paraId="3D00A744" w14:textId="77777777" w:rsidR="00111D0D" w:rsidRDefault="00111D0D" w:rsidP="00111D0D">
            <w:pPr>
              <w:pStyle w:val="TableText"/>
            </w:pPr>
          </w:p>
        </w:tc>
        <w:tc>
          <w:tcPr>
            <w:tcW w:w="624" w:type="dxa"/>
          </w:tcPr>
          <w:p w14:paraId="5D1D9DF0" w14:textId="77777777" w:rsidR="00111D0D" w:rsidRDefault="00111D0D" w:rsidP="00111D0D">
            <w:pPr>
              <w:pStyle w:val="TableText"/>
            </w:pPr>
          </w:p>
        </w:tc>
        <w:tc>
          <w:tcPr>
            <w:tcW w:w="6522" w:type="dxa"/>
          </w:tcPr>
          <w:p w14:paraId="5440EFE8" w14:textId="46DF91CD" w:rsidR="00111D0D" w:rsidRDefault="00111D0D" w:rsidP="00111D0D">
            <w:pPr>
              <w:pStyle w:val="TableBlock"/>
              <w:rPr>
                <w:rtl/>
              </w:rPr>
            </w:pPr>
            <w:r>
              <w:rPr>
                <w:rFonts w:hint="cs"/>
                <w:rtl/>
              </w:rPr>
              <w:t>(2)</w:t>
            </w:r>
            <w:r>
              <w:rPr>
                <w:rtl/>
              </w:rPr>
              <w:tab/>
            </w:r>
            <w:r w:rsidRPr="00CC76D3">
              <w:rPr>
                <w:rFonts w:ascii="David" w:hAnsi="David"/>
                <w:rtl/>
              </w:rPr>
              <w:t>להזמין את הציבור למסור לו, תוך תקופה שיקבע ובאופן שיקבע, כל דעה, ידיעה ומסמך, העשויים, לדעת הנציב, לסייע בידיו בייצוג ענייניהם המיוחדים של הדורות הבאים.</w:t>
            </w:r>
          </w:p>
        </w:tc>
      </w:tr>
      <w:tr w:rsidR="00111D0D" w14:paraId="37B6C96A" w14:textId="77777777">
        <w:trPr>
          <w:cantSplit/>
          <w:trHeight w:val="60"/>
        </w:trPr>
        <w:tc>
          <w:tcPr>
            <w:tcW w:w="1871" w:type="dxa"/>
          </w:tcPr>
          <w:p w14:paraId="4F4FD3C0" w14:textId="77777777" w:rsidR="00111D0D" w:rsidRDefault="00111D0D" w:rsidP="00111D0D">
            <w:pPr>
              <w:pStyle w:val="TableSideHeading"/>
            </w:pPr>
          </w:p>
        </w:tc>
        <w:tc>
          <w:tcPr>
            <w:tcW w:w="624" w:type="dxa"/>
          </w:tcPr>
          <w:p w14:paraId="447B3C53" w14:textId="77777777" w:rsidR="00111D0D" w:rsidRDefault="00111D0D" w:rsidP="00111D0D">
            <w:pPr>
              <w:pStyle w:val="TableText"/>
            </w:pPr>
          </w:p>
        </w:tc>
        <w:tc>
          <w:tcPr>
            <w:tcW w:w="7146" w:type="dxa"/>
            <w:gridSpan w:val="2"/>
          </w:tcPr>
          <w:p w14:paraId="46C6123F" w14:textId="42A83553" w:rsidR="00111D0D" w:rsidRPr="00C34DE2" w:rsidRDefault="00111D0D" w:rsidP="00111D0D">
            <w:pPr>
              <w:pStyle w:val="TableBlock"/>
            </w:pPr>
            <w:r>
              <w:rPr>
                <w:rFonts w:hint="cs"/>
                <w:rtl/>
              </w:rPr>
              <w:t>(ג)</w:t>
            </w:r>
            <w:r>
              <w:rPr>
                <w:rtl/>
              </w:rPr>
              <w:tab/>
            </w:r>
            <w:r w:rsidRPr="00CC76D3">
              <w:rPr>
                <w:rFonts w:ascii="David" w:hAnsi="David"/>
                <w:rtl/>
              </w:rPr>
              <w:t xml:space="preserve">הודיע </w:t>
            </w:r>
            <w:r>
              <w:rPr>
                <w:rFonts w:ascii="David" w:hAnsi="David"/>
                <w:rtl/>
              </w:rPr>
              <w:t xml:space="preserve">נציב </w:t>
            </w:r>
            <w:r w:rsidRPr="00CC76D3">
              <w:rPr>
                <w:rFonts w:ascii="David" w:hAnsi="David"/>
                <w:rtl/>
              </w:rPr>
              <w:t>ליושב ראש הוועדה ב</w:t>
            </w:r>
            <w:r>
              <w:rPr>
                <w:rFonts w:ascii="David" w:hAnsi="David"/>
                <w:rtl/>
              </w:rPr>
              <w:t>ה עומדת להידון הצעת החוק, כי מצ</w:t>
            </w:r>
            <w:r>
              <w:rPr>
                <w:rFonts w:ascii="David" w:hAnsi="David" w:hint="cs"/>
                <w:rtl/>
              </w:rPr>
              <w:t>א</w:t>
            </w:r>
            <w:r w:rsidRPr="00CC76D3">
              <w:rPr>
                <w:rFonts w:ascii="David" w:hAnsi="David"/>
                <w:rtl/>
              </w:rPr>
              <w:t xml:space="preserve"> בהצעת החוק עניין מיוחד של הדורות הבאים, תזמן אותה ועדה את ה</w:t>
            </w:r>
            <w:r>
              <w:rPr>
                <w:rFonts w:ascii="David" w:hAnsi="David"/>
                <w:rtl/>
              </w:rPr>
              <w:t xml:space="preserve">נציב </w:t>
            </w:r>
            <w:r w:rsidRPr="00CC76D3">
              <w:rPr>
                <w:rFonts w:ascii="David" w:hAnsi="David"/>
                <w:rtl/>
              </w:rPr>
              <w:t>או את נציגו לדיוניה בהצעת החוק</w:t>
            </w:r>
          </w:p>
        </w:tc>
      </w:tr>
      <w:tr w:rsidR="00111D0D" w14:paraId="613D4EF9" w14:textId="77777777" w:rsidTr="0022200A">
        <w:trPr>
          <w:cantSplit/>
          <w:trHeight w:val="1005"/>
        </w:trPr>
        <w:tc>
          <w:tcPr>
            <w:tcW w:w="1871" w:type="dxa"/>
          </w:tcPr>
          <w:p w14:paraId="2861D2BF" w14:textId="77777777" w:rsidR="00111D0D" w:rsidRDefault="00111D0D" w:rsidP="00111D0D">
            <w:pPr>
              <w:pStyle w:val="TableSideHeading"/>
            </w:pPr>
            <w:r>
              <w:rPr>
                <w:rFonts w:hint="cs"/>
                <w:rtl/>
              </w:rPr>
              <w:t>פירוט בהצעת חוק</w:t>
            </w:r>
          </w:p>
        </w:tc>
        <w:tc>
          <w:tcPr>
            <w:tcW w:w="624" w:type="dxa"/>
          </w:tcPr>
          <w:p w14:paraId="4BDEC386" w14:textId="539A4AF9" w:rsidR="00111D0D" w:rsidRDefault="00111D0D" w:rsidP="00CA5186">
            <w:pPr>
              <w:pStyle w:val="TableText"/>
            </w:pPr>
            <w:r>
              <w:rPr>
                <w:rFonts w:hint="cs"/>
                <w:rtl/>
              </w:rPr>
              <w:t>1</w:t>
            </w:r>
            <w:r w:rsidR="00CA5186">
              <w:rPr>
                <w:rFonts w:hint="cs"/>
                <w:rtl/>
              </w:rPr>
              <w:t>6</w:t>
            </w:r>
            <w:r>
              <w:rPr>
                <w:rFonts w:hint="cs"/>
                <w:rtl/>
              </w:rPr>
              <w:t>.</w:t>
            </w:r>
          </w:p>
        </w:tc>
        <w:tc>
          <w:tcPr>
            <w:tcW w:w="7146" w:type="dxa"/>
            <w:gridSpan w:val="2"/>
          </w:tcPr>
          <w:p w14:paraId="3BFFD93A" w14:textId="6FAB2367" w:rsidR="00111D0D" w:rsidRPr="00C34DE2" w:rsidRDefault="00111D0D" w:rsidP="00111D0D">
            <w:pPr>
              <w:pStyle w:val="TableBlock"/>
            </w:pPr>
            <w:r w:rsidRPr="00CC76D3">
              <w:rPr>
                <w:rFonts w:ascii="David" w:hAnsi="David"/>
                <w:rtl/>
              </w:rPr>
              <w:t>הצעת חוק המוגשת לכנסת לשם הבאתה לקריאה ראשונה, תציין בדברי ההסבר את השפעתו של החוק המוצע על הדורות הבאים.</w:t>
            </w:r>
          </w:p>
        </w:tc>
      </w:tr>
      <w:tr w:rsidR="00111D0D" w14:paraId="24A83988" w14:textId="77777777" w:rsidTr="009371A1">
        <w:trPr>
          <w:cantSplit/>
          <w:trHeight w:val="60"/>
        </w:trPr>
        <w:tc>
          <w:tcPr>
            <w:tcW w:w="1871" w:type="dxa"/>
          </w:tcPr>
          <w:p w14:paraId="080B9C8C" w14:textId="77777777" w:rsidR="00111D0D" w:rsidRDefault="00111D0D" w:rsidP="00111D0D">
            <w:pPr>
              <w:pStyle w:val="TableSideHeading"/>
              <w:rPr>
                <w:rtl/>
              </w:rPr>
            </w:pPr>
            <w:r>
              <w:rPr>
                <w:rFonts w:hint="cs"/>
                <w:rtl/>
              </w:rPr>
              <w:t>דו"ח שנתי</w:t>
            </w:r>
          </w:p>
        </w:tc>
        <w:tc>
          <w:tcPr>
            <w:tcW w:w="624" w:type="dxa"/>
          </w:tcPr>
          <w:p w14:paraId="40816487" w14:textId="30EC15F0" w:rsidR="00111D0D" w:rsidRDefault="00111D0D" w:rsidP="00CA5186">
            <w:pPr>
              <w:pStyle w:val="TableText"/>
              <w:rPr>
                <w:rtl/>
              </w:rPr>
            </w:pPr>
            <w:r>
              <w:rPr>
                <w:rFonts w:hint="cs"/>
                <w:rtl/>
              </w:rPr>
              <w:t>1</w:t>
            </w:r>
            <w:r w:rsidR="00CA5186">
              <w:rPr>
                <w:rFonts w:hint="cs"/>
                <w:rtl/>
              </w:rPr>
              <w:t>7</w:t>
            </w:r>
            <w:r>
              <w:rPr>
                <w:rFonts w:hint="cs"/>
                <w:rtl/>
              </w:rPr>
              <w:t>.</w:t>
            </w:r>
          </w:p>
        </w:tc>
        <w:tc>
          <w:tcPr>
            <w:tcW w:w="7146" w:type="dxa"/>
            <w:gridSpan w:val="2"/>
          </w:tcPr>
          <w:p w14:paraId="3EFA5553" w14:textId="77C8918B" w:rsidR="00111D0D" w:rsidRPr="00CC76D3" w:rsidRDefault="00111D0D" w:rsidP="00111D0D">
            <w:pPr>
              <w:pStyle w:val="TableBlock"/>
              <w:rPr>
                <w:rFonts w:ascii="David" w:hAnsi="David"/>
                <w:rtl/>
              </w:rPr>
            </w:pPr>
            <w:r w:rsidRPr="00CC76D3">
              <w:rPr>
                <w:rFonts w:ascii="David" w:hAnsi="David"/>
                <w:rtl/>
              </w:rPr>
              <w:t>ה</w:t>
            </w:r>
            <w:r>
              <w:rPr>
                <w:rFonts w:ascii="David" w:hAnsi="David"/>
                <w:rtl/>
              </w:rPr>
              <w:t xml:space="preserve">נציב </w:t>
            </w:r>
            <w:r w:rsidRPr="00CC76D3">
              <w:rPr>
                <w:rFonts w:ascii="David" w:hAnsi="David"/>
                <w:rtl/>
              </w:rPr>
              <w:t>יניח על שולחן הכנסת, אחת לשנה, דין וחשבון על פעולותיו; בדו"ח יכלול הנציב, בין היתר, את המלצותיו להיערכות לקליטת הדורות הבאים.</w:t>
            </w:r>
          </w:p>
        </w:tc>
      </w:tr>
      <w:tr w:rsidR="00111D0D" w14:paraId="6169BD90" w14:textId="77777777" w:rsidTr="009371A1">
        <w:trPr>
          <w:cantSplit/>
          <w:trHeight w:val="60"/>
        </w:trPr>
        <w:tc>
          <w:tcPr>
            <w:tcW w:w="1871" w:type="dxa"/>
          </w:tcPr>
          <w:p w14:paraId="2A492257" w14:textId="1F093EED" w:rsidR="00111D0D" w:rsidRDefault="00111D0D" w:rsidP="00111D0D">
            <w:pPr>
              <w:pStyle w:val="TableSideHeading"/>
              <w:rPr>
                <w:rtl/>
              </w:rPr>
            </w:pPr>
            <w:r>
              <w:rPr>
                <w:rFonts w:hint="cs"/>
                <w:rtl/>
              </w:rPr>
              <w:t>עובדי משרד הנציב</w:t>
            </w:r>
          </w:p>
        </w:tc>
        <w:tc>
          <w:tcPr>
            <w:tcW w:w="624" w:type="dxa"/>
          </w:tcPr>
          <w:p w14:paraId="52B7325B" w14:textId="19D891CA" w:rsidR="00111D0D" w:rsidRDefault="00111D0D" w:rsidP="00CA5186">
            <w:pPr>
              <w:pStyle w:val="TableText"/>
              <w:rPr>
                <w:rtl/>
              </w:rPr>
            </w:pPr>
            <w:r>
              <w:rPr>
                <w:rFonts w:hint="cs"/>
                <w:rtl/>
              </w:rPr>
              <w:t>1</w:t>
            </w:r>
            <w:r w:rsidR="00CA5186">
              <w:rPr>
                <w:rFonts w:hint="cs"/>
                <w:rtl/>
              </w:rPr>
              <w:t>8</w:t>
            </w:r>
            <w:r>
              <w:rPr>
                <w:rFonts w:hint="cs"/>
                <w:rtl/>
              </w:rPr>
              <w:t>.</w:t>
            </w:r>
          </w:p>
        </w:tc>
        <w:tc>
          <w:tcPr>
            <w:tcW w:w="7146" w:type="dxa"/>
            <w:gridSpan w:val="2"/>
          </w:tcPr>
          <w:p w14:paraId="5913A33A" w14:textId="64CCD250" w:rsidR="00111D0D" w:rsidRPr="00CC76D3" w:rsidRDefault="00111D0D" w:rsidP="00111D0D">
            <w:pPr>
              <w:pStyle w:val="TableBlock"/>
              <w:rPr>
                <w:rFonts w:ascii="David" w:hAnsi="David"/>
                <w:rtl/>
              </w:rPr>
            </w:pPr>
            <w:r>
              <w:rPr>
                <w:rFonts w:hint="cs"/>
                <w:rtl/>
              </w:rPr>
              <w:t>(א)</w:t>
            </w:r>
            <w:r>
              <w:rPr>
                <w:rtl/>
              </w:rPr>
              <w:tab/>
            </w:r>
            <w:r w:rsidRPr="00447956">
              <w:rPr>
                <w:rtl/>
              </w:rPr>
              <w:t xml:space="preserve">עובדי משרד הנציב </w:t>
            </w:r>
            <w:r w:rsidRPr="00111D0D">
              <w:rPr>
                <w:rtl/>
              </w:rPr>
              <w:t>דינם כדין שאר עובדי המדינה, אולם</w:t>
            </w:r>
            <w:r w:rsidRPr="00447956">
              <w:rPr>
                <w:rtl/>
              </w:rPr>
              <w:t xml:space="preserve"> בקבלת הוראות לגבי פיטורים יהיו נתונים למרותו של הנציב בלבד.</w:t>
            </w:r>
          </w:p>
        </w:tc>
      </w:tr>
      <w:tr w:rsidR="00111D0D" w14:paraId="58D3BB4A" w14:textId="77777777" w:rsidTr="009371A1">
        <w:trPr>
          <w:cantSplit/>
          <w:trHeight w:val="60"/>
        </w:trPr>
        <w:tc>
          <w:tcPr>
            <w:tcW w:w="1871" w:type="dxa"/>
          </w:tcPr>
          <w:p w14:paraId="0D223555" w14:textId="77777777" w:rsidR="00111D0D" w:rsidRDefault="00111D0D" w:rsidP="00111D0D">
            <w:pPr>
              <w:pStyle w:val="TableSideHeading"/>
              <w:rPr>
                <w:rtl/>
              </w:rPr>
            </w:pPr>
          </w:p>
        </w:tc>
        <w:tc>
          <w:tcPr>
            <w:tcW w:w="624" w:type="dxa"/>
          </w:tcPr>
          <w:p w14:paraId="7464B7A5" w14:textId="77777777" w:rsidR="00111D0D" w:rsidRDefault="00111D0D" w:rsidP="00111D0D">
            <w:pPr>
              <w:pStyle w:val="TableText"/>
              <w:rPr>
                <w:rtl/>
              </w:rPr>
            </w:pPr>
          </w:p>
        </w:tc>
        <w:tc>
          <w:tcPr>
            <w:tcW w:w="7146" w:type="dxa"/>
            <w:gridSpan w:val="2"/>
          </w:tcPr>
          <w:p w14:paraId="56E636DE" w14:textId="5934B1BC" w:rsidR="00111D0D" w:rsidRDefault="00111D0D" w:rsidP="00111D0D">
            <w:pPr>
              <w:pStyle w:val="TableBlock"/>
              <w:rPr>
                <w:rtl/>
              </w:rPr>
            </w:pPr>
            <w:r>
              <w:rPr>
                <w:rFonts w:hint="cs"/>
                <w:rtl/>
              </w:rPr>
              <w:t>(ב)</w:t>
            </w:r>
            <w:r>
              <w:rPr>
                <w:rtl/>
              </w:rPr>
              <w:tab/>
            </w:r>
            <w:r w:rsidRPr="00CC76D3">
              <w:rPr>
                <w:rFonts w:ascii="David" w:hAnsi="David"/>
                <w:rtl/>
              </w:rPr>
              <w:t>ה</w:t>
            </w:r>
            <w:r>
              <w:rPr>
                <w:rFonts w:ascii="David" w:hAnsi="David"/>
                <w:rtl/>
              </w:rPr>
              <w:t xml:space="preserve">נציב </w:t>
            </w:r>
            <w:r>
              <w:rPr>
                <w:rFonts w:ascii="David" w:hAnsi="David" w:hint="cs"/>
                <w:rtl/>
              </w:rPr>
              <w:t>רשאי</w:t>
            </w:r>
            <w:r w:rsidRPr="00CC76D3">
              <w:rPr>
                <w:rFonts w:ascii="David" w:hAnsi="David"/>
                <w:rtl/>
              </w:rPr>
              <w:t xml:space="preserve"> להסתייע בביצוע תפקידו באנשים שאינם עובדי משרדו במידה שיראה צורך בכך.</w:t>
            </w:r>
          </w:p>
        </w:tc>
      </w:tr>
      <w:tr w:rsidR="00111D0D" w14:paraId="46A5CEB6" w14:textId="77777777" w:rsidTr="009371A1">
        <w:trPr>
          <w:cantSplit/>
          <w:trHeight w:val="60"/>
        </w:trPr>
        <w:tc>
          <w:tcPr>
            <w:tcW w:w="1871" w:type="dxa"/>
          </w:tcPr>
          <w:p w14:paraId="3CCE239D" w14:textId="77777777" w:rsidR="00111D0D" w:rsidRDefault="00111D0D" w:rsidP="00111D0D">
            <w:pPr>
              <w:pStyle w:val="TableSideHeading"/>
            </w:pPr>
            <w:r>
              <w:rPr>
                <w:rFonts w:hint="cs"/>
                <w:rtl/>
              </w:rPr>
              <w:t>חובת סודיות</w:t>
            </w:r>
          </w:p>
        </w:tc>
        <w:tc>
          <w:tcPr>
            <w:tcW w:w="624" w:type="dxa"/>
          </w:tcPr>
          <w:p w14:paraId="4B390824" w14:textId="4925F61B" w:rsidR="00111D0D" w:rsidRDefault="00CA5186" w:rsidP="00111D0D">
            <w:pPr>
              <w:pStyle w:val="TableText"/>
            </w:pPr>
            <w:r>
              <w:rPr>
                <w:rFonts w:hint="cs"/>
                <w:rtl/>
              </w:rPr>
              <w:t>19</w:t>
            </w:r>
            <w:r w:rsidR="00111D0D">
              <w:rPr>
                <w:rFonts w:hint="cs"/>
                <w:rtl/>
              </w:rPr>
              <w:t>.</w:t>
            </w:r>
          </w:p>
        </w:tc>
        <w:tc>
          <w:tcPr>
            <w:tcW w:w="7146" w:type="dxa"/>
            <w:gridSpan w:val="2"/>
          </w:tcPr>
          <w:p w14:paraId="65FA1934" w14:textId="77777777" w:rsidR="00111D0D" w:rsidRPr="00C34DE2" w:rsidRDefault="00111D0D" w:rsidP="00111D0D">
            <w:pPr>
              <w:pStyle w:val="TableBlock"/>
            </w:pPr>
            <w:r w:rsidRPr="00CC76D3">
              <w:rPr>
                <w:rFonts w:ascii="David" w:hAnsi="David"/>
                <w:rtl/>
              </w:rPr>
              <w:t>עובדי משרד ה</w:t>
            </w:r>
            <w:r>
              <w:rPr>
                <w:rFonts w:ascii="David" w:hAnsi="David"/>
                <w:rtl/>
              </w:rPr>
              <w:t xml:space="preserve">נציב </w:t>
            </w:r>
            <w:r w:rsidRPr="00CC76D3">
              <w:rPr>
                <w:rFonts w:ascii="David" w:hAnsi="David"/>
                <w:rtl/>
              </w:rPr>
              <w:t>וכל אדם אחר שבעזרתו מבצע ה</w:t>
            </w:r>
            <w:r>
              <w:rPr>
                <w:rFonts w:ascii="David" w:hAnsi="David"/>
                <w:rtl/>
              </w:rPr>
              <w:t xml:space="preserve">נציב </w:t>
            </w:r>
            <w:r w:rsidRPr="00CC76D3">
              <w:rPr>
                <w:rFonts w:ascii="David" w:hAnsi="David"/>
                <w:rtl/>
              </w:rPr>
              <w:t>את תפקידיו חייבים לשמור בסוד כל ידיעה שהגיעה אליהם במסגרת עבודתם.</w:t>
            </w:r>
          </w:p>
        </w:tc>
      </w:tr>
      <w:tr w:rsidR="00111D0D" w14:paraId="5826BCAF" w14:textId="77777777" w:rsidTr="009371A1">
        <w:trPr>
          <w:cantSplit/>
          <w:trHeight w:val="60"/>
        </w:trPr>
        <w:tc>
          <w:tcPr>
            <w:tcW w:w="1871" w:type="dxa"/>
          </w:tcPr>
          <w:p w14:paraId="61F7E864" w14:textId="77777777" w:rsidR="00111D0D" w:rsidRDefault="00111D0D" w:rsidP="00111D0D">
            <w:pPr>
              <w:pStyle w:val="TableSideHeading"/>
              <w:rPr>
                <w:rtl/>
              </w:rPr>
            </w:pPr>
            <w:r>
              <w:rPr>
                <w:rFonts w:hint="cs"/>
                <w:rtl/>
              </w:rPr>
              <w:t>תקציב</w:t>
            </w:r>
          </w:p>
        </w:tc>
        <w:tc>
          <w:tcPr>
            <w:tcW w:w="624" w:type="dxa"/>
          </w:tcPr>
          <w:p w14:paraId="7E9B4115" w14:textId="589BB4AB" w:rsidR="00111D0D" w:rsidRDefault="00CA5186" w:rsidP="00111D0D">
            <w:pPr>
              <w:pStyle w:val="TableText"/>
              <w:rPr>
                <w:rtl/>
              </w:rPr>
            </w:pPr>
            <w:r>
              <w:rPr>
                <w:rFonts w:hint="cs"/>
                <w:rtl/>
              </w:rPr>
              <w:t>20</w:t>
            </w:r>
            <w:r w:rsidR="00111D0D">
              <w:rPr>
                <w:rFonts w:hint="cs"/>
                <w:rtl/>
              </w:rPr>
              <w:t>.</w:t>
            </w:r>
          </w:p>
        </w:tc>
        <w:tc>
          <w:tcPr>
            <w:tcW w:w="7146" w:type="dxa"/>
            <w:gridSpan w:val="2"/>
          </w:tcPr>
          <w:p w14:paraId="251CAD07" w14:textId="38818912" w:rsidR="00111D0D" w:rsidRPr="00CC76D3" w:rsidRDefault="00111D0D" w:rsidP="00111D0D">
            <w:pPr>
              <w:pStyle w:val="TableBlock"/>
              <w:rPr>
                <w:rFonts w:ascii="David" w:hAnsi="David"/>
                <w:rtl/>
              </w:rPr>
            </w:pPr>
            <w:r w:rsidRPr="00CC76D3">
              <w:rPr>
                <w:rFonts w:ascii="David" w:hAnsi="David"/>
                <w:rtl/>
              </w:rPr>
              <w:t>תקציב משרד הנציבות ייקבע על פי הצעת ה</w:t>
            </w:r>
            <w:r>
              <w:rPr>
                <w:rFonts w:ascii="David" w:hAnsi="David"/>
                <w:rtl/>
              </w:rPr>
              <w:t xml:space="preserve">נציב </w:t>
            </w:r>
            <w:r w:rsidRPr="00CC76D3">
              <w:rPr>
                <w:rFonts w:ascii="David" w:hAnsi="David"/>
                <w:rtl/>
              </w:rPr>
              <w:t xml:space="preserve">בידי ועדת הכספים של הכנסת, ויפורסם ביחד עם תקציב המדינה; ועדת הכספים </w:t>
            </w:r>
            <w:r>
              <w:rPr>
                <w:rFonts w:ascii="David" w:hAnsi="David" w:hint="cs"/>
                <w:rtl/>
              </w:rPr>
              <w:t>רשאית</w:t>
            </w:r>
            <w:r w:rsidRPr="00CC76D3">
              <w:rPr>
                <w:rFonts w:ascii="David" w:hAnsi="David"/>
                <w:rtl/>
              </w:rPr>
              <w:t>, על פי הצעת הנציב, לאשר שינויים בתקציב משרדו.</w:t>
            </w:r>
          </w:p>
        </w:tc>
      </w:tr>
      <w:tr w:rsidR="00111D0D" w14:paraId="0D98B26D" w14:textId="77777777" w:rsidTr="009371A1">
        <w:trPr>
          <w:cantSplit/>
          <w:trHeight w:val="60"/>
        </w:trPr>
        <w:tc>
          <w:tcPr>
            <w:tcW w:w="1871" w:type="dxa"/>
          </w:tcPr>
          <w:p w14:paraId="612168ED" w14:textId="77777777" w:rsidR="00111D0D" w:rsidRDefault="00111D0D" w:rsidP="00111D0D">
            <w:pPr>
              <w:pStyle w:val="TableSideHeading"/>
              <w:rPr>
                <w:rtl/>
              </w:rPr>
            </w:pPr>
            <w:r>
              <w:rPr>
                <w:rFonts w:hint="cs"/>
                <w:rtl/>
              </w:rPr>
              <w:t>ממלא מקום הנציב</w:t>
            </w:r>
          </w:p>
        </w:tc>
        <w:tc>
          <w:tcPr>
            <w:tcW w:w="624" w:type="dxa"/>
          </w:tcPr>
          <w:p w14:paraId="59C346C1" w14:textId="03DDCEA9" w:rsidR="00111D0D" w:rsidRDefault="00111D0D" w:rsidP="00CA5186">
            <w:pPr>
              <w:pStyle w:val="TableText"/>
              <w:rPr>
                <w:rtl/>
              </w:rPr>
            </w:pPr>
            <w:r>
              <w:rPr>
                <w:rFonts w:hint="cs"/>
                <w:rtl/>
              </w:rPr>
              <w:t>2</w:t>
            </w:r>
            <w:r w:rsidR="00CA5186">
              <w:rPr>
                <w:rFonts w:hint="cs"/>
                <w:rtl/>
              </w:rPr>
              <w:t>1</w:t>
            </w:r>
            <w:r>
              <w:rPr>
                <w:rFonts w:hint="cs"/>
                <w:rtl/>
              </w:rPr>
              <w:t>.</w:t>
            </w:r>
          </w:p>
        </w:tc>
        <w:tc>
          <w:tcPr>
            <w:tcW w:w="7146" w:type="dxa"/>
            <w:gridSpan w:val="2"/>
          </w:tcPr>
          <w:p w14:paraId="337E4137" w14:textId="77777777" w:rsidR="00111D0D" w:rsidRPr="00CC76D3" w:rsidRDefault="00111D0D" w:rsidP="00111D0D">
            <w:pPr>
              <w:pStyle w:val="TableBlock"/>
              <w:rPr>
                <w:rFonts w:ascii="David" w:hAnsi="David"/>
                <w:rtl/>
              </w:rPr>
            </w:pPr>
            <w:r w:rsidRPr="00CC76D3">
              <w:rPr>
                <w:rFonts w:ascii="David" w:hAnsi="David"/>
                <w:rtl/>
              </w:rPr>
              <w:t>נבצר מהנציב, דרך ארעי, למלא תפקידו, תמנה הוועדה ממלא מקום ל</w:t>
            </w:r>
            <w:r>
              <w:rPr>
                <w:rFonts w:ascii="David" w:hAnsi="David"/>
                <w:rtl/>
              </w:rPr>
              <w:t>נציב</w:t>
            </w:r>
            <w:r>
              <w:rPr>
                <w:rFonts w:ascii="David" w:hAnsi="David" w:hint="cs"/>
                <w:rtl/>
              </w:rPr>
              <w:t xml:space="preserve"> </w:t>
            </w:r>
            <w:r w:rsidRPr="00CC76D3">
              <w:rPr>
                <w:rFonts w:ascii="David" w:hAnsi="David"/>
                <w:rtl/>
              </w:rPr>
              <w:t>לת</w:t>
            </w:r>
            <w:r>
              <w:rPr>
                <w:rFonts w:ascii="David" w:hAnsi="David" w:hint="cs"/>
                <w:rtl/>
              </w:rPr>
              <w:t>ק</w:t>
            </w:r>
            <w:r w:rsidRPr="00CC76D3">
              <w:rPr>
                <w:rFonts w:ascii="David" w:hAnsi="David"/>
                <w:rtl/>
              </w:rPr>
              <w:t>ופה שלא תעלה על שלושה חודשים; הוועדה רשאית להאריך את המינוי לתקופות נוספות, ובלבד שסך כל תקופות כהונתו של ממלא מקום ה</w:t>
            </w:r>
            <w:r>
              <w:rPr>
                <w:rFonts w:ascii="David" w:hAnsi="David"/>
                <w:rtl/>
              </w:rPr>
              <w:t xml:space="preserve">נציב </w:t>
            </w:r>
            <w:r w:rsidRPr="00CC76D3">
              <w:rPr>
                <w:rFonts w:ascii="David" w:hAnsi="David"/>
                <w:rtl/>
              </w:rPr>
              <w:t>לא יעלו על ששה חודשים; נבצר מה</w:t>
            </w:r>
            <w:r>
              <w:rPr>
                <w:rFonts w:ascii="David" w:hAnsi="David"/>
                <w:rtl/>
              </w:rPr>
              <w:t xml:space="preserve">נציב </w:t>
            </w:r>
            <w:r w:rsidRPr="00CC76D3">
              <w:rPr>
                <w:rFonts w:ascii="David" w:hAnsi="David"/>
                <w:rtl/>
              </w:rPr>
              <w:t>למלא את תפקידו במשך תקופה של ששה חודשים רצופים, יראו אותו כאילו התפטר.</w:t>
            </w:r>
          </w:p>
        </w:tc>
      </w:tr>
      <w:tr w:rsidR="00111D0D" w14:paraId="09E58057" w14:textId="77777777" w:rsidTr="00685D26">
        <w:trPr>
          <w:cantSplit/>
          <w:trHeight w:val="865"/>
        </w:trPr>
        <w:tc>
          <w:tcPr>
            <w:tcW w:w="1871" w:type="dxa"/>
          </w:tcPr>
          <w:p w14:paraId="3601B21A" w14:textId="77777777" w:rsidR="00111D0D" w:rsidRPr="00CA5186" w:rsidRDefault="00111D0D" w:rsidP="00CA5186">
            <w:pPr>
              <w:pStyle w:val="TableSideHeading"/>
              <w:ind w:right="0"/>
              <w:rPr>
                <w:rtl/>
              </w:rPr>
            </w:pPr>
            <w:r>
              <w:rPr>
                <w:rFonts w:hint="cs"/>
                <w:rtl/>
              </w:rPr>
              <w:t>תחילה</w:t>
            </w:r>
          </w:p>
        </w:tc>
        <w:tc>
          <w:tcPr>
            <w:tcW w:w="624" w:type="dxa"/>
          </w:tcPr>
          <w:p w14:paraId="7A1A5341" w14:textId="16E6024B" w:rsidR="00111D0D" w:rsidRDefault="00111D0D" w:rsidP="00CA5186">
            <w:pPr>
              <w:pStyle w:val="TableText"/>
              <w:ind w:right="0"/>
              <w:jc w:val="both"/>
              <w:rPr>
                <w:rtl/>
              </w:rPr>
            </w:pPr>
            <w:r>
              <w:rPr>
                <w:rFonts w:hint="cs"/>
                <w:rtl/>
              </w:rPr>
              <w:t>2</w:t>
            </w:r>
            <w:r w:rsidR="00CA5186">
              <w:rPr>
                <w:rFonts w:hint="cs"/>
                <w:rtl/>
              </w:rPr>
              <w:t>2</w:t>
            </w:r>
            <w:r>
              <w:rPr>
                <w:rFonts w:hint="cs"/>
                <w:rtl/>
              </w:rPr>
              <w:t>.</w:t>
            </w:r>
          </w:p>
        </w:tc>
        <w:tc>
          <w:tcPr>
            <w:tcW w:w="7146" w:type="dxa"/>
            <w:gridSpan w:val="2"/>
          </w:tcPr>
          <w:p w14:paraId="5EF8CD36" w14:textId="77777777" w:rsidR="00111D0D" w:rsidRPr="00CC76D3" w:rsidRDefault="00111D0D" w:rsidP="00CA5186">
            <w:pPr>
              <w:pStyle w:val="TableBlock"/>
              <w:rPr>
                <w:rFonts w:ascii="David" w:hAnsi="David"/>
                <w:rtl/>
              </w:rPr>
            </w:pPr>
            <w:r w:rsidRPr="00CC76D3">
              <w:rPr>
                <w:rFonts w:ascii="David" w:hAnsi="David"/>
                <w:rtl/>
              </w:rPr>
              <w:t xml:space="preserve">תחילתו של </w:t>
            </w:r>
            <w:r w:rsidRPr="00CA5186">
              <w:rPr>
                <w:rtl/>
              </w:rPr>
              <w:t>חוק זה בתום 180 ימים מיום קבלתו בכנסת.</w:t>
            </w:r>
          </w:p>
        </w:tc>
      </w:tr>
    </w:tbl>
    <w:p w14:paraId="7F6961CA" w14:textId="77777777" w:rsidR="002D1EE3" w:rsidRPr="00CC76D3" w:rsidRDefault="002D1EE3" w:rsidP="002D1EE3">
      <w:pPr>
        <w:pStyle w:val="HeadDivreiHesber"/>
        <w:rPr>
          <w:rFonts w:ascii="David" w:hAnsi="David"/>
          <w:rtl/>
        </w:rPr>
      </w:pPr>
      <w:r w:rsidRPr="00CC76D3">
        <w:rPr>
          <w:rFonts w:ascii="David" w:hAnsi="David"/>
          <w:rtl/>
        </w:rPr>
        <w:t>דברי הסבר</w:t>
      </w:r>
    </w:p>
    <w:p w14:paraId="7F6961CB" w14:textId="5F22AEB7" w:rsidR="00E13C27" w:rsidRPr="00CA5186" w:rsidRDefault="008C6352" w:rsidP="00CA5186">
      <w:pPr>
        <w:pStyle w:val="Hesber"/>
        <w:rPr>
          <w:rtl/>
        </w:rPr>
      </w:pPr>
      <w:r w:rsidRPr="00CA5186">
        <w:rPr>
          <w:rFonts w:hint="cs"/>
          <w:rtl/>
        </w:rPr>
        <w:t xml:space="preserve">עתיד הדורות הבאים הוא אחד הנושאים המרכזיים על סדר היום העולמי. מדינות רבות דוגמת </w:t>
      </w:r>
      <w:r w:rsidRPr="00CA5186">
        <w:rPr>
          <w:rFonts w:hint="cs"/>
          <w:rtl/>
        </w:rPr>
        <w:lastRenderedPageBreak/>
        <w:t>קנדה, פינלנד, גרמניה וניו זילנד, כמו גם האו"ם, האיחוד האירופי וארגונים בינלאומיים, התחייבו לדאגה לדורות הבאים בהצהרות ובאמנות שונות. נושא הדאגה לדורות הב</w:t>
      </w:r>
      <w:r w:rsidR="003B6AC6" w:rsidRPr="00CA5186">
        <w:rPr>
          <w:rFonts w:hint="cs"/>
          <w:rtl/>
        </w:rPr>
        <w:t>אי</w:t>
      </w:r>
      <w:r w:rsidRPr="00CA5186">
        <w:rPr>
          <w:rFonts w:hint="cs"/>
          <w:rtl/>
        </w:rPr>
        <w:t>ם נתפס כבעל משמעות רבה במדינות המערב, העיסוק ב</w:t>
      </w:r>
      <w:r w:rsidR="009F1615" w:rsidRPr="00CA5186">
        <w:rPr>
          <w:rFonts w:hint="cs"/>
          <w:rtl/>
        </w:rPr>
        <w:t>נושא מקבל ביטוי בדיונים ובהחלטו</w:t>
      </w:r>
      <w:r w:rsidRPr="00CA5186">
        <w:rPr>
          <w:rFonts w:hint="cs"/>
          <w:rtl/>
        </w:rPr>
        <w:t>ת שעורכים פורומים ממשלתיים ומוסדיים שונים, בעיקר בתחומי איכות הסביבה ופיתוח בר-קיימא.</w:t>
      </w:r>
    </w:p>
    <w:p w14:paraId="1A08152A" w14:textId="37DDD020" w:rsidR="008C6352" w:rsidRPr="00CA5186" w:rsidRDefault="008C6352" w:rsidP="00CA5186">
      <w:pPr>
        <w:pStyle w:val="Hesber"/>
        <w:rPr>
          <w:rtl/>
        </w:rPr>
      </w:pPr>
      <w:r w:rsidRPr="00CA5186">
        <w:rPr>
          <w:rFonts w:hint="cs"/>
          <w:rtl/>
        </w:rPr>
        <w:t>מעל כל מעשה חקיקה</w:t>
      </w:r>
      <w:r w:rsidR="003B6AC6" w:rsidRPr="00CA5186">
        <w:rPr>
          <w:rFonts w:hint="cs"/>
          <w:rtl/>
        </w:rPr>
        <w:t xml:space="preserve">, </w:t>
      </w:r>
      <w:r w:rsidRPr="00CA5186">
        <w:rPr>
          <w:rFonts w:hint="cs"/>
          <w:rtl/>
        </w:rPr>
        <w:t>מרחפת הסכנה של תוצאות בלתי צפויות</w:t>
      </w:r>
      <w:r w:rsidR="003B6AC6" w:rsidRPr="00CA5186">
        <w:rPr>
          <w:rFonts w:hint="cs"/>
          <w:rtl/>
        </w:rPr>
        <w:t>. כלומר,</w:t>
      </w:r>
      <w:r w:rsidRPr="00CA5186">
        <w:rPr>
          <w:rFonts w:hint="cs"/>
          <w:rtl/>
        </w:rPr>
        <w:t xml:space="preserve"> המחוקק מתכוון להשיג מטרה מסוימת, בעוד</w:t>
      </w:r>
      <w:r w:rsidR="009F1615" w:rsidRPr="00CA5186">
        <w:rPr>
          <w:rFonts w:hint="cs"/>
          <w:rtl/>
        </w:rPr>
        <w:t xml:space="preserve"> שלמעשה מושגת תוצאה, לעיתים שלי</w:t>
      </w:r>
      <w:r w:rsidRPr="00CA5186">
        <w:rPr>
          <w:rFonts w:hint="cs"/>
          <w:rtl/>
        </w:rPr>
        <w:t>ל</w:t>
      </w:r>
      <w:r w:rsidR="009F1615" w:rsidRPr="00CA5186">
        <w:rPr>
          <w:rFonts w:hint="cs"/>
          <w:rtl/>
        </w:rPr>
        <w:t>י</w:t>
      </w:r>
      <w:r w:rsidRPr="00CA5186">
        <w:rPr>
          <w:rFonts w:hint="cs"/>
          <w:rtl/>
        </w:rPr>
        <w:t>ת</w:t>
      </w:r>
      <w:r w:rsidR="009F1615" w:rsidRPr="00CA5186">
        <w:rPr>
          <w:rFonts w:hint="cs"/>
          <w:rtl/>
        </w:rPr>
        <w:t>, שלא נלקחה</w:t>
      </w:r>
      <w:r w:rsidRPr="00CA5186">
        <w:rPr>
          <w:rFonts w:hint="cs"/>
          <w:rtl/>
        </w:rPr>
        <w:t xml:space="preserve"> בחשבון. לפעמים </w:t>
      </w:r>
      <w:r w:rsidR="009F1615" w:rsidRPr="00CA5186">
        <w:rPr>
          <w:rFonts w:hint="cs"/>
          <w:rtl/>
        </w:rPr>
        <w:t>קשה לחשב כיצד מעשה חקיקה י</w:t>
      </w:r>
      <w:r w:rsidRPr="00CA5186">
        <w:rPr>
          <w:rFonts w:hint="cs"/>
          <w:rtl/>
        </w:rPr>
        <w:t>שפיע בעוד שנים ספורות ולא כל שכן, כיצד הוא ישפיע בעוד דור או מספר דורות. הדבר נכון שבעתיים בחברה דינמית כמו זו שלנו, שההתפתחות הטכנולוגית המהירה מאיצה את תהליכי התהוותה.</w:t>
      </w:r>
    </w:p>
    <w:p w14:paraId="2B11FC38" w14:textId="539C88A8" w:rsidR="008C6352" w:rsidRPr="00CA5186" w:rsidRDefault="008C6352" w:rsidP="00CA5186">
      <w:pPr>
        <w:pStyle w:val="Hesber"/>
        <w:rPr>
          <w:rtl/>
        </w:rPr>
      </w:pPr>
      <w:r w:rsidRPr="00CA5186">
        <w:rPr>
          <w:rFonts w:hint="cs"/>
          <w:rtl/>
        </w:rPr>
        <w:t>זאת ועוד: פוליטיקאים נוטים לעיתים לפתור את בעיות השעה, הלוחצות על בוחריהם, מתוך תקווה שלטווח ארוך העניינים יסתדרו</w:t>
      </w:r>
      <w:r w:rsidR="009F1615" w:rsidRPr="00CA5186">
        <w:rPr>
          <w:rFonts w:hint="cs"/>
          <w:rtl/>
        </w:rPr>
        <w:t>,</w:t>
      </w:r>
      <w:r w:rsidRPr="00CA5186">
        <w:rPr>
          <w:rFonts w:hint="cs"/>
          <w:rtl/>
        </w:rPr>
        <w:t xml:space="preserve"> ומכל מקום הם יהוו בעיה לממשלה אחרת ולכנסת אחרת.</w:t>
      </w:r>
    </w:p>
    <w:p w14:paraId="42F04B43" w14:textId="3E55CE4B" w:rsidR="008C6352" w:rsidRPr="00CA5186" w:rsidRDefault="008C6352" w:rsidP="00CA5186">
      <w:pPr>
        <w:pStyle w:val="Hesber"/>
        <w:rPr>
          <w:rtl/>
        </w:rPr>
      </w:pPr>
      <w:r w:rsidRPr="00CA5186">
        <w:rPr>
          <w:rFonts w:hint="cs"/>
          <w:rtl/>
        </w:rPr>
        <w:t xml:space="preserve">על רקע זה מתעורר צורך במינויו של </w:t>
      </w:r>
      <w:r w:rsidR="008279A4" w:rsidRPr="00CA5186">
        <w:rPr>
          <w:rFonts w:hint="cs"/>
          <w:rtl/>
        </w:rPr>
        <w:t>נציב</w:t>
      </w:r>
      <w:r w:rsidR="006229CB" w:rsidRPr="00CA5186">
        <w:rPr>
          <w:rFonts w:hint="cs"/>
          <w:rtl/>
        </w:rPr>
        <w:t xml:space="preserve"> </w:t>
      </w:r>
      <w:r w:rsidRPr="00CA5186">
        <w:rPr>
          <w:rFonts w:hint="cs"/>
          <w:rtl/>
        </w:rPr>
        <w:t>שייצ</w:t>
      </w:r>
      <w:r w:rsidR="009F1615" w:rsidRPr="00CA5186">
        <w:rPr>
          <w:rFonts w:hint="cs"/>
          <w:rtl/>
        </w:rPr>
        <w:t>ג ב</w:t>
      </w:r>
      <w:r w:rsidRPr="00CA5186">
        <w:rPr>
          <w:rFonts w:hint="cs"/>
          <w:rtl/>
        </w:rPr>
        <w:t>פני הראשות המחוקקת את הדורות שטרם נולדו, "</w:t>
      </w:r>
      <w:r w:rsidR="008279A4" w:rsidRPr="00CA5186">
        <w:rPr>
          <w:rFonts w:hint="cs"/>
          <w:rtl/>
        </w:rPr>
        <w:t>נציב</w:t>
      </w:r>
      <w:r w:rsidR="006229CB" w:rsidRPr="00CA5186">
        <w:rPr>
          <w:rFonts w:hint="cs"/>
          <w:rtl/>
        </w:rPr>
        <w:t xml:space="preserve"> </w:t>
      </w:r>
      <w:r w:rsidRPr="00CA5186">
        <w:rPr>
          <w:rFonts w:hint="cs"/>
          <w:rtl/>
        </w:rPr>
        <w:t xml:space="preserve">הדורות הבאים". תינתן </w:t>
      </w:r>
      <w:r w:rsidR="009F1615" w:rsidRPr="00CA5186">
        <w:rPr>
          <w:rFonts w:hint="cs"/>
          <w:rtl/>
        </w:rPr>
        <w:t>לו הזד</w:t>
      </w:r>
      <w:r w:rsidRPr="00CA5186">
        <w:rPr>
          <w:rFonts w:hint="cs"/>
          <w:rtl/>
        </w:rPr>
        <w:t>מנות לבחון כל מעשה חק</w:t>
      </w:r>
      <w:r w:rsidR="009F1615" w:rsidRPr="00CA5186">
        <w:rPr>
          <w:rFonts w:hint="cs"/>
          <w:rtl/>
        </w:rPr>
        <w:t>יקה ולהופיע בפני ועדת הכנסת המת</w:t>
      </w:r>
      <w:r w:rsidRPr="00CA5186">
        <w:rPr>
          <w:rFonts w:hint="cs"/>
          <w:rtl/>
        </w:rPr>
        <w:t>א</w:t>
      </w:r>
      <w:r w:rsidR="009F1615" w:rsidRPr="00CA5186">
        <w:rPr>
          <w:rFonts w:hint="cs"/>
          <w:rtl/>
        </w:rPr>
        <w:t>ימה, אם יתעורר</w:t>
      </w:r>
      <w:r w:rsidRPr="00CA5186">
        <w:rPr>
          <w:rFonts w:hint="cs"/>
          <w:rtl/>
        </w:rPr>
        <w:t xml:space="preserve"> חשש של קיפוח הדורות הבאים. </w:t>
      </w:r>
      <w:r w:rsidR="009F1615" w:rsidRPr="00CA5186">
        <w:rPr>
          <w:rFonts w:hint="cs"/>
          <w:rtl/>
        </w:rPr>
        <w:t>בין אם מדובר</w:t>
      </w:r>
      <w:r w:rsidRPr="00CA5186">
        <w:rPr>
          <w:rFonts w:hint="cs"/>
          <w:rtl/>
        </w:rPr>
        <w:t xml:space="preserve"> </w:t>
      </w:r>
      <w:r w:rsidR="009F1615" w:rsidRPr="00CA5186">
        <w:rPr>
          <w:rFonts w:hint="cs"/>
          <w:rtl/>
        </w:rPr>
        <w:t>ב</w:t>
      </w:r>
      <w:r w:rsidRPr="00CA5186">
        <w:rPr>
          <w:rFonts w:hint="cs"/>
          <w:rtl/>
        </w:rPr>
        <w:t>ז</w:t>
      </w:r>
      <w:r w:rsidR="009F1615" w:rsidRPr="00CA5186">
        <w:rPr>
          <w:rFonts w:hint="cs"/>
          <w:rtl/>
        </w:rPr>
        <w:t>יהו</w:t>
      </w:r>
      <w:r w:rsidRPr="00CA5186">
        <w:rPr>
          <w:rFonts w:hint="cs"/>
          <w:rtl/>
        </w:rPr>
        <w:t>ם הקרקע או האוויר, פגיע</w:t>
      </w:r>
      <w:r w:rsidR="003B6AC6" w:rsidRPr="00CA5186">
        <w:rPr>
          <w:rFonts w:hint="cs"/>
          <w:rtl/>
        </w:rPr>
        <w:t>ה</w:t>
      </w:r>
      <w:r w:rsidRPr="00CA5186">
        <w:rPr>
          <w:rFonts w:hint="cs"/>
          <w:rtl/>
        </w:rPr>
        <w:t xml:space="preserve"> בקרנות פנסיה, השלכותיה של הנדסה גנטית או תוצאות של פיתוח טכנולוגי.</w:t>
      </w:r>
    </w:p>
    <w:p w14:paraId="7CD7E0DE" w14:textId="77777777" w:rsidR="003B6AC6" w:rsidRPr="00CA5186" w:rsidRDefault="008C6352" w:rsidP="00CA5186">
      <w:pPr>
        <w:pStyle w:val="Hesber"/>
        <w:rPr>
          <w:rtl/>
        </w:rPr>
      </w:pPr>
      <w:r w:rsidRPr="00CA5186">
        <w:rPr>
          <w:rFonts w:hint="cs"/>
          <w:rtl/>
        </w:rPr>
        <w:t xml:space="preserve">בעקבות תיקון לחוק הכנסת משנת 2001, שהוביל שר המשפטים דאז חבר הכנסת טומי לפיד ז"ל, הוקמה בכנסת נציבות הדורות הבאים אשר פעלה מספר שנים עד לביטולה בתיקון משנת 2010. </w:t>
      </w:r>
    </w:p>
    <w:p w14:paraId="05ABE991" w14:textId="332003C3" w:rsidR="008C6352" w:rsidRDefault="008C6352" w:rsidP="00CA5186">
      <w:pPr>
        <w:pStyle w:val="Hesber"/>
        <w:rPr>
          <w:rtl/>
        </w:rPr>
      </w:pPr>
      <w:r w:rsidRPr="00CA5186">
        <w:rPr>
          <w:rFonts w:hint="cs"/>
          <w:rtl/>
        </w:rPr>
        <w:t>הצע</w:t>
      </w:r>
      <w:r w:rsidR="003B6AC6" w:rsidRPr="00CA5186">
        <w:rPr>
          <w:rFonts w:hint="cs"/>
          <w:rtl/>
        </w:rPr>
        <w:t>ות חוק דומות</w:t>
      </w:r>
      <w:r w:rsidR="00CA5186">
        <w:rPr>
          <w:rFonts w:hint="cs"/>
          <w:rtl/>
        </w:rPr>
        <w:t xml:space="preserve"> בעיקרן</w:t>
      </w:r>
      <w:r w:rsidR="003B6AC6" w:rsidRPr="00CA5186">
        <w:rPr>
          <w:rFonts w:hint="cs"/>
          <w:rtl/>
        </w:rPr>
        <w:t xml:space="preserve"> הונחו על שולחן הכנסת </w:t>
      </w:r>
      <w:r w:rsidRPr="00CA5186">
        <w:rPr>
          <w:rFonts w:hint="cs"/>
          <w:rtl/>
        </w:rPr>
        <w:t>העשרים ושתיים</w:t>
      </w:r>
      <w:r w:rsidR="006F3819" w:rsidRPr="00CA5186">
        <w:rPr>
          <w:rFonts w:hint="cs"/>
          <w:rtl/>
        </w:rPr>
        <w:t xml:space="preserve"> ועל שולחן הכנסת העשרים ושלוש</w:t>
      </w:r>
      <w:r w:rsidR="003B6AC6" w:rsidRPr="00CA5186">
        <w:rPr>
          <w:rFonts w:hint="cs"/>
          <w:rtl/>
        </w:rPr>
        <w:t xml:space="preserve"> </w:t>
      </w:r>
      <w:r w:rsidRPr="00CA5186">
        <w:rPr>
          <w:rFonts w:hint="cs"/>
          <w:rtl/>
        </w:rPr>
        <w:t>על ידי חברת הכנסת מיקי חיימוביץ' (</w:t>
      </w:r>
      <w:r w:rsidR="009F1615" w:rsidRPr="00CA5186">
        <w:rPr>
          <w:rFonts w:hint="cs"/>
          <w:rtl/>
        </w:rPr>
        <w:t>פ/415/22</w:t>
      </w:r>
      <w:r w:rsidR="002C62D8" w:rsidRPr="00CA5186">
        <w:rPr>
          <w:rFonts w:hint="cs"/>
          <w:rtl/>
        </w:rPr>
        <w:t>; פ/88/23</w:t>
      </w:r>
      <w:r w:rsidRPr="00CA5186">
        <w:rPr>
          <w:rFonts w:hint="cs"/>
          <w:rtl/>
        </w:rPr>
        <w:t>)</w:t>
      </w:r>
      <w:r w:rsidR="002C62D8" w:rsidRPr="00CA5186">
        <w:rPr>
          <w:rFonts w:hint="cs"/>
          <w:rtl/>
        </w:rPr>
        <w:t>.</w:t>
      </w:r>
    </w:p>
    <w:p w14:paraId="6E3D137F" w14:textId="77777777" w:rsidR="00CA5186" w:rsidRPr="00CA5186" w:rsidRDefault="00CA5186" w:rsidP="00CA5186">
      <w:pPr>
        <w:pStyle w:val="Hesber"/>
        <w:rPr>
          <w:rtl/>
        </w:rPr>
      </w:pPr>
      <w:bookmarkStart w:id="6" w:name="_GoBack"/>
      <w:bookmarkEnd w:id="6"/>
    </w:p>
    <w:p w14:paraId="31DDFA54" w14:textId="77777777" w:rsidR="00547207" w:rsidRDefault="00CA5186">
      <w:pPr>
        <w:spacing w:before="0" w:line="360" w:lineRule="auto"/>
        <w:jc w:val="left"/>
      </w:pPr>
      <w:bookmarkStart w:id="7" w:name="selectedDocDateB"/>
      <w:bookmarkEnd w:id="7"/>
      <w:r>
        <w:rPr>
          <w:rFonts w:ascii="David" w:eastAsia="David" w:hAnsi="David" w:cs="David" w:hint="cs"/>
          <w:sz w:val="26"/>
          <w:szCs w:val="26"/>
          <w:rtl/>
        </w:rPr>
        <w:t>--------------------------------</w:t>
      </w:r>
    </w:p>
    <w:p w14:paraId="2BD9394A" w14:textId="77777777" w:rsidR="00547207" w:rsidRDefault="00CA5186">
      <w:pPr>
        <w:spacing w:before="0" w:line="360" w:lineRule="auto"/>
        <w:jc w:val="left"/>
      </w:pPr>
      <w:r>
        <w:rPr>
          <w:rFonts w:ascii="David" w:eastAsia="David" w:hAnsi="David" w:cs="David" w:hint="cs"/>
          <w:sz w:val="26"/>
          <w:szCs w:val="26"/>
          <w:rtl/>
        </w:rPr>
        <w:t>הוגשה ליו"ר הכנסת והסגנים</w:t>
      </w:r>
    </w:p>
    <w:p w14:paraId="47779E61" w14:textId="77777777" w:rsidR="00547207" w:rsidRDefault="00CA5186">
      <w:pPr>
        <w:spacing w:before="0" w:line="360" w:lineRule="auto"/>
        <w:jc w:val="left"/>
      </w:pPr>
      <w:r>
        <w:rPr>
          <w:rFonts w:ascii="David" w:eastAsia="David" w:hAnsi="David" w:cs="David" w:hint="cs"/>
          <w:sz w:val="26"/>
          <w:szCs w:val="26"/>
          <w:rtl/>
        </w:rPr>
        <w:t>והונחה על שולחן הכנסת ביום</w:t>
      </w:r>
    </w:p>
    <w:p w14:paraId="5303C88D" w14:textId="77777777" w:rsidR="00547207" w:rsidRDefault="00CA5186">
      <w:pPr>
        <w:spacing w:before="0" w:line="360" w:lineRule="auto"/>
        <w:jc w:val="left"/>
      </w:pPr>
      <w:r>
        <w:rPr>
          <w:rFonts w:ascii="David" w:eastAsia="David" w:hAnsi="David" w:cs="David" w:hint="cs"/>
          <w:sz w:val="26"/>
          <w:szCs w:val="26"/>
          <w:rtl/>
        </w:rPr>
        <w:t xml:space="preserve">ב' בטבת </w:t>
      </w:r>
      <w:proofErr w:type="spellStart"/>
      <w:r>
        <w:rPr>
          <w:rFonts w:ascii="David" w:eastAsia="David" w:hAnsi="David" w:cs="David" w:hint="cs"/>
          <w:sz w:val="26"/>
          <w:szCs w:val="26"/>
          <w:rtl/>
        </w:rPr>
        <w:t>התשפ"ב</w:t>
      </w:r>
      <w:proofErr w:type="spellEnd"/>
      <w:r>
        <w:rPr>
          <w:rFonts w:ascii="David" w:eastAsia="David" w:hAnsi="David" w:cs="David" w:hint="cs"/>
          <w:sz w:val="26"/>
          <w:szCs w:val="26"/>
          <w:rtl/>
        </w:rPr>
        <w:t xml:space="preserve"> (06.12.2021) </w:t>
      </w:r>
    </w:p>
    <w:p w14:paraId="4E15B56D" w14:textId="77777777" w:rsidR="00547207" w:rsidRDefault="00547207">
      <w:pPr>
        <w:spacing w:before="0" w:line="276" w:lineRule="auto"/>
        <w:jc w:val="left"/>
      </w:pPr>
    </w:p>
    <w:sectPr w:rsidR="0054720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A5186">
      <w:rPr>
        <w:rStyle w:val="ab"/>
        <w:noProof/>
        <w:rtl/>
      </w:rPr>
      <w:t>4</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50213C">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AE2A92E" w14:textId="77777777" w:rsidR="00111D0D" w:rsidRDefault="00111D0D">
      <w:pPr>
        <w:pStyle w:val="a4"/>
      </w:pPr>
      <w:r>
        <w:rPr>
          <w:rStyle w:val="a6"/>
        </w:rPr>
        <w:footnoteRef/>
      </w:r>
      <w:r>
        <w:rPr>
          <w:rtl/>
        </w:rPr>
        <w:t xml:space="preserve"> </w:t>
      </w:r>
      <w:r>
        <w:rPr>
          <w:rFonts w:hint="cs"/>
          <w:rtl/>
        </w:rPr>
        <w:t xml:space="preserve">ס"ח </w:t>
      </w:r>
      <w:proofErr w:type="spellStart"/>
      <w:r>
        <w:rPr>
          <w:rFonts w:hint="cs"/>
          <w:rtl/>
        </w:rPr>
        <w:t>התשס"ג</w:t>
      </w:r>
      <w:proofErr w:type="spellEnd"/>
      <w:r>
        <w:rPr>
          <w:rFonts w:hint="cs"/>
          <w:rtl/>
        </w:rPr>
        <w:t>, עמ' 118.</w:t>
      </w:r>
    </w:p>
  </w:footnote>
  <w:footnote w:id="3">
    <w:p w14:paraId="0C0A91D6" w14:textId="77777777" w:rsidR="00111D0D" w:rsidRDefault="00111D0D" w:rsidP="00685D26">
      <w:pPr>
        <w:pStyle w:val="a4"/>
      </w:pPr>
      <w:r>
        <w:rPr>
          <w:rStyle w:val="a6"/>
        </w:rPr>
        <w:footnoteRef/>
      </w:r>
      <w:r>
        <w:rPr>
          <w:rtl/>
        </w:rPr>
        <w:t xml:space="preserve"> </w:t>
      </w:r>
      <w:r>
        <w:rPr>
          <w:rFonts w:hint="cs"/>
          <w:rtl/>
        </w:rPr>
        <w:t xml:space="preserve">ס"ח </w:t>
      </w:r>
      <w:proofErr w:type="spellStart"/>
      <w:r>
        <w:rPr>
          <w:rFonts w:hint="cs"/>
          <w:rtl/>
        </w:rPr>
        <w:t>התשי"ח</w:t>
      </w:r>
      <w:proofErr w:type="spellEnd"/>
      <w:r>
        <w:rPr>
          <w:rFonts w:hint="cs"/>
          <w:rtl/>
        </w:rPr>
        <w:t xml:space="preserve">, עמ' 191. </w:t>
      </w:r>
    </w:p>
  </w:footnote>
  <w:footnote w:id="4">
    <w:p w14:paraId="3AE06FD1" w14:textId="77777777" w:rsidR="00111D0D" w:rsidRDefault="00111D0D">
      <w:pPr>
        <w:pStyle w:val="a4"/>
      </w:pPr>
      <w:r>
        <w:rPr>
          <w:rStyle w:val="a6"/>
        </w:rPr>
        <w:footnoteRef/>
      </w:r>
      <w:r>
        <w:rPr>
          <w:rtl/>
        </w:rPr>
        <w:t xml:space="preserve"> </w:t>
      </w:r>
      <w:r>
        <w:rPr>
          <w:rFonts w:hint="cs"/>
          <w:rtl/>
        </w:rPr>
        <w:t xml:space="preserve">ס"ח </w:t>
      </w:r>
      <w:proofErr w:type="spellStart"/>
      <w:r>
        <w:rPr>
          <w:rFonts w:hint="cs"/>
          <w:rtl/>
        </w:rPr>
        <w:t>התשנ"ד</w:t>
      </w:r>
      <w:proofErr w:type="spellEnd"/>
      <w:r>
        <w:rPr>
          <w:rFonts w:hint="cs"/>
          <w:rtl/>
        </w:rPr>
        <w:t xml:space="preserve">, עמ' 140.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3A7622"/>
    <w:multiLevelType w:val="hybridMultilevel"/>
    <w:tmpl w:val="3E62C34E"/>
    <w:lvl w:ilvl="0" w:tplc="C2500A8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37B73"/>
    <w:multiLevelType w:val="hybridMultilevel"/>
    <w:tmpl w:val="3820AEE8"/>
    <w:lvl w:ilvl="0" w:tplc="65B0AD56">
      <w:start w:val="1"/>
      <w:numFmt w:val="hebrew1"/>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FC16F6"/>
    <w:multiLevelType w:val="hybridMultilevel"/>
    <w:tmpl w:val="CFB60AC2"/>
    <w:lvl w:ilvl="0" w:tplc="C950B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E64370"/>
    <w:multiLevelType w:val="hybridMultilevel"/>
    <w:tmpl w:val="3CDE5B92"/>
    <w:lvl w:ilvl="0" w:tplc="ED6850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A908AD"/>
    <w:multiLevelType w:val="hybridMultilevel"/>
    <w:tmpl w:val="70F26A30"/>
    <w:lvl w:ilvl="0" w:tplc="9802093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E1888"/>
    <w:multiLevelType w:val="hybridMultilevel"/>
    <w:tmpl w:val="DB5252EC"/>
    <w:lvl w:ilvl="0" w:tplc="11ECE14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1100A"/>
    <w:multiLevelType w:val="hybridMultilevel"/>
    <w:tmpl w:val="F702B7F4"/>
    <w:lvl w:ilvl="0" w:tplc="2AE035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6A3543"/>
    <w:multiLevelType w:val="hybridMultilevel"/>
    <w:tmpl w:val="EB62A16C"/>
    <w:lvl w:ilvl="0" w:tplc="F61E78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C00EB"/>
    <w:multiLevelType w:val="hybridMultilevel"/>
    <w:tmpl w:val="7A28E93C"/>
    <w:lvl w:ilvl="0" w:tplc="C33C79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16CDB"/>
    <w:multiLevelType w:val="hybridMultilevel"/>
    <w:tmpl w:val="ED125DB8"/>
    <w:lvl w:ilvl="0" w:tplc="0A8017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E3A88"/>
    <w:multiLevelType w:val="hybridMultilevel"/>
    <w:tmpl w:val="E672398C"/>
    <w:lvl w:ilvl="0" w:tplc="DCE26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AF3163"/>
    <w:multiLevelType w:val="hybridMultilevel"/>
    <w:tmpl w:val="0756D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3"/>
  </w:num>
  <w:num w:numId="13">
    <w:abstractNumId w:val="12"/>
  </w:num>
  <w:num w:numId="14">
    <w:abstractNumId w:val="24"/>
  </w:num>
  <w:num w:numId="15">
    <w:abstractNumId w:val="19"/>
  </w:num>
  <w:num w:numId="16">
    <w:abstractNumId w:val="22"/>
  </w:num>
  <w:num w:numId="17">
    <w:abstractNumId w:val="18"/>
  </w:num>
  <w:num w:numId="18">
    <w:abstractNumId w:val="25"/>
  </w:num>
  <w:num w:numId="19">
    <w:abstractNumId w:val="21"/>
  </w:num>
  <w:num w:numId="20">
    <w:abstractNumId w:val="20"/>
  </w:num>
  <w:num w:numId="21">
    <w:abstractNumId w:val="17"/>
  </w:num>
  <w:num w:numId="22">
    <w:abstractNumId w:val="14"/>
  </w:num>
  <w:num w:numId="23">
    <w:abstractNumId w:val="16"/>
  </w:num>
  <w:num w:numId="24">
    <w:abstractNumId w:val="15"/>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0E7E"/>
    <w:rsid w:val="00072CAC"/>
    <w:rsid w:val="0007681A"/>
    <w:rsid w:val="000A542E"/>
    <w:rsid w:val="000F5CEF"/>
    <w:rsid w:val="00102B6B"/>
    <w:rsid w:val="001052D4"/>
    <w:rsid w:val="0010644B"/>
    <w:rsid w:val="00111D0D"/>
    <w:rsid w:val="001139D5"/>
    <w:rsid w:val="001178B1"/>
    <w:rsid w:val="001207F8"/>
    <w:rsid w:val="00121924"/>
    <w:rsid w:val="001279A8"/>
    <w:rsid w:val="0014195F"/>
    <w:rsid w:val="00152609"/>
    <w:rsid w:val="00153E1B"/>
    <w:rsid w:val="001A0623"/>
    <w:rsid w:val="001C23B0"/>
    <w:rsid w:val="001D7AAF"/>
    <w:rsid w:val="001E6FE0"/>
    <w:rsid w:val="001F00B9"/>
    <w:rsid w:val="00202DA9"/>
    <w:rsid w:val="00203A7F"/>
    <w:rsid w:val="0021633A"/>
    <w:rsid w:val="002200A1"/>
    <w:rsid w:val="0022200A"/>
    <w:rsid w:val="00227106"/>
    <w:rsid w:val="002362BF"/>
    <w:rsid w:val="00241B97"/>
    <w:rsid w:val="002425D1"/>
    <w:rsid w:val="00246756"/>
    <w:rsid w:val="00251E58"/>
    <w:rsid w:val="00254605"/>
    <w:rsid w:val="00266D86"/>
    <w:rsid w:val="002728B4"/>
    <w:rsid w:val="0027600C"/>
    <w:rsid w:val="00292712"/>
    <w:rsid w:val="002A487D"/>
    <w:rsid w:val="002B6A59"/>
    <w:rsid w:val="002C2E29"/>
    <w:rsid w:val="002C3041"/>
    <w:rsid w:val="002C62D8"/>
    <w:rsid w:val="002D1EE3"/>
    <w:rsid w:val="002D4E29"/>
    <w:rsid w:val="002F1D80"/>
    <w:rsid w:val="002F2DB3"/>
    <w:rsid w:val="0031504B"/>
    <w:rsid w:val="003232A2"/>
    <w:rsid w:val="00325C14"/>
    <w:rsid w:val="00333CFE"/>
    <w:rsid w:val="00362514"/>
    <w:rsid w:val="0036422C"/>
    <w:rsid w:val="003710F6"/>
    <w:rsid w:val="00386E88"/>
    <w:rsid w:val="00396585"/>
    <w:rsid w:val="003B6AC6"/>
    <w:rsid w:val="003D6E38"/>
    <w:rsid w:val="003D74A0"/>
    <w:rsid w:val="004033D8"/>
    <w:rsid w:val="004073F0"/>
    <w:rsid w:val="00412A7D"/>
    <w:rsid w:val="004132C8"/>
    <w:rsid w:val="00416B4D"/>
    <w:rsid w:val="00417CFC"/>
    <w:rsid w:val="004658BA"/>
    <w:rsid w:val="004A06DC"/>
    <w:rsid w:val="004B24ED"/>
    <w:rsid w:val="004B6625"/>
    <w:rsid w:val="004C29D7"/>
    <w:rsid w:val="004D2D82"/>
    <w:rsid w:val="004D3876"/>
    <w:rsid w:val="004E4552"/>
    <w:rsid w:val="004E6CDF"/>
    <w:rsid w:val="004F7C8D"/>
    <w:rsid w:val="0050213C"/>
    <w:rsid w:val="00547207"/>
    <w:rsid w:val="00553C9D"/>
    <w:rsid w:val="00562A66"/>
    <w:rsid w:val="005707A5"/>
    <w:rsid w:val="005B064E"/>
    <w:rsid w:val="005D51AE"/>
    <w:rsid w:val="006229CB"/>
    <w:rsid w:val="0062674B"/>
    <w:rsid w:val="006363B2"/>
    <w:rsid w:val="00644940"/>
    <w:rsid w:val="006818A9"/>
    <w:rsid w:val="00685D26"/>
    <w:rsid w:val="006A2D81"/>
    <w:rsid w:val="006C1D0D"/>
    <w:rsid w:val="006F3819"/>
    <w:rsid w:val="0070601E"/>
    <w:rsid w:val="00712C72"/>
    <w:rsid w:val="00734E63"/>
    <w:rsid w:val="00735FE9"/>
    <w:rsid w:val="007518C6"/>
    <w:rsid w:val="00763CAA"/>
    <w:rsid w:val="00765F66"/>
    <w:rsid w:val="0078664F"/>
    <w:rsid w:val="007A27CE"/>
    <w:rsid w:val="007C3FA6"/>
    <w:rsid w:val="007D585A"/>
    <w:rsid w:val="007D5A12"/>
    <w:rsid w:val="007E0988"/>
    <w:rsid w:val="007E59F9"/>
    <w:rsid w:val="00810BCD"/>
    <w:rsid w:val="00812C98"/>
    <w:rsid w:val="00814D92"/>
    <w:rsid w:val="008279A4"/>
    <w:rsid w:val="0083181D"/>
    <w:rsid w:val="0083432B"/>
    <w:rsid w:val="00843EB2"/>
    <w:rsid w:val="0085383A"/>
    <w:rsid w:val="008616DA"/>
    <w:rsid w:val="00865572"/>
    <w:rsid w:val="008707CC"/>
    <w:rsid w:val="00874BBC"/>
    <w:rsid w:val="00892135"/>
    <w:rsid w:val="00895449"/>
    <w:rsid w:val="00897879"/>
    <w:rsid w:val="008A6870"/>
    <w:rsid w:val="008B29D2"/>
    <w:rsid w:val="008C2DDC"/>
    <w:rsid w:val="008C6352"/>
    <w:rsid w:val="008C7516"/>
    <w:rsid w:val="008E6EC7"/>
    <w:rsid w:val="008F0D63"/>
    <w:rsid w:val="008F1308"/>
    <w:rsid w:val="008F2C35"/>
    <w:rsid w:val="008F6665"/>
    <w:rsid w:val="00904591"/>
    <w:rsid w:val="00905E5F"/>
    <w:rsid w:val="0091204F"/>
    <w:rsid w:val="009203DB"/>
    <w:rsid w:val="00920E8D"/>
    <w:rsid w:val="00923CD4"/>
    <w:rsid w:val="00930EFE"/>
    <w:rsid w:val="00943386"/>
    <w:rsid w:val="009456B6"/>
    <w:rsid w:val="00957589"/>
    <w:rsid w:val="00966D06"/>
    <w:rsid w:val="00982412"/>
    <w:rsid w:val="00983A8D"/>
    <w:rsid w:val="009A0DB8"/>
    <w:rsid w:val="009A7257"/>
    <w:rsid w:val="009B0744"/>
    <w:rsid w:val="009D6E0A"/>
    <w:rsid w:val="009E1E33"/>
    <w:rsid w:val="009F1615"/>
    <w:rsid w:val="00A14672"/>
    <w:rsid w:val="00A26BD6"/>
    <w:rsid w:val="00A443CF"/>
    <w:rsid w:val="00A6611D"/>
    <w:rsid w:val="00A82CB7"/>
    <w:rsid w:val="00A942C1"/>
    <w:rsid w:val="00A956FD"/>
    <w:rsid w:val="00AA15F8"/>
    <w:rsid w:val="00AA1FFA"/>
    <w:rsid w:val="00AA2F03"/>
    <w:rsid w:val="00AC36F7"/>
    <w:rsid w:val="00AC63A4"/>
    <w:rsid w:val="00AD239E"/>
    <w:rsid w:val="00AF263B"/>
    <w:rsid w:val="00B10265"/>
    <w:rsid w:val="00B16A99"/>
    <w:rsid w:val="00B21211"/>
    <w:rsid w:val="00B35784"/>
    <w:rsid w:val="00B733A7"/>
    <w:rsid w:val="00B75C91"/>
    <w:rsid w:val="00B975AD"/>
    <w:rsid w:val="00BC45FB"/>
    <w:rsid w:val="00BF148D"/>
    <w:rsid w:val="00C23B1A"/>
    <w:rsid w:val="00C310EB"/>
    <w:rsid w:val="00C9176A"/>
    <w:rsid w:val="00CA5186"/>
    <w:rsid w:val="00CC76D3"/>
    <w:rsid w:val="00CF1AA2"/>
    <w:rsid w:val="00D142D3"/>
    <w:rsid w:val="00D17774"/>
    <w:rsid w:val="00D63620"/>
    <w:rsid w:val="00D8410D"/>
    <w:rsid w:val="00D867D7"/>
    <w:rsid w:val="00DB7060"/>
    <w:rsid w:val="00DE1317"/>
    <w:rsid w:val="00DE3153"/>
    <w:rsid w:val="00DE7ED1"/>
    <w:rsid w:val="00E06736"/>
    <w:rsid w:val="00E13C27"/>
    <w:rsid w:val="00E23AA8"/>
    <w:rsid w:val="00E33BBD"/>
    <w:rsid w:val="00E374F2"/>
    <w:rsid w:val="00E45103"/>
    <w:rsid w:val="00E45E09"/>
    <w:rsid w:val="00E55A60"/>
    <w:rsid w:val="00E62778"/>
    <w:rsid w:val="00E635A2"/>
    <w:rsid w:val="00E63D38"/>
    <w:rsid w:val="00E665B9"/>
    <w:rsid w:val="00EA01E6"/>
    <w:rsid w:val="00EA2985"/>
    <w:rsid w:val="00EA3DE8"/>
    <w:rsid w:val="00EA758F"/>
    <w:rsid w:val="00ED1F9A"/>
    <w:rsid w:val="00ED4A6F"/>
    <w:rsid w:val="00EF3A3A"/>
    <w:rsid w:val="00F16C24"/>
    <w:rsid w:val="00F17C3F"/>
    <w:rsid w:val="00F628D6"/>
    <w:rsid w:val="00F67051"/>
    <w:rsid w:val="00F86A1E"/>
    <w:rsid w:val="00FA5E88"/>
    <w:rsid w:val="00FB02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AE93F3A-FA82-4DDE-AFFB-8C5F1B4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685D26"/>
    <w:rPr>
      <w:rFonts w:ascii="Arial" w:eastAsia="Arial Unicode MS" w:hAnsi="Arial" w:cs="David"/>
      <w:snapToGrid w:val="0"/>
      <w:color w:val="000000"/>
      <w:sz w:val="14"/>
      <w:lang w:eastAsia="ja-JP"/>
    </w:rPr>
  </w:style>
  <w:style w:type="character" w:styleId="ae">
    <w:name w:val="annotation reference"/>
    <w:basedOn w:val="a0"/>
    <w:semiHidden/>
    <w:unhideWhenUsed/>
    <w:rsid w:val="007518C6"/>
    <w:rPr>
      <w:sz w:val="16"/>
      <w:szCs w:val="16"/>
    </w:rPr>
  </w:style>
  <w:style w:type="paragraph" w:styleId="af">
    <w:name w:val="annotation text"/>
    <w:basedOn w:val="a"/>
    <w:link w:val="af0"/>
    <w:semiHidden/>
    <w:unhideWhenUsed/>
    <w:rsid w:val="007518C6"/>
    <w:pPr>
      <w:spacing w:line="240" w:lineRule="auto"/>
    </w:pPr>
    <w:rPr>
      <w:sz w:val="20"/>
      <w:szCs w:val="20"/>
    </w:rPr>
  </w:style>
  <w:style w:type="character" w:customStyle="1" w:styleId="af0">
    <w:name w:val="טקסט הערה תו"/>
    <w:basedOn w:val="a0"/>
    <w:link w:val="af"/>
    <w:semiHidden/>
    <w:rsid w:val="007518C6"/>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7518C6"/>
    <w:rPr>
      <w:b/>
      <w:bCs/>
    </w:rPr>
  </w:style>
  <w:style w:type="character" w:customStyle="1" w:styleId="af2">
    <w:name w:val="נושא הערה תו"/>
    <w:basedOn w:val="af0"/>
    <w:link w:val="af1"/>
    <w:semiHidden/>
    <w:rsid w:val="007518C6"/>
    <w:rPr>
      <w:rFonts w:ascii="Hadasa Roso SL" w:hAnsi="Hadasa Roso SL" w:cs="Hadasa Roso SL"/>
      <w:b/>
      <w:bCs/>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462215">
      <w:bodyDiv w:val="1"/>
      <w:marLeft w:val="0"/>
      <w:marRight w:val="0"/>
      <w:marTop w:val="0"/>
      <w:marBottom w:val="0"/>
      <w:divBdr>
        <w:top w:val="none" w:sz="0" w:space="0" w:color="auto"/>
        <w:left w:val="none" w:sz="0" w:space="0" w:color="auto"/>
        <w:bottom w:val="none" w:sz="0" w:space="0" w:color="auto"/>
        <w:right w:val="none" w:sz="0" w:space="0" w:color="auto"/>
      </w:divBdr>
    </w:div>
    <w:div w:id="1937204340">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5488563B-1A94-4408-83DB-2F5D007D3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51759C5-C5AC-413E-BB86-0C5D902F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3449</TotalTime>
  <Pages>5</Pages>
  <Words>1147</Words>
  <Characters>6539</Characters>
  <Application>Microsoft Office Word</Application>
  <DocSecurity>0</DocSecurity>
  <Lines>54</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35</cp:revision>
  <cp:lastPrinted>2021-12-01T10:19:00Z</cp:lastPrinted>
  <dcterms:created xsi:type="dcterms:W3CDTF">2015-04-20T09:58:00Z</dcterms:created>
  <dcterms:modified xsi:type="dcterms:W3CDTF">2021-12-05T07:10:00Z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2159797</vt:r8>
  </property>
</Properties>
</file>