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2164492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ינון אזולאי</w:t>
      </w:r>
      <w:r>
        <w:br/>
      </w:r>
      <w:r>
        <w:rPr>
          <w:rFonts w:hint="cs"/>
          <w:b/>
          <w:bCs/>
          <w:rtl/>
        </w:rPr>
        <w:t xml:space="preserve"> </w:t>
      </w:r>
      <w:r>
        <w:tab/>
      </w:r>
      <w:r>
        <w:tab/>
      </w:r>
      <w:r>
        <w:tab/>
      </w:r>
      <w:r>
        <w:tab/>
      </w:r>
      <w:r>
        <w:rPr>
          <w:rFonts w:hint="cs"/>
          <w:b/>
          <w:bCs/>
          <w:rtl/>
        </w:rPr>
        <w:t>משה ארבל</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פ/2631/24</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5" w:name="LGS_Subject"/>
      <w:r>
        <w:rPr>
          <w:rFonts w:hint="cs"/>
          <w:rtl/>
        </w:rPr>
        <w:t>הצעת חוק מס ערך מוסף (תיקון – פטור ממס ממכירת תרופות מאריכות חיים שאינן כלולות בסל הבריאות), התשפ"ב–2021</w:t>
      </w:r>
      <w:bookmarkEnd w:id="5"/>
    </w:p>
    <w:tbl>
      <w:tblPr>
        <w:bidiVisual/>
        <w:tblW w:w="9641" w:type="dxa"/>
        <w:tblCellMar>
          <w:top w:w="57" w:type="dxa"/>
          <w:left w:w="0" w:type="dxa"/>
          <w:bottom w:w="57" w:type="dxa"/>
          <w:right w:w="0" w:type="dxa"/>
        </w:tblCellMar>
        <w:tblLook w:val="04A0" w:firstRow="1" w:lastRow="0" w:firstColumn="1" w:lastColumn="0" w:noHBand="0" w:noVBand="1"/>
      </w:tblPr>
      <w:tblGrid>
        <w:gridCol w:w="1871"/>
        <w:gridCol w:w="624"/>
        <w:gridCol w:w="624"/>
        <w:gridCol w:w="6522"/>
      </w:tblGrid>
      <w:tr w:rsidR="00C8698D" w14:paraId="150C8E83" w14:textId="77777777" w:rsidTr="00D8745E">
        <w:trPr>
          <w:cantSplit/>
        </w:trPr>
        <w:tc>
          <w:tcPr>
            <w:tcW w:w="1871" w:type="dxa"/>
            <w:hideMark/>
          </w:tcPr>
          <w:p w14:paraId="2CF1FDE6" w14:textId="77777777" w:rsidR="00C8698D" w:rsidRDefault="00C8698D" w:rsidP="00E83778">
            <w:pPr>
              <w:pStyle w:val="TableSideHeading"/>
              <w:ind w:right="0"/>
            </w:pPr>
            <w:r>
              <w:rPr>
                <w:rFonts w:hint="cs"/>
                <w:rtl/>
              </w:rPr>
              <w:t>תיקון סעיף 31</w:t>
            </w:r>
          </w:p>
        </w:tc>
        <w:tc>
          <w:tcPr>
            <w:tcW w:w="624" w:type="dxa"/>
            <w:hideMark/>
          </w:tcPr>
          <w:p w14:paraId="5AA627A9" w14:textId="77777777" w:rsidR="00C8698D" w:rsidRDefault="00C8698D" w:rsidP="00E83778">
            <w:pPr>
              <w:pStyle w:val="TableText"/>
              <w:ind w:right="0"/>
              <w:jc w:val="both"/>
            </w:pPr>
            <w:r>
              <w:rPr>
                <w:rFonts w:hint="cs"/>
                <w:rtl/>
              </w:rPr>
              <w:t>1.</w:t>
            </w:r>
          </w:p>
        </w:tc>
        <w:tc>
          <w:tcPr>
            <w:tcW w:w="7146" w:type="dxa"/>
            <w:gridSpan w:val="2"/>
            <w:hideMark/>
          </w:tcPr>
          <w:p w14:paraId="334C66B2" w14:textId="77777777" w:rsidR="00C8698D" w:rsidRDefault="00C8698D" w:rsidP="00E83778">
            <w:pPr>
              <w:pStyle w:val="TableBlock"/>
            </w:pPr>
            <w:r>
              <w:rPr>
                <w:rFonts w:hint="cs"/>
                <w:rtl/>
              </w:rPr>
              <w:t>בחוק מס ערך מוסף, התשל"ו–1975</w:t>
            </w:r>
            <w:r>
              <w:rPr>
                <w:rStyle w:val="a6"/>
                <w:rtl/>
              </w:rPr>
              <w:footnoteReference w:id="2"/>
            </w:r>
            <w:r>
              <w:rPr>
                <w:rFonts w:hint="cs"/>
                <w:rtl/>
              </w:rPr>
              <w:t xml:space="preserve"> (להלן – החוק העיקרי), בסעיף 31, אחרי פסקה 5 יבוא:</w:t>
            </w:r>
          </w:p>
        </w:tc>
      </w:tr>
      <w:tr w:rsidR="00C8698D" w14:paraId="35B6257F" w14:textId="77777777" w:rsidTr="00D8745E">
        <w:trPr>
          <w:cantSplit/>
        </w:trPr>
        <w:tc>
          <w:tcPr>
            <w:tcW w:w="1871" w:type="dxa"/>
          </w:tcPr>
          <w:p w14:paraId="1DC3F4E2" w14:textId="77777777" w:rsidR="00C8698D" w:rsidRDefault="00C8698D" w:rsidP="00E83778">
            <w:pPr>
              <w:pStyle w:val="TableSideHeading"/>
            </w:pPr>
          </w:p>
        </w:tc>
        <w:tc>
          <w:tcPr>
            <w:tcW w:w="624" w:type="dxa"/>
          </w:tcPr>
          <w:p w14:paraId="01964BE9" w14:textId="77777777" w:rsidR="00C8698D" w:rsidRDefault="00C8698D" w:rsidP="00E83778">
            <w:pPr>
              <w:pStyle w:val="TableText"/>
              <w:ind w:right="0"/>
              <w:jc w:val="both"/>
            </w:pPr>
          </w:p>
        </w:tc>
        <w:tc>
          <w:tcPr>
            <w:tcW w:w="7146" w:type="dxa"/>
            <w:gridSpan w:val="2"/>
            <w:hideMark/>
          </w:tcPr>
          <w:p w14:paraId="7DEAD9E5" w14:textId="77777777" w:rsidR="00C8698D" w:rsidRDefault="00C8698D" w:rsidP="00E83778">
            <w:pPr>
              <w:pStyle w:val="TableBlock"/>
            </w:pPr>
            <w:r>
              <w:rPr>
                <w:rFonts w:hint="cs"/>
                <w:rtl/>
              </w:rPr>
              <w:t>"(6)</w:t>
            </w:r>
            <w:r>
              <w:rPr>
                <w:rFonts w:hint="cs"/>
                <w:rtl/>
              </w:rPr>
              <w:tab/>
              <w:t>מכירת תכשיר מאריך חיים, כפי שקבע שר האוצר, בהסכמת שר הבריאות, בצו, למעט תכשיר רשום הכלול בסל שירותי הבריאות; בפסקה זו –</w:t>
            </w:r>
          </w:p>
        </w:tc>
      </w:tr>
      <w:tr w:rsidR="00C8698D" w14:paraId="376FCFB2" w14:textId="77777777" w:rsidTr="00D8745E">
        <w:trPr>
          <w:cantSplit/>
        </w:trPr>
        <w:tc>
          <w:tcPr>
            <w:tcW w:w="1871" w:type="dxa"/>
          </w:tcPr>
          <w:p w14:paraId="27C94F88" w14:textId="77777777" w:rsidR="00C8698D" w:rsidRDefault="00C8698D" w:rsidP="00E83778">
            <w:pPr>
              <w:pStyle w:val="TableSideHeading"/>
            </w:pPr>
          </w:p>
        </w:tc>
        <w:tc>
          <w:tcPr>
            <w:tcW w:w="624" w:type="dxa"/>
          </w:tcPr>
          <w:p w14:paraId="70FCD870" w14:textId="77777777" w:rsidR="00C8698D" w:rsidRDefault="00C8698D" w:rsidP="00E83778">
            <w:pPr>
              <w:pStyle w:val="TableText"/>
              <w:ind w:right="0"/>
              <w:jc w:val="both"/>
            </w:pPr>
          </w:p>
        </w:tc>
        <w:tc>
          <w:tcPr>
            <w:tcW w:w="624" w:type="dxa"/>
          </w:tcPr>
          <w:p w14:paraId="2F083E32" w14:textId="77777777" w:rsidR="00C8698D" w:rsidRDefault="00C8698D" w:rsidP="00E83778">
            <w:pPr>
              <w:pStyle w:val="TableText"/>
              <w:ind w:right="0"/>
              <w:jc w:val="both"/>
            </w:pPr>
          </w:p>
        </w:tc>
        <w:tc>
          <w:tcPr>
            <w:tcW w:w="6522" w:type="dxa"/>
            <w:hideMark/>
          </w:tcPr>
          <w:p w14:paraId="6A46C13A" w14:textId="77777777" w:rsidR="00C8698D" w:rsidRDefault="00C8698D" w:rsidP="00E83778">
            <w:pPr>
              <w:pStyle w:val="TableBlockOutdent"/>
            </w:pPr>
            <w:r>
              <w:rPr>
                <w:rFonts w:hint="cs"/>
                <w:rtl/>
              </w:rPr>
              <w:t>"סל שירותי הבריאות" – כהגדרתו בסעיף 7 לחוק ביטוח בריאות ממלכתי, התשנ"ד–1994</w:t>
            </w:r>
            <w:r>
              <w:rPr>
                <w:rStyle w:val="a6"/>
                <w:rtl/>
              </w:rPr>
              <w:footnoteReference w:id="3"/>
            </w:r>
            <w:r>
              <w:rPr>
                <w:rFonts w:hint="cs"/>
                <w:rtl/>
              </w:rPr>
              <w:t>;</w:t>
            </w:r>
          </w:p>
        </w:tc>
      </w:tr>
      <w:tr w:rsidR="00C8698D" w14:paraId="24844B09" w14:textId="77777777" w:rsidTr="00D8745E">
        <w:trPr>
          <w:cantSplit/>
        </w:trPr>
        <w:tc>
          <w:tcPr>
            <w:tcW w:w="1871" w:type="dxa"/>
          </w:tcPr>
          <w:p w14:paraId="577FC2A5" w14:textId="77777777" w:rsidR="00C8698D" w:rsidRDefault="00C8698D" w:rsidP="00E83778">
            <w:pPr>
              <w:pStyle w:val="TableSideHeading"/>
            </w:pPr>
          </w:p>
        </w:tc>
        <w:tc>
          <w:tcPr>
            <w:tcW w:w="624" w:type="dxa"/>
          </w:tcPr>
          <w:p w14:paraId="5B5B0BC2" w14:textId="77777777" w:rsidR="00C8698D" w:rsidRDefault="00C8698D" w:rsidP="00E83778">
            <w:pPr>
              <w:pStyle w:val="TableText"/>
              <w:ind w:right="0"/>
              <w:jc w:val="both"/>
            </w:pPr>
          </w:p>
        </w:tc>
        <w:tc>
          <w:tcPr>
            <w:tcW w:w="624" w:type="dxa"/>
          </w:tcPr>
          <w:p w14:paraId="4EDEE6D2" w14:textId="77777777" w:rsidR="00C8698D" w:rsidRDefault="00C8698D" w:rsidP="00E83778">
            <w:pPr>
              <w:pStyle w:val="TableText"/>
              <w:ind w:right="0"/>
              <w:jc w:val="both"/>
            </w:pPr>
          </w:p>
        </w:tc>
        <w:tc>
          <w:tcPr>
            <w:tcW w:w="6522" w:type="dxa"/>
            <w:hideMark/>
          </w:tcPr>
          <w:p w14:paraId="5849DBDB" w14:textId="77777777" w:rsidR="00C8698D" w:rsidRDefault="00C8698D" w:rsidP="00E83778">
            <w:pPr>
              <w:pStyle w:val="TableBlockOutdent"/>
            </w:pPr>
            <w:r>
              <w:rPr>
                <w:rFonts w:hint="cs"/>
                <w:rtl/>
              </w:rPr>
              <w:t xml:space="preserve">"תכשיר רשום" – כהגדרתו בסעיף 1 לפקודת הרוקחים [נוסח חדש], </w:t>
            </w:r>
            <w:r w:rsidRPr="00A57E48">
              <w:rPr>
                <w:rFonts w:hint="cs"/>
                <w:rtl/>
              </w:rPr>
              <w:t>התשמ"א–1981</w:t>
            </w:r>
            <w:r>
              <w:rPr>
                <w:rStyle w:val="a6"/>
                <w:rtl/>
              </w:rPr>
              <w:footnoteReference w:id="4"/>
            </w:r>
            <w:r>
              <w:rPr>
                <w:rFonts w:hint="cs"/>
                <w:rtl/>
              </w:rPr>
              <w:t xml:space="preserve"> (להלן – פקודת הרוקחים), שנמכר בבית מרקחת, בית מסחר לתרופות או מוסד מוכר כהגדרתם בסעיף 1 לפקודת הרוקחים."</w:t>
            </w:r>
          </w:p>
        </w:tc>
      </w:tr>
      <w:tr w:rsidR="00C8698D" w14:paraId="7301E0E3" w14:textId="77777777" w:rsidTr="00D8745E">
        <w:trPr>
          <w:cantSplit/>
        </w:trPr>
        <w:tc>
          <w:tcPr>
            <w:tcW w:w="1871" w:type="dxa"/>
            <w:hideMark/>
          </w:tcPr>
          <w:p w14:paraId="023F5005" w14:textId="77777777" w:rsidR="00C8698D" w:rsidRDefault="00C8698D" w:rsidP="00E83778">
            <w:pPr>
              <w:pStyle w:val="TableSideHeading"/>
            </w:pPr>
            <w:r>
              <w:rPr>
                <w:rFonts w:hint="cs"/>
                <w:rtl/>
              </w:rPr>
              <w:t>צווים ראשונים</w:t>
            </w:r>
          </w:p>
        </w:tc>
        <w:tc>
          <w:tcPr>
            <w:tcW w:w="624" w:type="dxa"/>
            <w:hideMark/>
          </w:tcPr>
          <w:p w14:paraId="51ED88B0" w14:textId="77777777" w:rsidR="00C8698D" w:rsidRDefault="00C8698D" w:rsidP="00E83778">
            <w:pPr>
              <w:pStyle w:val="TableText"/>
              <w:ind w:right="0"/>
              <w:jc w:val="both"/>
            </w:pPr>
            <w:r>
              <w:rPr>
                <w:rFonts w:hint="cs"/>
                <w:rtl/>
              </w:rPr>
              <w:t>2.</w:t>
            </w:r>
          </w:p>
        </w:tc>
        <w:tc>
          <w:tcPr>
            <w:tcW w:w="7146" w:type="dxa"/>
            <w:gridSpan w:val="2"/>
            <w:hideMark/>
          </w:tcPr>
          <w:p w14:paraId="20A19C9C" w14:textId="77777777" w:rsidR="00C8698D" w:rsidRDefault="00C8698D" w:rsidP="00E83778">
            <w:pPr>
              <w:pStyle w:val="TableBlock"/>
            </w:pPr>
            <w:r>
              <w:rPr>
                <w:rFonts w:hint="cs"/>
                <w:rtl/>
              </w:rPr>
              <w:t>צווים ראשונים כאמור בסעיף 31(6) לחוק העיקרי, כנוסחו בסעיף 1 לחוק זה, יפורסמו לא יאוחר מתום שלושה חודשים ממועד תחילתו של חוק זה.</w:t>
            </w:r>
          </w:p>
        </w:tc>
      </w:tr>
    </w:tbl>
    <w:p w14:paraId="7F6961CA" w14:textId="77777777" w:rsidR="002D1EE3" w:rsidRDefault="002D1EE3" w:rsidP="002D1EE3">
      <w:pPr>
        <w:pStyle w:val="HeadDivreiHesber"/>
        <w:rPr>
          <w:rtl/>
        </w:rPr>
      </w:pPr>
      <w:r w:rsidRPr="0027450A">
        <w:rPr>
          <w:rFonts w:hint="cs"/>
          <w:rtl/>
        </w:rPr>
        <w:t>דברי הסבר</w:t>
      </w:r>
    </w:p>
    <w:p w14:paraId="0364D7FF" w14:textId="77777777" w:rsidR="00C8698D" w:rsidRPr="00C8698D" w:rsidRDefault="00C8698D" w:rsidP="00C8698D">
      <w:pPr>
        <w:pStyle w:val="Hesber"/>
        <w:rPr>
          <w:rtl/>
        </w:rPr>
      </w:pPr>
      <w:r w:rsidRPr="00C8698D">
        <w:rPr>
          <w:rFonts w:hint="cs"/>
          <w:rtl/>
        </w:rPr>
        <w:t>המדינה נוהגת בכל שנה להגדיל את תקציב סל שירותי הבריאות, לפי המלצה של ועדה ציבורית שדנה אילו טיפולים ותרופות נוספות יוכנסו לסל הבריאות. ברי הוא כי המדינה, לו יכלה, היתה מכלילה בסל שירותי הבריאות את כל התרופות והשירותים המתבקשים לצורך בריאותם של האזרחים.</w:t>
      </w:r>
    </w:p>
    <w:p w14:paraId="4EBEFC7F" w14:textId="77777777" w:rsidR="00C8698D" w:rsidRPr="00C8698D" w:rsidRDefault="00C8698D" w:rsidP="00C8698D">
      <w:pPr>
        <w:pStyle w:val="Hesber"/>
        <w:rPr>
          <w:rtl/>
        </w:rPr>
      </w:pPr>
      <w:r w:rsidRPr="00C8698D">
        <w:rPr>
          <w:rFonts w:hint="cs"/>
          <w:rtl/>
        </w:rPr>
        <w:t xml:space="preserve">חולים רבים נאלצים לרכוש על חשבונם תרופות יקרות שאינן נכללות בסל שירותי הבריאות, כאשר לעיתים מדובר בתרופות מאריכות חיים. על תרופות מוטל </w:t>
      </w:r>
      <w:bookmarkStart w:id="6" w:name="OLE_LINK1"/>
      <w:bookmarkStart w:id="7" w:name="OLE_LINK2"/>
      <w:r w:rsidRPr="00C8698D">
        <w:rPr>
          <w:rFonts w:hint="cs"/>
          <w:rtl/>
        </w:rPr>
        <w:t>מס ערך מוסף</w:t>
      </w:r>
      <w:bookmarkEnd w:id="6"/>
      <w:bookmarkEnd w:id="7"/>
      <w:r w:rsidRPr="00C8698D">
        <w:rPr>
          <w:rFonts w:hint="cs"/>
          <w:rtl/>
        </w:rPr>
        <w:t>, כפי שמוטל על מרבית המוצרים והשירותים.</w:t>
      </w:r>
    </w:p>
    <w:p w14:paraId="0FE96A15" w14:textId="77777777" w:rsidR="00C8698D" w:rsidRPr="00C8698D" w:rsidRDefault="00C8698D" w:rsidP="00C8698D">
      <w:pPr>
        <w:pStyle w:val="Hesber"/>
        <w:rPr>
          <w:rtl/>
        </w:rPr>
      </w:pPr>
      <w:r w:rsidRPr="00C8698D">
        <w:rPr>
          <w:rFonts w:hint="cs"/>
          <w:rtl/>
        </w:rPr>
        <w:lastRenderedPageBreak/>
        <w:t xml:space="preserve">הצעת חוק זו נועדה להקל ולו במעט על חולים אלו, אשר נאלצים להוציא כספים רבים למען מטרה אחת ויחידה שהיא הזכות לחיים ומציעה כי על תרופות מאריכות חיים שאינן בסל הבריאות לא יוטל מס ערך מוסף. לשם כך מוצע כי </w:t>
      </w:r>
      <w:r w:rsidRPr="00C8698D">
        <w:rPr>
          <w:rtl/>
        </w:rPr>
        <w:t>שר האוצר</w:t>
      </w:r>
      <w:r w:rsidRPr="00C8698D">
        <w:rPr>
          <w:rFonts w:hint="cs"/>
          <w:rtl/>
        </w:rPr>
        <w:t xml:space="preserve">, </w:t>
      </w:r>
      <w:r w:rsidRPr="00C8698D">
        <w:rPr>
          <w:rtl/>
        </w:rPr>
        <w:t>בהסכמת שר הבריאות</w:t>
      </w:r>
      <w:r w:rsidRPr="00C8698D">
        <w:rPr>
          <w:rFonts w:hint="cs"/>
          <w:rtl/>
        </w:rPr>
        <w:t>, יקבע את זהות התרופות מאריכות החיים.</w:t>
      </w:r>
    </w:p>
    <w:p w14:paraId="51973715" w14:textId="038A284D" w:rsidR="004143D1" w:rsidRDefault="00C8698D" w:rsidP="004143D1">
      <w:pPr>
        <w:pStyle w:val="Hesber"/>
        <w:rPr>
          <w:rtl/>
        </w:rPr>
      </w:pPr>
      <w:r w:rsidRPr="00C8698D">
        <w:rPr>
          <w:rFonts w:hint="cs"/>
          <w:rtl/>
        </w:rPr>
        <w:t xml:space="preserve">הצעת חוק </w:t>
      </w:r>
      <w:r w:rsidR="004143D1">
        <w:rPr>
          <w:rFonts w:hint="cs"/>
          <w:rtl/>
        </w:rPr>
        <w:t>זהה הונחה על שולחן הכנסת התשע-</w:t>
      </w:r>
      <w:r w:rsidR="00C3434C">
        <w:rPr>
          <w:rFonts w:hint="cs"/>
          <w:rtl/>
        </w:rPr>
        <w:t xml:space="preserve">עשרה על ידי </w:t>
      </w:r>
      <w:r w:rsidR="00D8745E">
        <w:rPr>
          <w:rFonts w:hint="cs"/>
          <w:rtl/>
        </w:rPr>
        <w:t>חבר הכנסת</w:t>
      </w:r>
      <w:r w:rsidR="00C3434C">
        <w:rPr>
          <w:rFonts w:hint="cs"/>
          <w:rtl/>
        </w:rPr>
        <w:t xml:space="preserve"> דוד אזולאי ז"ל </w:t>
      </w:r>
      <w:bookmarkStart w:id="8" w:name="LawNum"/>
      <w:r w:rsidR="00D8745E">
        <w:rPr>
          <w:rFonts w:hint="cs"/>
          <w:rtl/>
        </w:rPr>
        <w:t xml:space="preserve">וקבוצת חברי הכנסת </w:t>
      </w:r>
      <w:r w:rsidR="00C3434C">
        <w:rPr>
          <w:rFonts w:hint="cs"/>
          <w:rtl/>
        </w:rPr>
        <w:t>(</w:t>
      </w:r>
      <w:r w:rsidR="00C3434C" w:rsidRPr="00C3434C">
        <w:rPr>
          <w:rtl/>
        </w:rPr>
        <w:t>פ/1279/19</w:t>
      </w:r>
      <w:bookmarkEnd w:id="8"/>
      <w:r w:rsidR="004143D1">
        <w:rPr>
          <w:rFonts w:hint="cs"/>
          <w:rtl/>
        </w:rPr>
        <w:t>).</w:t>
      </w:r>
    </w:p>
    <w:p w14:paraId="5CFEFEFE" w14:textId="3128FA05" w:rsidR="00C3434C" w:rsidRDefault="00C3434C" w:rsidP="004143D1">
      <w:pPr>
        <w:pStyle w:val="Hesber"/>
        <w:rPr>
          <w:rtl/>
        </w:rPr>
      </w:pPr>
      <w:r w:rsidRPr="00C3434C">
        <w:rPr>
          <w:rtl/>
        </w:rPr>
        <w:t>הצעות חוק דומות בעיקרן הונחו על שולחן הכנסת העשרים על ידי חבר הכנסת יואל חסון (פ/378/20), על ידי חבר הכנסת אורי מקלב (פ/869/20) ועל ידי חבר הכנסת דוד אמסלם (פ/1488/20)</w:t>
      </w:r>
      <w:r>
        <w:rPr>
          <w:rFonts w:hint="cs"/>
          <w:rtl/>
        </w:rPr>
        <w:t xml:space="preserve"> ועל </w:t>
      </w:r>
      <w:r w:rsidRPr="00C3434C">
        <w:rPr>
          <w:rtl/>
        </w:rPr>
        <w:t xml:space="preserve">שולחן הכנסת העשרים </w:t>
      </w:r>
      <w:r>
        <w:rPr>
          <w:rFonts w:hint="cs"/>
          <w:rtl/>
        </w:rPr>
        <w:t xml:space="preserve">וארבע </w:t>
      </w:r>
      <w:r w:rsidRPr="00C3434C">
        <w:rPr>
          <w:rtl/>
        </w:rPr>
        <w:t>על ידי חבר הכנסת</w:t>
      </w:r>
      <w:r>
        <w:rPr>
          <w:rFonts w:hint="cs"/>
          <w:rtl/>
        </w:rPr>
        <w:t xml:space="preserve"> דוד אמסלם (</w:t>
      </w:r>
      <w:r w:rsidRPr="00C3434C">
        <w:rPr>
          <w:rFonts w:hint="cs"/>
          <w:rtl/>
        </w:rPr>
        <w:t>פ/1941/24</w:t>
      </w:r>
      <w:r>
        <w:rPr>
          <w:rFonts w:hint="cs"/>
          <w:rtl/>
        </w:rPr>
        <w:t>).</w:t>
      </w:r>
      <w:bookmarkStart w:id="9" w:name="_GoBack"/>
      <w:bookmarkEnd w:id="9"/>
    </w:p>
    <w:p w14:paraId="7F6961CB" w14:textId="77777777" w:rsidR="00E13C27" w:rsidRDefault="00E13C27" w:rsidP="00E13C27">
      <w:pPr>
        <w:pStyle w:val="Hesber"/>
        <w:rPr>
          <w:rtl/>
        </w:rPr>
      </w:pPr>
    </w:p>
    <w:p w14:paraId="2BD93308" w14:textId="77777777" w:rsidR="00972528" w:rsidRDefault="004143D1">
      <w:pPr>
        <w:spacing w:before="0" w:line="360" w:lineRule="auto"/>
        <w:jc w:val="left"/>
      </w:pPr>
      <w:bookmarkStart w:id="10" w:name="selectedDocDateB"/>
      <w:bookmarkEnd w:id="10"/>
      <w:r>
        <w:rPr>
          <w:rFonts w:ascii="David" w:eastAsia="David" w:hAnsi="David" w:cs="David" w:hint="cs"/>
          <w:sz w:val="26"/>
          <w:szCs w:val="26"/>
          <w:rtl/>
        </w:rPr>
        <w:t>--------------------------------</w:t>
      </w:r>
    </w:p>
    <w:p w14:paraId="46877C84" w14:textId="77777777" w:rsidR="00972528" w:rsidRDefault="004143D1">
      <w:pPr>
        <w:spacing w:before="0" w:line="360" w:lineRule="auto"/>
        <w:jc w:val="left"/>
      </w:pPr>
      <w:r>
        <w:rPr>
          <w:rFonts w:ascii="David" w:eastAsia="David" w:hAnsi="David" w:cs="David" w:hint="cs"/>
          <w:sz w:val="26"/>
          <w:szCs w:val="26"/>
          <w:rtl/>
        </w:rPr>
        <w:t>הוגשה ליו"ר הכנסת והסגנים</w:t>
      </w:r>
    </w:p>
    <w:p w14:paraId="56C0C026" w14:textId="77777777" w:rsidR="00972528" w:rsidRDefault="004143D1">
      <w:pPr>
        <w:spacing w:before="0" w:line="360" w:lineRule="auto"/>
        <w:jc w:val="left"/>
      </w:pPr>
      <w:r>
        <w:rPr>
          <w:rFonts w:ascii="David" w:eastAsia="David" w:hAnsi="David" w:cs="David" w:hint="cs"/>
          <w:sz w:val="26"/>
          <w:szCs w:val="26"/>
          <w:rtl/>
        </w:rPr>
        <w:t>והונחה על שולחן הכנסת ביום</w:t>
      </w:r>
    </w:p>
    <w:p w14:paraId="3B9856BC" w14:textId="77777777" w:rsidR="00972528" w:rsidRDefault="004143D1">
      <w:pPr>
        <w:spacing w:before="0" w:line="360" w:lineRule="auto"/>
        <w:jc w:val="left"/>
      </w:pPr>
      <w:r>
        <w:rPr>
          <w:rFonts w:ascii="David" w:eastAsia="David" w:hAnsi="David" w:cs="David" w:hint="cs"/>
          <w:sz w:val="26"/>
          <w:szCs w:val="26"/>
          <w:rtl/>
        </w:rPr>
        <w:t xml:space="preserve">ב' בטבת התשפ"ב (06.12.2021) </w:t>
      </w:r>
    </w:p>
    <w:p w14:paraId="27B37D43" w14:textId="77777777" w:rsidR="00972528" w:rsidRDefault="00972528">
      <w:pPr>
        <w:spacing w:before="0" w:line="276" w:lineRule="auto"/>
        <w:jc w:val="left"/>
      </w:pPr>
    </w:p>
    <w:sectPr w:rsidR="0097252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4143D1">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A1D6AF6" w14:textId="77777777" w:rsidR="00C8698D" w:rsidRDefault="00C8698D" w:rsidP="00C8698D">
      <w:pPr>
        <w:pStyle w:val="a4"/>
      </w:pPr>
      <w:r>
        <w:rPr>
          <w:rStyle w:val="a6"/>
        </w:rPr>
        <w:footnoteRef/>
      </w:r>
      <w:r>
        <w:rPr>
          <w:rFonts w:hint="cs"/>
          <w:rtl/>
        </w:rPr>
        <w:t xml:space="preserve"> ס"ח התשל"ו, עמ' 52.</w:t>
      </w:r>
    </w:p>
  </w:footnote>
  <w:footnote w:id="3">
    <w:p w14:paraId="459D3B01" w14:textId="77777777" w:rsidR="00C8698D" w:rsidRDefault="00C8698D" w:rsidP="00C8698D">
      <w:pPr>
        <w:pStyle w:val="a4"/>
        <w:rPr>
          <w:rtl/>
        </w:rPr>
      </w:pPr>
      <w:r>
        <w:rPr>
          <w:rStyle w:val="a6"/>
        </w:rPr>
        <w:footnoteRef/>
      </w:r>
      <w:r>
        <w:rPr>
          <w:rFonts w:hint="cs"/>
          <w:rtl/>
        </w:rPr>
        <w:t xml:space="preserve"> ס"ח התשנ"ד, עמ' 156.</w:t>
      </w:r>
    </w:p>
  </w:footnote>
  <w:footnote w:id="4">
    <w:p w14:paraId="3BED74D3" w14:textId="77777777" w:rsidR="00C8698D" w:rsidRDefault="00C8698D" w:rsidP="00C8698D">
      <w:pPr>
        <w:pStyle w:val="a4"/>
        <w:rPr>
          <w:rtl/>
        </w:rPr>
      </w:pPr>
      <w:r>
        <w:rPr>
          <w:rStyle w:val="a6"/>
        </w:rPr>
        <w:footnoteRef/>
      </w:r>
      <w:r>
        <w:rPr>
          <w:rFonts w:hint="cs"/>
          <w:rtl/>
        </w:rPr>
        <w:t xml:space="preserve"> דיני מדינת ישראל, נוסח חדש 35, עמ' 694.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43D1"/>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2528"/>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3434C"/>
    <w:rsid w:val="00C8698D"/>
    <w:rsid w:val="00C9176A"/>
    <w:rsid w:val="00CF1AA2"/>
    <w:rsid w:val="00D142D3"/>
    <w:rsid w:val="00D17774"/>
    <w:rsid w:val="00D63620"/>
    <w:rsid w:val="00D8410D"/>
    <w:rsid w:val="00D867D7"/>
    <w:rsid w:val="00D8745E"/>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B2AF48F3-C292-4E6A-B965-311AB0B3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rsid w:val="00C8698D"/>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44012">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EBBF3F35-898D-4047-9D18-0670AC1D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2CACA418-A0C1-423D-9DD1-4DE4690A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316</Words>
  <Characters>1807</Characters>
  <Application>Microsoft Office Word</Application>
  <DocSecurity>0</DocSecurity>
  <Lines>15</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7</cp:revision>
  <cp:lastPrinted>2013-07-04T08:25:00Z</cp:lastPrinted>
  <dcterms:created xsi:type="dcterms:W3CDTF">2015-04-20T09:58:00Z</dcterms:created>
  <dcterms:modified xsi:type="dcterms:W3CDTF">2021-11-30T11:16:00Z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2164492</vt:r8>
  </property>
</Properties>
</file>