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2164262</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b/>
          <w:bCs/>
          <w:sz w:val="26"/>
          <w:szCs w:val="26"/>
          <w:rtl/>
        </w:rPr>
      </w:pPr>
    </w:p>
    <w:p w14:paraId="7F6961AA" w14:textId="0280AC07" w:rsidR="00E13C27" w:rsidRPr="00CF1AA2" w:rsidRDefault="008F6665" w:rsidP="00DC760E">
      <w:pPr>
        <w:pStyle w:val="David"/>
        <w:ind w:left="3544"/>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אלי כהן</w:t>
      </w:r>
      <w:r>
        <w:br/>
      </w:r>
      <w:r>
        <w:rPr>
          <w:rFonts w:hint="cs"/>
          <w:b/>
          <w:bCs/>
          <w:rtl/>
        </w:rPr>
        <w:t xml:space="preserve"> </w:t>
      </w:r>
      <w:r>
        <w:tab/>
      </w:r>
      <w:r>
        <w:tab/>
      </w:r>
      <w:r>
        <w:tab/>
      </w:r>
      <w:r>
        <w:tab/>
      </w:r>
      <w:r>
        <w:rPr>
          <w:rFonts w:hint="cs"/>
          <w:b/>
          <w:bCs/>
          <w:rtl/>
        </w:rPr>
        <w:t xml:space="preserve">דוד </w:t>
      </w:r>
      <w:proofErr w:type="spellStart"/>
      <w:r>
        <w:rPr>
          <w:rFonts w:hint="cs"/>
          <w:b/>
          <w:bCs/>
          <w:rtl/>
        </w:rPr>
        <w:t>אמסלם</w:t>
      </w:r>
      <w:bookmarkStart w:id="4" w:name="LGS_Join_List"/>
      <w:bookmarkEnd w:id="3"/>
      <w:proofErr w:type="spellEnd"/>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5D789003" w:rsidR="00E13C27" w:rsidRPr="00E06736" w:rsidRDefault="00904591" w:rsidP="00DC760E">
      <w:pPr>
        <w:pStyle w:val="David"/>
        <w:spacing w:line="240" w:lineRule="auto"/>
        <w:ind w:left="6424" w:firstLine="56"/>
        <w:rPr>
          <w:rtl/>
        </w:rPr>
      </w:pPr>
      <w:bookmarkStart w:id="6" w:name="Private_Number"/>
      <w:r>
        <w:rPr>
          <w:rFonts w:hint="cs"/>
          <w:rtl/>
        </w:rPr>
        <w:t>פ/2598/24</w:t>
      </w:r>
      <w:bookmarkEnd w:id="6"/>
    </w:p>
    <w:p w14:paraId="7F6961AD" w14:textId="77777777" w:rsidR="00E13C27" w:rsidRPr="00F67051" w:rsidRDefault="00A443CF" w:rsidP="0021633A">
      <w:pPr>
        <w:pStyle w:val="HeadHatzaotHok"/>
        <w:rPr>
          <w:rtl/>
        </w:rPr>
      </w:pPr>
      <w:bookmarkStart w:id="7" w:name="LGS_Subject"/>
      <w:r>
        <w:rPr>
          <w:rFonts w:hint="cs"/>
          <w:rtl/>
        </w:rPr>
        <w:t xml:space="preserve">הצעת חוק סדר הדין הפלילי (תיקון – הגבלת משך זמן החקירה המשטרתית וחקירת הפרקליטות), </w:t>
      </w:r>
      <w:proofErr w:type="spellStart"/>
      <w:r>
        <w:rPr>
          <w:rFonts w:hint="cs"/>
          <w:rtl/>
        </w:rPr>
        <w:t>התשפ"ב</w:t>
      </w:r>
      <w:proofErr w:type="spellEnd"/>
      <w:r>
        <w:rPr>
          <w:rFonts w:hint="cs"/>
          <w:rtl/>
        </w:rPr>
        <w:t>–2021</w:t>
      </w:r>
      <w:bookmarkEnd w:id="7"/>
    </w:p>
    <w:tbl>
      <w:tblPr>
        <w:bidiVisual/>
        <w:tblW w:w="9638" w:type="dxa"/>
        <w:tblInd w:w="-2" w:type="dxa"/>
        <w:tblLayout w:type="fixed"/>
        <w:tblCellMar>
          <w:top w:w="57" w:type="dxa"/>
          <w:left w:w="0" w:type="dxa"/>
          <w:bottom w:w="57" w:type="dxa"/>
          <w:right w:w="0" w:type="dxa"/>
        </w:tblCellMar>
        <w:tblLook w:val="04A0" w:firstRow="1" w:lastRow="0" w:firstColumn="1" w:lastColumn="0" w:noHBand="0" w:noVBand="1"/>
      </w:tblPr>
      <w:tblGrid>
        <w:gridCol w:w="1871"/>
        <w:gridCol w:w="624"/>
        <w:gridCol w:w="624"/>
        <w:gridCol w:w="624"/>
        <w:gridCol w:w="5895"/>
      </w:tblGrid>
      <w:tr w:rsidR="00EA7804" w14:paraId="479DDD07" w14:textId="77777777" w:rsidTr="00BD7918">
        <w:trPr>
          <w:cantSplit/>
        </w:trPr>
        <w:tc>
          <w:tcPr>
            <w:tcW w:w="1871" w:type="dxa"/>
            <w:hideMark/>
          </w:tcPr>
          <w:p w14:paraId="59D9B8AE" w14:textId="77777777" w:rsidR="00EA7804" w:rsidRDefault="00EA7804">
            <w:pPr>
              <w:pStyle w:val="TableSideHeading"/>
            </w:pPr>
            <w:r>
              <w:rPr>
                <w:sz w:val="26"/>
                <w:rtl/>
              </w:rPr>
              <w:t>תיקון סעיף 59</w:t>
            </w:r>
          </w:p>
        </w:tc>
        <w:tc>
          <w:tcPr>
            <w:tcW w:w="624" w:type="dxa"/>
            <w:hideMark/>
          </w:tcPr>
          <w:p w14:paraId="108ED58A" w14:textId="77777777" w:rsidR="00EA7804" w:rsidRDefault="00EA7804">
            <w:pPr>
              <w:pStyle w:val="TableText"/>
              <w:rPr>
                <w:rtl/>
              </w:rPr>
            </w:pPr>
            <w:r>
              <w:rPr>
                <w:sz w:val="26"/>
                <w:rtl/>
              </w:rPr>
              <w:t>1.</w:t>
            </w:r>
          </w:p>
        </w:tc>
        <w:tc>
          <w:tcPr>
            <w:tcW w:w="7143" w:type="dxa"/>
            <w:gridSpan w:val="3"/>
            <w:hideMark/>
          </w:tcPr>
          <w:p w14:paraId="52A2B8F1" w14:textId="3B457DC3" w:rsidR="00EA7804" w:rsidRDefault="00EA7804" w:rsidP="00BD7918">
            <w:pPr>
              <w:pStyle w:val="TableBlock"/>
              <w:rPr>
                <w:sz w:val="26"/>
                <w:rtl/>
              </w:rPr>
            </w:pPr>
            <w:r>
              <w:rPr>
                <w:sz w:val="26"/>
                <w:rtl/>
              </w:rPr>
              <w:t xml:space="preserve">בחוק סדר הדין הפלילי [נוסח משולב], </w:t>
            </w:r>
            <w:proofErr w:type="spellStart"/>
            <w:r>
              <w:rPr>
                <w:sz w:val="26"/>
                <w:rtl/>
              </w:rPr>
              <w:t>התשמ"ב</w:t>
            </w:r>
            <w:proofErr w:type="spellEnd"/>
            <w:r>
              <w:rPr>
                <w:sz w:val="26"/>
                <w:rtl/>
              </w:rPr>
              <w:t>–1982</w:t>
            </w:r>
            <w:r>
              <w:rPr>
                <w:rStyle w:val="a6"/>
                <w:rFonts w:ascii="David" w:hAnsi="David"/>
                <w:sz w:val="26"/>
                <w:rtl/>
              </w:rPr>
              <w:footnoteReference w:id="2"/>
            </w:r>
            <w:r w:rsidR="00750D62">
              <w:rPr>
                <w:rFonts w:hint="cs"/>
                <w:sz w:val="26"/>
                <w:rtl/>
              </w:rPr>
              <w:t xml:space="preserve"> (להלן </w:t>
            </w:r>
            <w:r w:rsidR="00750D62">
              <w:rPr>
                <w:sz w:val="26"/>
                <w:rtl/>
              </w:rPr>
              <w:t>–</w:t>
            </w:r>
            <w:r w:rsidR="00750D62">
              <w:rPr>
                <w:rFonts w:hint="cs"/>
                <w:sz w:val="26"/>
                <w:rtl/>
              </w:rPr>
              <w:t xml:space="preserve"> החוק העיקרי)</w:t>
            </w:r>
            <w:r>
              <w:rPr>
                <w:sz w:val="26"/>
                <w:rtl/>
              </w:rPr>
              <w:t>, בסעיף 59, האמור בו יסומן "(א)" ואחריו יבוא:</w:t>
            </w:r>
          </w:p>
        </w:tc>
      </w:tr>
      <w:tr w:rsidR="00EA7804" w14:paraId="616DF5A1" w14:textId="77777777" w:rsidTr="00BD7918">
        <w:trPr>
          <w:cantSplit/>
        </w:trPr>
        <w:tc>
          <w:tcPr>
            <w:tcW w:w="1871" w:type="dxa"/>
          </w:tcPr>
          <w:p w14:paraId="0E352977" w14:textId="77777777" w:rsidR="00EA7804" w:rsidRDefault="00EA7804">
            <w:pPr>
              <w:pStyle w:val="TableSideHeading"/>
            </w:pPr>
          </w:p>
        </w:tc>
        <w:tc>
          <w:tcPr>
            <w:tcW w:w="624" w:type="dxa"/>
          </w:tcPr>
          <w:p w14:paraId="28847E7E" w14:textId="77777777" w:rsidR="00EA7804" w:rsidRDefault="00EA7804">
            <w:pPr>
              <w:pStyle w:val="TableText"/>
            </w:pPr>
          </w:p>
        </w:tc>
        <w:tc>
          <w:tcPr>
            <w:tcW w:w="624" w:type="dxa"/>
            <w:hideMark/>
          </w:tcPr>
          <w:p w14:paraId="7DF56D74" w14:textId="77777777" w:rsidR="00EA7804" w:rsidRDefault="00EA7804">
            <w:pPr>
              <w:pStyle w:val="TableText"/>
            </w:pPr>
            <w:r>
              <w:rPr>
                <w:sz w:val="26"/>
                <w:rtl/>
              </w:rPr>
              <w:t>"(ב)</w:t>
            </w:r>
          </w:p>
        </w:tc>
        <w:tc>
          <w:tcPr>
            <w:tcW w:w="6519" w:type="dxa"/>
            <w:gridSpan w:val="2"/>
            <w:hideMark/>
          </w:tcPr>
          <w:p w14:paraId="4B74F87F" w14:textId="77777777" w:rsidR="00EA7804" w:rsidRDefault="00EA7804" w:rsidP="00BD7918">
            <w:pPr>
              <w:pStyle w:val="TableBlock"/>
              <w:rPr>
                <w:sz w:val="26"/>
                <w:rtl/>
              </w:rPr>
            </w:pPr>
            <w:r>
              <w:rPr>
                <w:sz w:val="26"/>
                <w:rtl/>
              </w:rPr>
              <w:t>(1)</w:t>
            </w:r>
            <w:r>
              <w:rPr>
                <w:sz w:val="26"/>
                <w:rtl/>
              </w:rPr>
              <w:tab/>
              <w:t>משך זמן החקירה המשטרתית</w:t>
            </w:r>
            <w:r>
              <w:rPr>
                <w:rFonts w:hint="cs"/>
                <w:sz w:val="26"/>
              </w:rPr>
              <w:t xml:space="preserve"> </w:t>
            </w:r>
            <w:r>
              <w:rPr>
                <w:sz w:val="26"/>
                <w:rtl/>
              </w:rPr>
              <w:t>לא יעלה על פרק הזמן הקצר ביותר הדרוש לבירור העניין החל מיום פתיחת החקירה,</w:t>
            </w:r>
            <w:r>
              <w:rPr>
                <w:rFonts w:hint="cs"/>
                <w:sz w:val="26"/>
              </w:rPr>
              <w:t xml:space="preserve"> </w:t>
            </w:r>
            <w:r>
              <w:rPr>
                <w:sz w:val="26"/>
                <w:rtl/>
              </w:rPr>
              <w:t>ובכל</w:t>
            </w:r>
            <w:r>
              <w:rPr>
                <w:rFonts w:hint="cs"/>
                <w:sz w:val="26"/>
              </w:rPr>
              <w:t xml:space="preserve"> </w:t>
            </w:r>
            <w:r>
              <w:rPr>
                <w:sz w:val="26"/>
                <w:rtl/>
              </w:rPr>
              <w:t>מקרה לא יעלה על תקופת הזמן הקבועה בפסקה (2);</w:t>
            </w:r>
          </w:p>
        </w:tc>
      </w:tr>
      <w:tr w:rsidR="00EA7804" w14:paraId="4E86909E" w14:textId="77777777" w:rsidTr="00BD7918">
        <w:trPr>
          <w:cantSplit/>
        </w:trPr>
        <w:tc>
          <w:tcPr>
            <w:tcW w:w="1871" w:type="dxa"/>
          </w:tcPr>
          <w:p w14:paraId="527504FE" w14:textId="77777777" w:rsidR="00EA7804" w:rsidRDefault="00EA7804">
            <w:pPr>
              <w:pStyle w:val="TableSideHeading"/>
            </w:pPr>
          </w:p>
        </w:tc>
        <w:tc>
          <w:tcPr>
            <w:tcW w:w="624" w:type="dxa"/>
          </w:tcPr>
          <w:p w14:paraId="6E4D6680" w14:textId="77777777" w:rsidR="00EA7804" w:rsidRDefault="00EA7804">
            <w:pPr>
              <w:pStyle w:val="TableText"/>
            </w:pPr>
          </w:p>
        </w:tc>
        <w:tc>
          <w:tcPr>
            <w:tcW w:w="624" w:type="dxa"/>
          </w:tcPr>
          <w:p w14:paraId="2A6241B9" w14:textId="77777777" w:rsidR="00EA7804" w:rsidRDefault="00EA7804">
            <w:pPr>
              <w:pStyle w:val="TableText"/>
            </w:pPr>
          </w:p>
        </w:tc>
        <w:tc>
          <w:tcPr>
            <w:tcW w:w="6519" w:type="dxa"/>
            <w:gridSpan w:val="2"/>
            <w:hideMark/>
          </w:tcPr>
          <w:p w14:paraId="16802E8D" w14:textId="77777777" w:rsidR="00EA7804" w:rsidRDefault="00EA7804" w:rsidP="00BD7918">
            <w:pPr>
              <w:pStyle w:val="TableBlock"/>
            </w:pPr>
            <w:r>
              <w:rPr>
                <w:sz w:val="26"/>
                <w:rtl/>
              </w:rPr>
              <w:t>(2)</w:t>
            </w:r>
            <w:r>
              <w:rPr>
                <w:sz w:val="26"/>
                <w:rtl/>
              </w:rPr>
              <w:tab/>
              <w:t>משך החקירה המשטרתית לא</w:t>
            </w:r>
            <w:r>
              <w:rPr>
                <w:rFonts w:hint="cs"/>
                <w:sz w:val="26"/>
              </w:rPr>
              <w:t xml:space="preserve"> </w:t>
            </w:r>
            <w:r>
              <w:rPr>
                <w:sz w:val="26"/>
                <w:rtl/>
              </w:rPr>
              <w:t>יעלה על התקופות המנויות להלן:</w:t>
            </w:r>
          </w:p>
        </w:tc>
      </w:tr>
      <w:tr w:rsidR="00EA7804" w14:paraId="560E4FED" w14:textId="77777777" w:rsidTr="00BD7918">
        <w:trPr>
          <w:cantSplit/>
        </w:trPr>
        <w:tc>
          <w:tcPr>
            <w:tcW w:w="1871" w:type="dxa"/>
          </w:tcPr>
          <w:p w14:paraId="1B66DC7C" w14:textId="77777777" w:rsidR="00EA7804" w:rsidRDefault="00EA7804">
            <w:pPr>
              <w:pStyle w:val="TableSideHeading"/>
              <w:rPr>
                <w:rtl/>
              </w:rPr>
            </w:pPr>
          </w:p>
        </w:tc>
        <w:tc>
          <w:tcPr>
            <w:tcW w:w="624" w:type="dxa"/>
          </w:tcPr>
          <w:p w14:paraId="542547C7" w14:textId="77777777" w:rsidR="00EA7804" w:rsidRDefault="00EA7804">
            <w:pPr>
              <w:pStyle w:val="TableText"/>
            </w:pPr>
          </w:p>
        </w:tc>
        <w:tc>
          <w:tcPr>
            <w:tcW w:w="624" w:type="dxa"/>
          </w:tcPr>
          <w:p w14:paraId="353F891E" w14:textId="77777777" w:rsidR="00EA7804" w:rsidRDefault="00EA7804">
            <w:pPr>
              <w:pStyle w:val="TableText"/>
            </w:pPr>
          </w:p>
        </w:tc>
        <w:tc>
          <w:tcPr>
            <w:tcW w:w="624" w:type="dxa"/>
          </w:tcPr>
          <w:p w14:paraId="617C05FC" w14:textId="77777777" w:rsidR="00EA7804" w:rsidRDefault="00EA7804">
            <w:pPr>
              <w:pStyle w:val="TableText"/>
            </w:pPr>
          </w:p>
        </w:tc>
        <w:tc>
          <w:tcPr>
            <w:tcW w:w="5895" w:type="dxa"/>
            <w:hideMark/>
          </w:tcPr>
          <w:p w14:paraId="6DFE7653" w14:textId="77777777" w:rsidR="00EA7804" w:rsidRDefault="00EA7804" w:rsidP="00BD7918">
            <w:pPr>
              <w:pStyle w:val="TableBlock"/>
            </w:pPr>
            <w:r>
              <w:rPr>
                <w:sz w:val="26"/>
                <w:rtl/>
              </w:rPr>
              <w:t>(א)</w:t>
            </w:r>
            <w:r>
              <w:rPr>
                <w:sz w:val="26"/>
                <w:rtl/>
              </w:rPr>
              <w:tab/>
              <w:t>בעבירה מסוג חטא – עד שישה חודשים;</w:t>
            </w:r>
          </w:p>
        </w:tc>
      </w:tr>
      <w:tr w:rsidR="00EA7804" w14:paraId="0B7602C9" w14:textId="77777777" w:rsidTr="00BD7918">
        <w:trPr>
          <w:cantSplit/>
        </w:trPr>
        <w:tc>
          <w:tcPr>
            <w:tcW w:w="1871" w:type="dxa"/>
          </w:tcPr>
          <w:p w14:paraId="7E1D2803" w14:textId="77777777" w:rsidR="00EA7804" w:rsidRDefault="00EA7804">
            <w:pPr>
              <w:pStyle w:val="TableSideHeading"/>
              <w:rPr>
                <w:rtl/>
              </w:rPr>
            </w:pPr>
          </w:p>
        </w:tc>
        <w:tc>
          <w:tcPr>
            <w:tcW w:w="624" w:type="dxa"/>
          </w:tcPr>
          <w:p w14:paraId="3F94F107" w14:textId="77777777" w:rsidR="00EA7804" w:rsidRDefault="00EA7804">
            <w:pPr>
              <w:pStyle w:val="TableText"/>
            </w:pPr>
          </w:p>
        </w:tc>
        <w:tc>
          <w:tcPr>
            <w:tcW w:w="624" w:type="dxa"/>
          </w:tcPr>
          <w:p w14:paraId="4FEF6FC9" w14:textId="77777777" w:rsidR="00EA7804" w:rsidRDefault="00EA7804">
            <w:pPr>
              <w:pStyle w:val="TableText"/>
            </w:pPr>
          </w:p>
        </w:tc>
        <w:tc>
          <w:tcPr>
            <w:tcW w:w="624" w:type="dxa"/>
          </w:tcPr>
          <w:p w14:paraId="2FA04E7B" w14:textId="77777777" w:rsidR="00EA7804" w:rsidRDefault="00EA7804">
            <w:pPr>
              <w:pStyle w:val="TableText"/>
            </w:pPr>
          </w:p>
        </w:tc>
        <w:tc>
          <w:tcPr>
            <w:tcW w:w="5895" w:type="dxa"/>
            <w:hideMark/>
          </w:tcPr>
          <w:p w14:paraId="33EFA412" w14:textId="77777777" w:rsidR="00EA7804" w:rsidRDefault="00EA7804" w:rsidP="00BD7918">
            <w:pPr>
              <w:pStyle w:val="TableBlock"/>
            </w:pPr>
            <w:r>
              <w:rPr>
                <w:sz w:val="26"/>
                <w:rtl/>
              </w:rPr>
              <w:t>(ב)</w:t>
            </w:r>
            <w:r>
              <w:rPr>
                <w:sz w:val="26"/>
                <w:rtl/>
              </w:rPr>
              <w:tab/>
              <w:t>בעבירה מסוג עוון – עד תשעה חודשים;</w:t>
            </w:r>
          </w:p>
        </w:tc>
      </w:tr>
      <w:tr w:rsidR="00EA7804" w14:paraId="6854CE78" w14:textId="77777777" w:rsidTr="00BD7918">
        <w:trPr>
          <w:cantSplit/>
        </w:trPr>
        <w:tc>
          <w:tcPr>
            <w:tcW w:w="1871" w:type="dxa"/>
          </w:tcPr>
          <w:p w14:paraId="49558DFE" w14:textId="77777777" w:rsidR="00EA7804" w:rsidRDefault="00EA7804">
            <w:pPr>
              <w:pStyle w:val="TableSideHeading"/>
              <w:rPr>
                <w:rtl/>
              </w:rPr>
            </w:pPr>
          </w:p>
        </w:tc>
        <w:tc>
          <w:tcPr>
            <w:tcW w:w="624" w:type="dxa"/>
          </w:tcPr>
          <w:p w14:paraId="72353338" w14:textId="77777777" w:rsidR="00EA7804" w:rsidRDefault="00EA7804">
            <w:pPr>
              <w:pStyle w:val="TableText"/>
            </w:pPr>
          </w:p>
        </w:tc>
        <w:tc>
          <w:tcPr>
            <w:tcW w:w="624" w:type="dxa"/>
          </w:tcPr>
          <w:p w14:paraId="7DFAE566" w14:textId="77777777" w:rsidR="00EA7804" w:rsidRDefault="00EA7804">
            <w:pPr>
              <w:pStyle w:val="TableText"/>
            </w:pPr>
          </w:p>
        </w:tc>
        <w:tc>
          <w:tcPr>
            <w:tcW w:w="624" w:type="dxa"/>
          </w:tcPr>
          <w:p w14:paraId="1D3F7637" w14:textId="77777777" w:rsidR="00EA7804" w:rsidRDefault="00EA7804">
            <w:pPr>
              <w:pStyle w:val="TableText"/>
            </w:pPr>
          </w:p>
        </w:tc>
        <w:tc>
          <w:tcPr>
            <w:tcW w:w="5895" w:type="dxa"/>
            <w:hideMark/>
          </w:tcPr>
          <w:p w14:paraId="26A6CEB5" w14:textId="77777777" w:rsidR="00EA7804" w:rsidRDefault="00EA7804" w:rsidP="00BD7918">
            <w:pPr>
              <w:pStyle w:val="TableBlock"/>
            </w:pPr>
            <w:r>
              <w:rPr>
                <w:sz w:val="26"/>
                <w:rtl/>
              </w:rPr>
              <w:t>(ג)</w:t>
            </w:r>
            <w:r>
              <w:rPr>
                <w:sz w:val="26"/>
                <w:rtl/>
              </w:rPr>
              <w:tab/>
              <w:t>בעבירה שדינה מאסר מעל לשלוש שנים ולא יותר מעשר שנים – עד שמונה עשר חודשים;</w:t>
            </w:r>
          </w:p>
        </w:tc>
      </w:tr>
      <w:tr w:rsidR="00EA7804" w14:paraId="08878BC7" w14:textId="77777777" w:rsidTr="00BD7918">
        <w:trPr>
          <w:cantSplit/>
        </w:trPr>
        <w:tc>
          <w:tcPr>
            <w:tcW w:w="1871" w:type="dxa"/>
          </w:tcPr>
          <w:p w14:paraId="1881ADD5" w14:textId="77777777" w:rsidR="00EA7804" w:rsidRDefault="00EA7804">
            <w:pPr>
              <w:pStyle w:val="TableSideHeading"/>
              <w:rPr>
                <w:rtl/>
              </w:rPr>
            </w:pPr>
          </w:p>
        </w:tc>
        <w:tc>
          <w:tcPr>
            <w:tcW w:w="624" w:type="dxa"/>
          </w:tcPr>
          <w:p w14:paraId="41F68EDC" w14:textId="77777777" w:rsidR="00EA7804" w:rsidRDefault="00EA7804">
            <w:pPr>
              <w:pStyle w:val="TableText"/>
            </w:pPr>
          </w:p>
        </w:tc>
        <w:tc>
          <w:tcPr>
            <w:tcW w:w="624" w:type="dxa"/>
          </w:tcPr>
          <w:p w14:paraId="2AD35687" w14:textId="77777777" w:rsidR="00EA7804" w:rsidRDefault="00EA7804">
            <w:pPr>
              <w:pStyle w:val="TableText"/>
            </w:pPr>
          </w:p>
        </w:tc>
        <w:tc>
          <w:tcPr>
            <w:tcW w:w="624" w:type="dxa"/>
          </w:tcPr>
          <w:p w14:paraId="08AB5343" w14:textId="77777777" w:rsidR="00EA7804" w:rsidRDefault="00EA7804">
            <w:pPr>
              <w:pStyle w:val="TableText"/>
            </w:pPr>
          </w:p>
        </w:tc>
        <w:tc>
          <w:tcPr>
            <w:tcW w:w="5895" w:type="dxa"/>
            <w:hideMark/>
          </w:tcPr>
          <w:p w14:paraId="2FA5D921" w14:textId="77777777" w:rsidR="00EA7804" w:rsidRDefault="00EA7804" w:rsidP="00BD7918">
            <w:pPr>
              <w:pStyle w:val="TableBlock"/>
            </w:pPr>
            <w:r>
              <w:rPr>
                <w:sz w:val="26"/>
                <w:rtl/>
              </w:rPr>
              <w:t>(ד)</w:t>
            </w:r>
            <w:r>
              <w:rPr>
                <w:sz w:val="26"/>
                <w:rtl/>
              </w:rPr>
              <w:tab/>
              <w:t>בעבירה שדינה מאסר של עשר שנים ומעלה – עד עשרים וארבעה חודשים;</w:t>
            </w:r>
          </w:p>
        </w:tc>
      </w:tr>
      <w:tr w:rsidR="00EA7804" w14:paraId="08E01890" w14:textId="77777777" w:rsidTr="00BD7918">
        <w:trPr>
          <w:cantSplit/>
        </w:trPr>
        <w:tc>
          <w:tcPr>
            <w:tcW w:w="1871" w:type="dxa"/>
          </w:tcPr>
          <w:p w14:paraId="5309FB07" w14:textId="77777777" w:rsidR="00EA7804" w:rsidRDefault="00EA7804">
            <w:pPr>
              <w:pStyle w:val="TableSideHeading"/>
              <w:rPr>
                <w:rtl/>
              </w:rPr>
            </w:pPr>
          </w:p>
        </w:tc>
        <w:tc>
          <w:tcPr>
            <w:tcW w:w="624" w:type="dxa"/>
          </w:tcPr>
          <w:p w14:paraId="40F01C0D" w14:textId="77777777" w:rsidR="00EA7804" w:rsidRDefault="00EA7804">
            <w:pPr>
              <w:pStyle w:val="TableText"/>
            </w:pPr>
          </w:p>
        </w:tc>
        <w:tc>
          <w:tcPr>
            <w:tcW w:w="624" w:type="dxa"/>
          </w:tcPr>
          <w:p w14:paraId="5670F6C3" w14:textId="77777777" w:rsidR="00EA7804" w:rsidRDefault="00EA7804">
            <w:pPr>
              <w:pStyle w:val="TableText"/>
            </w:pPr>
          </w:p>
        </w:tc>
        <w:tc>
          <w:tcPr>
            <w:tcW w:w="6519" w:type="dxa"/>
            <w:gridSpan w:val="2"/>
            <w:hideMark/>
          </w:tcPr>
          <w:p w14:paraId="46B78117" w14:textId="77777777" w:rsidR="00EA7804" w:rsidRDefault="00EA7804" w:rsidP="00BD7918">
            <w:pPr>
              <w:pStyle w:val="TableBlock"/>
            </w:pPr>
            <w:r>
              <w:rPr>
                <w:sz w:val="26"/>
                <w:rtl/>
              </w:rPr>
              <w:t>(3)</w:t>
            </w:r>
            <w:r>
              <w:rPr>
                <w:sz w:val="26"/>
                <w:rtl/>
              </w:rPr>
              <w:tab/>
              <w:t>על אף האמור בפסקאות (1), (2)(א) ו-(2)(ב), קצין משטרה בדרגת תת ניצב ומעלה רשאי, מטעמים מיוחדים שירשמו, להאריך את משך החקירה המשטרתית בעבירות מסוג חטא או עוון בתקופה נוספת שלא תעלה על שישה חודשים ולחזור ולהאריך תקופה זו פעם אחת נוספת</w:t>
            </w:r>
            <w:r>
              <w:rPr>
                <w:rtl/>
              </w:rPr>
              <w:t>;</w:t>
            </w:r>
          </w:p>
        </w:tc>
      </w:tr>
      <w:tr w:rsidR="00EA7804" w14:paraId="1C70CB11" w14:textId="77777777" w:rsidTr="004553B1">
        <w:trPr>
          <w:cantSplit/>
          <w:trHeight w:val="1361"/>
        </w:trPr>
        <w:tc>
          <w:tcPr>
            <w:tcW w:w="1871" w:type="dxa"/>
          </w:tcPr>
          <w:p w14:paraId="3777C592" w14:textId="73BCB766" w:rsidR="00EA7804" w:rsidRPr="00BD7918" w:rsidRDefault="00EA7804" w:rsidP="00BD7918">
            <w:pPr>
              <w:pStyle w:val="TableSideHeading"/>
              <w:rPr>
                <w:rtl/>
              </w:rPr>
            </w:pPr>
          </w:p>
          <w:p w14:paraId="2D14B3A0" w14:textId="18632060" w:rsidR="00EA7804" w:rsidRPr="00BD7918" w:rsidRDefault="00EA7804" w:rsidP="00BD7918">
            <w:pPr>
              <w:pStyle w:val="TableSideHeading"/>
              <w:rPr>
                <w:rtl/>
              </w:rPr>
            </w:pPr>
          </w:p>
        </w:tc>
        <w:tc>
          <w:tcPr>
            <w:tcW w:w="624" w:type="dxa"/>
          </w:tcPr>
          <w:p w14:paraId="617CFB67" w14:textId="04118549" w:rsidR="00EA7804" w:rsidRDefault="00EA7804">
            <w:pPr>
              <w:pStyle w:val="TableText"/>
            </w:pPr>
          </w:p>
        </w:tc>
        <w:tc>
          <w:tcPr>
            <w:tcW w:w="624" w:type="dxa"/>
          </w:tcPr>
          <w:p w14:paraId="12C58C91" w14:textId="77777777" w:rsidR="00EA7804" w:rsidRDefault="00EA7804">
            <w:pPr>
              <w:pStyle w:val="TableText"/>
            </w:pPr>
          </w:p>
        </w:tc>
        <w:tc>
          <w:tcPr>
            <w:tcW w:w="6519" w:type="dxa"/>
            <w:gridSpan w:val="2"/>
            <w:hideMark/>
          </w:tcPr>
          <w:p w14:paraId="3FAE4A9A" w14:textId="2DDDB54E" w:rsidR="00EA7804" w:rsidRDefault="00EA7804" w:rsidP="00BD7918">
            <w:pPr>
              <w:pStyle w:val="TableBlock"/>
              <w:rPr>
                <w:sz w:val="26"/>
              </w:rPr>
            </w:pPr>
            <w:r>
              <w:rPr>
                <w:sz w:val="26"/>
                <w:rtl/>
              </w:rPr>
              <w:t>(4)</w:t>
            </w:r>
            <w:r>
              <w:rPr>
                <w:sz w:val="26"/>
                <w:rtl/>
              </w:rPr>
              <w:tab/>
              <w:t>על אף האמור בפסקאות (1), (2)(ג) ו-(2)(ד), קצין בדרגת ניצב ומעלה רשאי, מטעמים מיוחדים שירשמו, להאריך את משך זמן החקירה המשטרתית בעבירות מסוג פשע בתקופה נוספת שלא תעלה על שישה חודשים ולחזור להאריך תקופה זו פעם אחת נוספת."</w:t>
            </w:r>
          </w:p>
        </w:tc>
      </w:tr>
      <w:tr w:rsidR="00884DF5" w14:paraId="149B18A1" w14:textId="77777777" w:rsidTr="00BD7918">
        <w:tblPrEx>
          <w:tblLook w:val="01E0" w:firstRow="1" w:lastRow="1" w:firstColumn="1" w:lastColumn="1" w:noHBand="0" w:noVBand="0"/>
        </w:tblPrEx>
        <w:trPr>
          <w:cantSplit/>
        </w:trPr>
        <w:tc>
          <w:tcPr>
            <w:tcW w:w="1871" w:type="dxa"/>
          </w:tcPr>
          <w:p w14:paraId="4E6FAB6D" w14:textId="03100AE7" w:rsidR="00884DF5" w:rsidRDefault="00884DF5">
            <w:pPr>
              <w:pStyle w:val="TableSideHeading"/>
            </w:pPr>
            <w:r>
              <w:rPr>
                <w:rFonts w:hint="cs"/>
                <w:rtl/>
              </w:rPr>
              <w:t>תיקון סעיף 62</w:t>
            </w:r>
          </w:p>
        </w:tc>
        <w:tc>
          <w:tcPr>
            <w:tcW w:w="624" w:type="dxa"/>
          </w:tcPr>
          <w:p w14:paraId="2D104FF0" w14:textId="772C0CD1" w:rsidR="00884DF5" w:rsidRDefault="00884DF5">
            <w:pPr>
              <w:pStyle w:val="TableText"/>
            </w:pPr>
            <w:r>
              <w:rPr>
                <w:rFonts w:hint="cs"/>
                <w:rtl/>
              </w:rPr>
              <w:t>2.</w:t>
            </w:r>
          </w:p>
        </w:tc>
        <w:tc>
          <w:tcPr>
            <w:tcW w:w="7143" w:type="dxa"/>
            <w:gridSpan w:val="3"/>
          </w:tcPr>
          <w:p w14:paraId="65D76DC5" w14:textId="4E759C1A" w:rsidR="00884DF5" w:rsidRPr="00C34DE2" w:rsidRDefault="00884DF5" w:rsidP="00BD7918">
            <w:pPr>
              <w:pStyle w:val="TableBlock"/>
            </w:pPr>
            <w:r>
              <w:rPr>
                <w:rFonts w:hint="cs"/>
                <w:rtl/>
              </w:rPr>
              <w:t>בסעיף 62</w:t>
            </w:r>
            <w:r w:rsidR="00750D62">
              <w:rPr>
                <w:rFonts w:hint="cs"/>
                <w:rtl/>
              </w:rPr>
              <w:t xml:space="preserve"> לחוק העיקרי</w:t>
            </w:r>
            <w:r>
              <w:rPr>
                <w:rFonts w:hint="cs"/>
                <w:rtl/>
              </w:rPr>
              <w:t xml:space="preserve">, אחרי סעיף קטן (ב) יבוא </w:t>
            </w:r>
            <w:r>
              <w:rPr>
                <w:rtl/>
              </w:rPr>
              <w:t>–</w:t>
            </w:r>
            <w:r>
              <w:rPr>
                <w:rFonts w:hint="cs"/>
                <w:rtl/>
              </w:rPr>
              <w:t xml:space="preserve"> </w:t>
            </w:r>
          </w:p>
        </w:tc>
      </w:tr>
      <w:tr w:rsidR="00884DF5" w14:paraId="10D9364F" w14:textId="77777777" w:rsidTr="00BD7918">
        <w:tblPrEx>
          <w:tblLook w:val="01E0" w:firstRow="1" w:lastRow="1" w:firstColumn="1" w:lastColumn="1" w:noHBand="0" w:noVBand="0"/>
        </w:tblPrEx>
        <w:trPr>
          <w:cantSplit/>
        </w:trPr>
        <w:tc>
          <w:tcPr>
            <w:tcW w:w="1871" w:type="dxa"/>
          </w:tcPr>
          <w:p w14:paraId="65F8B284" w14:textId="77777777" w:rsidR="00884DF5" w:rsidRDefault="00884DF5">
            <w:pPr>
              <w:pStyle w:val="TableSideHeading"/>
              <w:rPr>
                <w:rtl/>
              </w:rPr>
            </w:pPr>
          </w:p>
        </w:tc>
        <w:tc>
          <w:tcPr>
            <w:tcW w:w="624" w:type="dxa"/>
          </w:tcPr>
          <w:p w14:paraId="10E569EB" w14:textId="77777777" w:rsidR="00884DF5" w:rsidRDefault="00884DF5" w:rsidP="00884DF5">
            <w:pPr>
              <w:pStyle w:val="TableText"/>
              <w:rPr>
                <w:rtl/>
              </w:rPr>
            </w:pPr>
          </w:p>
        </w:tc>
        <w:tc>
          <w:tcPr>
            <w:tcW w:w="7143" w:type="dxa"/>
            <w:gridSpan w:val="3"/>
          </w:tcPr>
          <w:p w14:paraId="4C1D086E" w14:textId="3E03F7F9" w:rsidR="00884DF5" w:rsidRDefault="00884DF5" w:rsidP="00BD7918">
            <w:pPr>
              <w:pStyle w:val="TableBlock"/>
              <w:rPr>
                <w:rtl/>
              </w:rPr>
            </w:pPr>
            <w:r>
              <w:rPr>
                <w:rFonts w:hint="cs"/>
                <w:rtl/>
              </w:rPr>
              <w:t>"(ג)</w:t>
            </w:r>
            <w:r>
              <w:rPr>
                <w:rtl/>
              </w:rPr>
              <w:tab/>
            </w:r>
            <w:r>
              <w:rPr>
                <w:sz w:val="26"/>
                <w:rtl/>
              </w:rPr>
              <w:t>אדם שיש להעמידו לדין יגיש נגדו תובע כתב אישום לבית המשפט.</w:t>
            </w:r>
          </w:p>
        </w:tc>
      </w:tr>
      <w:tr w:rsidR="00884DF5" w14:paraId="5BFBC15D" w14:textId="77777777" w:rsidTr="00BD7918">
        <w:tblPrEx>
          <w:tblLook w:val="01E0" w:firstRow="1" w:lastRow="1" w:firstColumn="1" w:lastColumn="1" w:noHBand="0" w:noVBand="0"/>
        </w:tblPrEx>
        <w:trPr>
          <w:cantSplit/>
        </w:trPr>
        <w:tc>
          <w:tcPr>
            <w:tcW w:w="1871" w:type="dxa"/>
          </w:tcPr>
          <w:p w14:paraId="4F671141" w14:textId="77777777" w:rsidR="00884DF5" w:rsidRDefault="00884DF5">
            <w:pPr>
              <w:pStyle w:val="TableSideHeading"/>
              <w:rPr>
                <w:rtl/>
              </w:rPr>
            </w:pPr>
          </w:p>
        </w:tc>
        <w:tc>
          <w:tcPr>
            <w:tcW w:w="624" w:type="dxa"/>
          </w:tcPr>
          <w:p w14:paraId="400DD131" w14:textId="77777777" w:rsidR="00884DF5" w:rsidRDefault="00884DF5" w:rsidP="00884DF5">
            <w:pPr>
              <w:pStyle w:val="TableText"/>
              <w:rPr>
                <w:rtl/>
              </w:rPr>
            </w:pPr>
          </w:p>
        </w:tc>
        <w:tc>
          <w:tcPr>
            <w:tcW w:w="7143" w:type="dxa"/>
            <w:gridSpan w:val="3"/>
          </w:tcPr>
          <w:p w14:paraId="6D1F11D3" w14:textId="1C90BBBE" w:rsidR="00884DF5" w:rsidRDefault="00884DF5" w:rsidP="00BD7918">
            <w:pPr>
              <w:pStyle w:val="TableBlock"/>
              <w:rPr>
                <w:rtl/>
              </w:rPr>
            </w:pPr>
            <w:r>
              <w:rPr>
                <w:rFonts w:hint="cs"/>
                <w:rtl/>
              </w:rPr>
              <w:t>(ד)</w:t>
            </w:r>
            <w:r>
              <w:rPr>
                <w:rtl/>
              </w:rPr>
              <w:tab/>
            </w:r>
            <w:r>
              <w:rPr>
                <w:sz w:val="26"/>
                <w:rtl/>
              </w:rPr>
              <w:t>כתב האישום יוגש במועד שאינו מאוחר מן המועד הקבוע להלן:</w:t>
            </w:r>
          </w:p>
        </w:tc>
      </w:tr>
      <w:tr w:rsidR="00884DF5" w14:paraId="302DCE39" w14:textId="77777777" w:rsidTr="00BD7918">
        <w:tblPrEx>
          <w:tblLook w:val="01E0" w:firstRow="1" w:lastRow="1" w:firstColumn="1" w:lastColumn="1" w:noHBand="0" w:noVBand="0"/>
        </w:tblPrEx>
        <w:trPr>
          <w:cantSplit/>
        </w:trPr>
        <w:tc>
          <w:tcPr>
            <w:tcW w:w="1871" w:type="dxa"/>
          </w:tcPr>
          <w:p w14:paraId="777F3A97" w14:textId="77777777" w:rsidR="00884DF5" w:rsidRDefault="00884DF5">
            <w:pPr>
              <w:pStyle w:val="TableSideHeading"/>
            </w:pPr>
          </w:p>
        </w:tc>
        <w:tc>
          <w:tcPr>
            <w:tcW w:w="624" w:type="dxa"/>
          </w:tcPr>
          <w:p w14:paraId="66F7B980" w14:textId="77777777" w:rsidR="00884DF5" w:rsidRDefault="00884DF5">
            <w:pPr>
              <w:pStyle w:val="TableText"/>
            </w:pPr>
          </w:p>
        </w:tc>
        <w:tc>
          <w:tcPr>
            <w:tcW w:w="624" w:type="dxa"/>
          </w:tcPr>
          <w:p w14:paraId="48944D13" w14:textId="77777777" w:rsidR="00884DF5" w:rsidRDefault="00884DF5">
            <w:pPr>
              <w:pStyle w:val="TableText"/>
            </w:pPr>
          </w:p>
        </w:tc>
        <w:tc>
          <w:tcPr>
            <w:tcW w:w="6519" w:type="dxa"/>
            <w:gridSpan w:val="2"/>
          </w:tcPr>
          <w:p w14:paraId="7C5DA91E" w14:textId="7B665E64" w:rsidR="00884DF5" w:rsidRDefault="00884DF5" w:rsidP="00BD7918">
            <w:pPr>
              <w:pStyle w:val="TableBlock"/>
            </w:pPr>
            <w:r>
              <w:rPr>
                <w:rFonts w:hint="cs"/>
                <w:rtl/>
              </w:rPr>
              <w:t>(1)</w:t>
            </w:r>
            <w:r>
              <w:rPr>
                <w:rtl/>
              </w:rPr>
              <w:tab/>
            </w:r>
            <w:r>
              <w:rPr>
                <w:sz w:val="26"/>
                <w:rtl/>
              </w:rPr>
              <w:t>בתיקים שבהם מטפל תובע משטרתי – עד תשעה חודשים מיום סיום החקירה;</w:t>
            </w:r>
          </w:p>
        </w:tc>
      </w:tr>
      <w:tr w:rsidR="00884DF5" w14:paraId="30C5A6A5" w14:textId="77777777" w:rsidTr="00BD7918">
        <w:tblPrEx>
          <w:tblLook w:val="01E0" w:firstRow="1" w:lastRow="1" w:firstColumn="1" w:lastColumn="1" w:noHBand="0" w:noVBand="0"/>
        </w:tblPrEx>
        <w:trPr>
          <w:cantSplit/>
        </w:trPr>
        <w:tc>
          <w:tcPr>
            <w:tcW w:w="1871" w:type="dxa"/>
          </w:tcPr>
          <w:p w14:paraId="44FE1285" w14:textId="77777777" w:rsidR="00884DF5" w:rsidRDefault="00884DF5">
            <w:pPr>
              <w:pStyle w:val="TableSideHeading"/>
            </w:pPr>
          </w:p>
        </w:tc>
        <w:tc>
          <w:tcPr>
            <w:tcW w:w="624" w:type="dxa"/>
          </w:tcPr>
          <w:p w14:paraId="621963FD" w14:textId="77777777" w:rsidR="00884DF5" w:rsidRDefault="00884DF5" w:rsidP="00884DF5">
            <w:pPr>
              <w:pStyle w:val="TableText"/>
            </w:pPr>
          </w:p>
        </w:tc>
        <w:tc>
          <w:tcPr>
            <w:tcW w:w="624" w:type="dxa"/>
          </w:tcPr>
          <w:p w14:paraId="031DBB6D" w14:textId="77777777" w:rsidR="00884DF5" w:rsidRDefault="00884DF5">
            <w:pPr>
              <w:pStyle w:val="TableText"/>
            </w:pPr>
          </w:p>
        </w:tc>
        <w:tc>
          <w:tcPr>
            <w:tcW w:w="6519" w:type="dxa"/>
            <w:gridSpan w:val="2"/>
          </w:tcPr>
          <w:p w14:paraId="26AC0843" w14:textId="7509104D" w:rsidR="00884DF5" w:rsidRDefault="00884DF5" w:rsidP="00BD7918">
            <w:pPr>
              <w:pStyle w:val="TableBlock"/>
              <w:rPr>
                <w:rtl/>
              </w:rPr>
            </w:pPr>
            <w:r>
              <w:rPr>
                <w:rFonts w:hint="cs"/>
                <w:rtl/>
              </w:rPr>
              <w:t>(2)</w:t>
            </w:r>
            <w:r>
              <w:rPr>
                <w:rtl/>
              </w:rPr>
              <w:tab/>
            </w:r>
            <w:r>
              <w:rPr>
                <w:sz w:val="26"/>
                <w:rtl/>
              </w:rPr>
              <w:t>בתיקים שבהם מטפל תובע מפרקליטות המדינה או מפרקליטות המחוז – עד שנים עשר חודשים מיום סיום החקירה;</w:t>
            </w:r>
          </w:p>
        </w:tc>
      </w:tr>
      <w:tr w:rsidR="00884DF5" w14:paraId="4CD3869C" w14:textId="77777777" w:rsidTr="00BD7918">
        <w:tblPrEx>
          <w:tblLook w:val="01E0" w:firstRow="1" w:lastRow="1" w:firstColumn="1" w:lastColumn="1" w:noHBand="0" w:noVBand="0"/>
        </w:tblPrEx>
        <w:trPr>
          <w:cantSplit/>
        </w:trPr>
        <w:tc>
          <w:tcPr>
            <w:tcW w:w="1871" w:type="dxa"/>
          </w:tcPr>
          <w:p w14:paraId="77C34139" w14:textId="77777777" w:rsidR="00884DF5" w:rsidRDefault="00884DF5">
            <w:pPr>
              <w:pStyle w:val="TableSideHeading"/>
            </w:pPr>
          </w:p>
        </w:tc>
        <w:tc>
          <w:tcPr>
            <w:tcW w:w="624" w:type="dxa"/>
          </w:tcPr>
          <w:p w14:paraId="18AA0D3D" w14:textId="77777777" w:rsidR="00884DF5" w:rsidRDefault="00884DF5">
            <w:pPr>
              <w:pStyle w:val="TableText"/>
            </w:pPr>
          </w:p>
        </w:tc>
        <w:tc>
          <w:tcPr>
            <w:tcW w:w="7143" w:type="dxa"/>
            <w:gridSpan w:val="3"/>
          </w:tcPr>
          <w:p w14:paraId="4ECA956E" w14:textId="6B0AA438" w:rsidR="00884DF5" w:rsidRPr="00C34DE2" w:rsidRDefault="00884DF5" w:rsidP="00BD7918">
            <w:pPr>
              <w:pStyle w:val="TableBlock"/>
            </w:pPr>
            <w:r>
              <w:rPr>
                <w:rFonts w:hint="cs"/>
                <w:rtl/>
              </w:rPr>
              <w:t>(ה)</w:t>
            </w:r>
            <w:r>
              <w:rPr>
                <w:rtl/>
              </w:rPr>
              <w:tab/>
            </w:r>
            <w:r>
              <w:rPr>
                <w:rFonts w:hint="cs"/>
                <w:rtl/>
              </w:rPr>
              <w:t>לא ידון בית המשפט בכתב אישום שהוגש בניגוד להוראות סעיף קטן (ד)."</w:t>
            </w:r>
          </w:p>
        </w:tc>
      </w:tr>
      <w:tr w:rsidR="00884DF5" w14:paraId="11F61EC8" w14:textId="77777777" w:rsidTr="00BD7918">
        <w:tblPrEx>
          <w:tblLook w:val="01E0" w:firstRow="1" w:lastRow="1" w:firstColumn="1" w:lastColumn="1" w:noHBand="0" w:noVBand="0"/>
        </w:tblPrEx>
        <w:trPr>
          <w:cantSplit/>
        </w:trPr>
        <w:tc>
          <w:tcPr>
            <w:tcW w:w="1871" w:type="dxa"/>
          </w:tcPr>
          <w:p w14:paraId="70E65E87" w14:textId="354F46BF" w:rsidR="00884DF5" w:rsidRDefault="00884DF5">
            <w:pPr>
              <w:pStyle w:val="TableSideHeading"/>
            </w:pPr>
            <w:r>
              <w:rPr>
                <w:rFonts w:hint="cs"/>
                <w:rtl/>
              </w:rPr>
              <w:t>ביטול סעיף 67</w:t>
            </w:r>
          </w:p>
        </w:tc>
        <w:tc>
          <w:tcPr>
            <w:tcW w:w="624" w:type="dxa"/>
          </w:tcPr>
          <w:p w14:paraId="50C549A4" w14:textId="3D59E8CD" w:rsidR="00884DF5" w:rsidRDefault="00884DF5" w:rsidP="00884DF5">
            <w:pPr>
              <w:pStyle w:val="TableText"/>
            </w:pPr>
            <w:r>
              <w:rPr>
                <w:rFonts w:hint="cs"/>
                <w:rtl/>
              </w:rPr>
              <w:t>3.</w:t>
            </w:r>
          </w:p>
        </w:tc>
        <w:tc>
          <w:tcPr>
            <w:tcW w:w="7143" w:type="dxa"/>
            <w:gridSpan w:val="3"/>
          </w:tcPr>
          <w:p w14:paraId="3BA7084C" w14:textId="415506CF" w:rsidR="00884DF5" w:rsidRDefault="00884DF5" w:rsidP="00BD7918">
            <w:pPr>
              <w:pStyle w:val="TableBlock"/>
              <w:rPr>
                <w:rtl/>
              </w:rPr>
            </w:pPr>
            <w:r>
              <w:rPr>
                <w:rFonts w:hint="cs"/>
                <w:rtl/>
              </w:rPr>
              <w:t xml:space="preserve">סעיף 67 לחוק </w:t>
            </w:r>
            <w:r w:rsidR="00750D62">
              <w:rPr>
                <w:rFonts w:hint="cs"/>
                <w:rtl/>
              </w:rPr>
              <w:t xml:space="preserve">העיקרי </w:t>
            </w:r>
            <w:r>
              <w:rPr>
                <w:rtl/>
              </w:rPr>
              <w:t>–</w:t>
            </w:r>
            <w:r>
              <w:rPr>
                <w:rFonts w:hint="cs"/>
                <w:rtl/>
              </w:rPr>
              <w:t xml:space="preserve"> בטל. </w:t>
            </w:r>
          </w:p>
        </w:tc>
      </w:tr>
      <w:tr w:rsidR="00EA7804" w14:paraId="5012D08C" w14:textId="77777777" w:rsidTr="00BD7918">
        <w:trPr>
          <w:cantSplit/>
        </w:trPr>
        <w:tc>
          <w:tcPr>
            <w:tcW w:w="1871" w:type="dxa"/>
            <w:hideMark/>
          </w:tcPr>
          <w:p w14:paraId="2E2B0BD7" w14:textId="348B877F" w:rsidR="00EA7804" w:rsidRDefault="00EA7804">
            <w:pPr>
              <w:pStyle w:val="TableSideHeading"/>
              <w:keepLines w:val="0"/>
              <w:rPr>
                <w:rtl/>
              </w:rPr>
            </w:pPr>
            <w:r>
              <w:rPr>
                <w:rtl/>
              </w:rPr>
              <w:t>תחולה</w:t>
            </w:r>
          </w:p>
        </w:tc>
        <w:tc>
          <w:tcPr>
            <w:tcW w:w="624" w:type="dxa"/>
            <w:hideMark/>
          </w:tcPr>
          <w:p w14:paraId="44720794" w14:textId="59C86020" w:rsidR="00EA7804" w:rsidRDefault="00DC760E">
            <w:pPr>
              <w:pStyle w:val="TableText"/>
              <w:keepLines w:val="0"/>
              <w:rPr>
                <w:rtl/>
              </w:rPr>
            </w:pPr>
            <w:r>
              <w:rPr>
                <w:rFonts w:hint="cs"/>
                <w:rtl/>
              </w:rPr>
              <w:t>4.</w:t>
            </w:r>
          </w:p>
        </w:tc>
        <w:tc>
          <w:tcPr>
            <w:tcW w:w="7143" w:type="dxa"/>
            <w:gridSpan w:val="3"/>
            <w:hideMark/>
          </w:tcPr>
          <w:p w14:paraId="659995C0" w14:textId="77777777" w:rsidR="00EA7804" w:rsidRDefault="00EA7804" w:rsidP="00BD7918">
            <w:pPr>
              <w:pStyle w:val="TableBlock"/>
              <w:rPr>
                <w:rtl/>
              </w:rPr>
            </w:pPr>
            <w:r>
              <w:rPr>
                <w:rtl/>
              </w:rPr>
              <w:t>הוראות חוק זה יחולו על חקירות שהחלו לאחר יום פרסומו.</w:t>
            </w:r>
          </w:p>
        </w:tc>
      </w:tr>
    </w:tbl>
    <w:p w14:paraId="7F6961CA" w14:textId="77777777" w:rsidR="002D1EE3" w:rsidRDefault="002D1EE3" w:rsidP="002D1EE3">
      <w:pPr>
        <w:pStyle w:val="HeadDivreiHesber"/>
        <w:rPr>
          <w:rtl/>
        </w:rPr>
      </w:pPr>
      <w:r w:rsidRPr="0027450A">
        <w:rPr>
          <w:rFonts w:hint="cs"/>
          <w:rtl/>
        </w:rPr>
        <w:t>דברי הסבר</w:t>
      </w:r>
    </w:p>
    <w:p w14:paraId="3F0DCBFD" w14:textId="2A821C2C" w:rsidR="00EA7804" w:rsidRDefault="00EA7804" w:rsidP="00B518D2">
      <w:pPr>
        <w:pStyle w:val="Hesber"/>
      </w:pPr>
      <w:r>
        <w:rPr>
          <w:rtl/>
        </w:rPr>
        <w:t>מטרת הצעת חוק זו היא להגביל את משך החקירה של אדם החשוד</w:t>
      </w:r>
      <w:r w:rsidR="00B518D2">
        <w:rPr>
          <w:rFonts w:hint="cs"/>
          <w:rtl/>
        </w:rPr>
        <w:t xml:space="preserve"> ואת משך הזמן עד להגשת כתב אישום בעניינו</w:t>
      </w:r>
      <w:r w:rsidR="00B518D2">
        <w:rPr>
          <w:rtl/>
        </w:rPr>
        <w:t xml:space="preserve">. ההמתנה של אדם </w:t>
      </w:r>
      <w:r w:rsidR="00B518D2">
        <w:rPr>
          <w:rFonts w:hint="cs"/>
          <w:rtl/>
        </w:rPr>
        <w:t>לסיום ההליכים האמורים</w:t>
      </w:r>
      <w:r>
        <w:rPr>
          <w:rtl/>
        </w:rPr>
        <w:t>, יכולה</w:t>
      </w:r>
      <w:r w:rsidR="00B518D2">
        <w:rPr>
          <w:rtl/>
        </w:rPr>
        <w:t xml:space="preserve"> להביא לפגיעה בכבודו ובשמו הטוב</w:t>
      </w:r>
      <w:r w:rsidR="00B518D2">
        <w:rPr>
          <w:rFonts w:hint="cs"/>
          <w:rtl/>
        </w:rPr>
        <w:t xml:space="preserve">, </w:t>
      </w:r>
      <w:r>
        <w:rPr>
          <w:rtl/>
        </w:rPr>
        <w:t xml:space="preserve">בשגרת חייו, </w:t>
      </w:r>
      <w:r w:rsidR="00B518D2">
        <w:rPr>
          <w:rFonts w:hint="cs"/>
          <w:rtl/>
        </w:rPr>
        <w:t>ב</w:t>
      </w:r>
      <w:r>
        <w:rPr>
          <w:rtl/>
        </w:rPr>
        <w:t>מעמדו החברתי ובמקור פרנסתו.</w:t>
      </w:r>
      <w:r w:rsidR="00B518D2">
        <w:rPr>
          <w:rFonts w:hint="cs"/>
          <w:rtl/>
        </w:rPr>
        <w:t xml:space="preserve"> לפיכך, מוצע לקדם איזון ראוי בין זכויותיו כחשוד לבין האינטרס הציבורי במיצוי הליכי החקירה עד תום ואכיפת החוק בהגשת כתב אישום. </w:t>
      </w:r>
      <w:r>
        <w:rPr>
          <w:rtl/>
        </w:rPr>
        <w:t xml:space="preserve"> </w:t>
      </w:r>
    </w:p>
    <w:p w14:paraId="293A68B4" w14:textId="5E7D14C1" w:rsidR="00EA7804" w:rsidRDefault="00EA7804" w:rsidP="00EA7804">
      <w:pPr>
        <w:pStyle w:val="Hesber"/>
        <w:rPr>
          <w:rtl/>
        </w:rPr>
      </w:pPr>
      <w:r>
        <w:rPr>
          <w:rtl/>
        </w:rPr>
        <w:t>הצעת החוק קובעת משכי זמן שונים המותרים לחקירת חשודים שונים בהתאם לחומרת העבירה אותה ביצעו, מתוך הכרה במורכבות השונה של החקירה בעבירות מסוגים שונים</w:t>
      </w:r>
      <w:r w:rsidR="00F56071">
        <w:rPr>
          <w:rFonts w:hint="cs"/>
          <w:rtl/>
        </w:rPr>
        <w:t xml:space="preserve"> וכן משכי זמן להגשת כתב אישום</w:t>
      </w:r>
      <w:r>
        <w:rPr>
          <w:rtl/>
        </w:rPr>
        <w:t xml:space="preserve">.  </w:t>
      </w:r>
    </w:p>
    <w:p w14:paraId="40CF814E" w14:textId="77777777" w:rsidR="00EA7804" w:rsidRDefault="00EA7804" w:rsidP="00EA7804">
      <w:pPr>
        <w:pStyle w:val="Hesber"/>
        <w:rPr>
          <w:rtl/>
        </w:rPr>
      </w:pPr>
      <w:r>
        <w:rPr>
          <w:rtl/>
        </w:rPr>
        <w:t xml:space="preserve">במקרים יוצאי דופן, שבהם תידרש חקירה ארוכה יותר מן המקובל, קצין בדרגת תת ניצב יכול להאריך את משך זמן החקירה פעם אחת נוספת לתקופה שלא תעלה על שישה חודשים בעבירות מסוג חטא ועוון. </w:t>
      </w:r>
    </w:p>
    <w:p w14:paraId="73A064D9" w14:textId="77777777" w:rsidR="00EA7804" w:rsidRDefault="00EA7804" w:rsidP="00EA7804">
      <w:pPr>
        <w:pStyle w:val="Hesber"/>
        <w:rPr>
          <w:rtl/>
        </w:rPr>
      </w:pPr>
      <w:r>
        <w:rPr>
          <w:rtl/>
        </w:rPr>
        <w:t xml:space="preserve">בעבירות שהעונש עליהן הוא מאסר של למעלה משלוש שנים ולא יותר מעשר שנים יהיה רשאי קצין בדרגת ניצב להאריך את משך החקירה פעם אחת נוספת לתקופה שלא תעלה על שישה חודשים. </w:t>
      </w:r>
    </w:p>
    <w:p w14:paraId="6B49DF07" w14:textId="77777777" w:rsidR="00EA7804" w:rsidRDefault="00EA7804" w:rsidP="00EA7804">
      <w:pPr>
        <w:pStyle w:val="Hesber"/>
        <w:rPr>
          <w:rtl/>
        </w:rPr>
      </w:pPr>
      <w:r>
        <w:rPr>
          <w:rtl/>
        </w:rPr>
        <w:t xml:space="preserve">בעבירות שהעונש בגינן הוא יותר מעשר שנות מאסר, יוגבל משך זמן החקירה לעשרים וארבעה חודשים. קצין בדרגת ניצב יהיה רשאי להאריך את משך זמן החקירה פעם אחת נוספת לתקופה שלא תעלה על שישה חודשים. </w:t>
      </w:r>
    </w:p>
    <w:p w14:paraId="0305B354" w14:textId="6CF83EE3" w:rsidR="00EA7804" w:rsidRDefault="00EA7804" w:rsidP="00B518D2">
      <w:pPr>
        <w:pStyle w:val="Hesber"/>
        <w:rPr>
          <w:rtl/>
        </w:rPr>
      </w:pPr>
      <w:r>
        <w:rPr>
          <w:rFonts w:hint="cs"/>
          <w:rtl/>
        </w:rPr>
        <w:t>באשר להחלטת ה</w:t>
      </w:r>
      <w:r w:rsidR="00884DF5">
        <w:rPr>
          <w:rFonts w:hint="cs"/>
          <w:rtl/>
        </w:rPr>
        <w:t>תובע להגיש כתב אישום</w:t>
      </w:r>
      <w:r>
        <w:rPr>
          <w:rFonts w:hint="cs"/>
          <w:rtl/>
        </w:rPr>
        <w:t xml:space="preserve"> יוגבל פרק הזמן עד אשר תתקבל החלטה </w:t>
      </w:r>
      <w:r w:rsidR="00884DF5">
        <w:rPr>
          <w:rFonts w:hint="cs"/>
          <w:rtl/>
        </w:rPr>
        <w:t>לתקופה מ</w:t>
      </w:r>
      <w:r w:rsidR="00B518D2">
        <w:rPr>
          <w:rFonts w:hint="cs"/>
          <w:rtl/>
        </w:rPr>
        <w:t xml:space="preserve">רבית </w:t>
      </w:r>
      <w:r w:rsidR="00B518D2">
        <w:rPr>
          <w:rFonts w:hint="cs"/>
          <w:rtl/>
        </w:rPr>
        <w:lastRenderedPageBreak/>
        <w:t>של תשעה חודשים או שנים-עשר חודשים בהתאם לגוף התובע</w:t>
      </w:r>
      <w:r>
        <w:rPr>
          <w:rFonts w:hint="cs"/>
          <w:rtl/>
        </w:rPr>
        <w:t xml:space="preserve"> בכדי למנוע עינוי דין ופגיעה בשמו הטוב של החשוד.</w:t>
      </w:r>
    </w:p>
    <w:p w14:paraId="28C69124" w14:textId="77777777" w:rsidR="00EA7804" w:rsidRDefault="00EA7804" w:rsidP="00EA7804">
      <w:pPr>
        <w:pStyle w:val="Hesber"/>
        <w:rPr>
          <w:rtl/>
        </w:rPr>
      </w:pPr>
      <w:r>
        <w:rPr>
          <w:rtl/>
        </w:rPr>
        <w:t xml:space="preserve">התארכות ההליך הפלילי וההתרחקות ממועדי ביצוע העבירה (ככל שהתבצעה) מביא עמו לא פעם פגיעה הן ברמת הענישה והן בעשיית הצדק. </w:t>
      </w:r>
    </w:p>
    <w:p w14:paraId="64BADAC2" w14:textId="1130F1E6" w:rsidR="00EA7804" w:rsidRDefault="00EA7804" w:rsidP="00E939BE">
      <w:pPr>
        <w:pStyle w:val="Hesber"/>
        <w:rPr>
          <w:rtl/>
        </w:rPr>
      </w:pPr>
      <w:r>
        <w:rPr>
          <w:rtl/>
        </w:rPr>
        <w:t xml:space="preserve">במחקר משווה שנערך בלשכה המשפטית של הכנסת נמצא כי במדינות שונות בעולם ישנה הגבלה על תקופת החקירה המשטרתית או דרישה לעמידה בקריטריונים של סבירות (ראו: הגבלות על משך זמן החקירה וקבלת החלטה בדבר העמדה לדין פלילי (20.3.2016)). </w:t>
      </w:r>
    </w:p>
    <w:p w14:paraId="6F6725A8" w14:textId="77777777" w:rsidR="00EA7804" w:rsidRDefault="00EA7804" w:rsidP="00EA7804">
      <w:pPr>
        <w:pStyle w:val="Hesber"/>
      </w:pPr>
      <w:r>
        <w:rPr>
          <w:rtl/>
        </w:rPr>
        <w:t xml:space="preserve">בספרד, כאשר מדובר "בחקירה פשוטה" הליכי החקירה יתבצעו על ידי המשטרה במהלך תקופה מקסימלית של שישה חודשים. </w:t>
      </w:r>
    </w:p>
    <w:p w14:paraId="631C8E6C" w14:textId="77777777" w:rsidR="00EA7804" w:rsidRDefault="00EA7804" w:rsidP="00EA7804">
      <w:pPr>
        <w:pStyle w:val="Hesber"/>
        <w:rPr>
          <w:rtl/>
        </w:rPr>
      </w:pPr>
      <w:r>
        <w:rPr>
          <w:rtl/>
        </w:rPr>
        <w:t xml:space="preserve">כאשר מוכרזת "חקירה מורכבת" יש לסיימה בתוך תקופה של שמונה עשר חודשים. השופט החוקר רשאי להאריך את תקופת החקירה האמורה בשמונה עשר חודשים נוספים או בפרק זמן קצר יותר. </w:t>
      </w:r>
    </w:p>
    <w:p w14:paraId="5990B0C1" w14:textId="77777777" w:rsidR="00EA7804" w:rsidRDefault="00EA7804" w:rsidP="00EA7804">
      <w:pPr>
        <w:pStyle w:val="Hesber"/>
        <w:rPr>
          <w:rtl/>
        </w:rPr>
      </w:pPr>
      <w:r>
        <w:rPr>
          <w:rtl/>
        </w:rPr>
        <w:t xml:space="preserve">יצוין כי פעולות חקירה חשאית (כמו למשל האזנות) עוצרת את מרוץ הזמן האמור למשך תקופת ביצוען, וכך גם ההחלטה על השהייה זמנית של ההליכים בתיק. </w:t>
      </w:r>
    </w:p>
    <w:p w14:paraId="1ED9CF0E" w14:textId="77777777" w:rsidR="00EA7804" w:rsidRDefault="00EA7804" w:rsidP="00EA7804">
      <w:pPr>
        <w:pStyle w:val="Hesber"/>
        <w:rPr>
          <w:rtl/>
        </w:rPr>
      </w:pPr>
      <w:r>
        <w:rPr>
          <w:rtl/>
        </w:rPr>
        <w:t>בצרפת, החקיקה אינה קובעת משך זמן מקסימלי שמעבר לו לא ניתן להמשיך חקירה פלילית. עם זאת, אורכן של חקירות אינו צריך להיות מעבר לפרק זמן סביר, בשים לב לחומרת העבירות, למורכבות החקירה ולצורך לשמור על זכויות החשוד. חקירות ארוכות יחסית דורשות הסבר והצדקה מטעם השופט-החוקר המפקח על עבודת ה</w:t>
      </w:r>
      <w:bookmarkStart w:id="8" w:name="_GoBack"/>
      <w:bookmarkEnd w:id="8"/>
      <w:r>
        <w:rPr>
          <w:rtl/>
        </w:rPr>
        <w:t xml:space="preserve">חקירה של המשטרה. עוד נקבע בצרפת שאם בחלוף שנתיים ממועד פתיחתה החקירה טרם הסתיימה, השופט החוקר יכתוב החלטה מנומקת שבה יתייחס לפרמטרים דלעיל, יסביר את הגורמים להתארכות החקירה ואת ההצדקות להמשכה, ויציין את הצפי לסיומה. </w:t>
      </w:r>
    </w:p>
    <w:p w14:paraId="24E917FE" w14:textId="77777777" w:rsidR="00EA7804" w:rsidRDefault="00EA7804" w:rsidP="00EA7804">
      <w:pPr>
        <w:pStyle w:val="Hesber"/>
        <w:rPr>
          <w:rtl/>
        </w:rPr>
      </w:pPr>
      <w:r>
        <w:rPr>
          <w:rtl/>
        </w:rPr>
        <w:t xml:space="preserve">באוסטריה, החקירה הפלילית מתבצעת על-ידי המשטרה בהתייעצות עם משרד התובע הציבורי הממונה על החקירה ומוביל אותה. משך זמן של הליכי החקירה הוא עד למועד הגשת כתב האישום או עד למועד קבלת החלטה על סיום אותם הליכים על-ידי הפסקתם או נקיטת צעדים חלופיים למשפט פלילי, אך זמן החקירה לא יעלה על שלוש שנים. </w:t>
      </w:r>
    </w:p>
    <w:p w14:paraId="1D4A1ED4" w14:textId="0B0BAFE7" w:rsidR="00EA7804" w:rsidRDefault="00EA7804" w:rsidP="00EA7804">
      <w:pPr>
        <w:pStyle w:val="Hesber"/>
        <w:rPr>
          <w:rtl/>
        </w:rPr>
      </w:pPr>
      <w:r>
        <w:rPr>
          <w:rtl/>
        </w:rPr>
        <w:t>בשוויץ, סעיף 5 לקוד הפרוצדורה הפלילית דורש מכלל הרשויות הרלוונטיות לעניין זה להימנע מעיכובים בלתי מוצדקים בניהול ההליך הפלילי כולו. מעבר לכך החקיקה אינה מציינת הגבלות זמן ספציפיות. הכלל הוא שכל הליך פלילי צריך להסתיים תוך פרק זמן סביר, כאשר שאלת הסבירות תלויה בנסיבות המקרה, תוך התייחסות לקריטריונים הרלוונטיים הבאים: התנהגות האדם נשוא ההליך, התנהגות הרשויות הרלוונטיות ומורכבות המקרה.</w:t>
      </w:r>
    </w:p>
    <w:p w14:paraId="0AA94640" w14:textId="77777777" w:rsidR="00AE7244" w:rsidRDefault="00AE7244" w:rsidP="00F56071">
      <w:pPr>
        <w:pStyle w:val="Hesber"/>
        <w:ind w:firstLine="0"/>
        <w:rPr>
          <w:b/>
          <w:bCs/>
          <w:rtl/>
        </w:rPr>
      </w:pPr>
    </w:p>
    <w:p w14:paraId="66CCD80E" w14:textId="77777777" w:rsidR="005C6C0D" w:rsidRDefault="00E939BE">
      <w:pPr>
        <w:jc w:val="left"/>
      </w:pPr>
      <w:bookmarkStart w:id="9" w:name="selectedDocDateB"/>
      <w:bookmarkEnd w:id="9"/>
      <w:r>
        <w:rPr>
          <w:rFonts w:eastAsia="David" w:hint="cs"/>
          <w:sz w:val="26"/>
          <w:szCs w:val="26"/>
          <w:rtl/>
        </w:rPr>
        <w:t>--------------------------------</w:t>
      </w:r>
    </w:p>
    <w:p w14:paraId="5B897B09" w14:textId="77777777" w:rsidR="005C6C0D" w:rsidRDefault="00E939BE">
      <w:pPr>
        <w:jc w:val="left"/>
      </w:pPr>
      <w:r>
        <w:rPr>
          <w:rFonts w:eastAsia="David" w:hint="cs"/>
          <w:sz w:val="26"/>
          <w:szCs w:val="26"/>
          <w:rtl/>
        </w:rPr>
        <w:t>הוגשה ליו"ר הכנסת והסגנים</w:t>
      </w:r>
    </w:p>
    <w:p w14:paraId="4441E76E" w14:textId="77777777" w:rsidR="005C6C0D" w:rsidRDefault="00E939BE">
      <w:pPr>
        <w:jc w:val="left"/>
      </w:pPr>
      <w:r>
        <w:rPr>
          <w:rFonts w:eastAsia="David" w:hint="cs"/>
          <w:sz w:val="26"/>
          <w:szCs w:val="26"/>
          <w:rtl/>
        </w:rPr>
        <w:t>והונחה על שולחן הכנסת ביום</w:t>
      </w:r>
    </w:p>
    <w:p w14:paraId="2F5834AA" w14:textId="77777777" w:rsidR="005C6C0D" w:rsidRDefault="00E939BE">
      <w:pPr>
        <w:jc w:val="left"/>
      </w:pPr>
      <w:r>
        <w:rPr>
          <w:rFonts w:eastAsia="David" w:hint="cs"/>
          <w:sz w:val="26"/>
          <w:szCs w:val="26"/>
          <w:rtl/>
        </w:rPr>
        <w:t xml:space="preserve">כ"ה בכסלו </w:t>
      </w:r>
      <w:proofErr w:type="spellStart"/>
      <w:r>
        <w:rPr>
          <w:rFonts w:eastAsia="David" w:hint="cs"/>
          <w:sz w:val="26"/>
          <w:szCs w:val="26"/>
          <w:rtl/>
        </w:rPr>
        <w:t>התשפ"ב</w:t>
      </w:r>
      <w:proofErr w:type="spellEnd"/>
      <w:r>
        <w:rPr>
          <w:rFonts w:eastAsia="David" w:hint="cs"/>
          <w:sz w:val="26"/>
          <w:szCs w:val="26"/>
          <w:rtl/>
        </w:rPr>
        <w:t xml:space="preserve"> (29.11.2021) </w:t>
      </w:r>
    </w:p>
    <w:p w14:paraId="019FB419" w14:textId="77777777" w:rsidR="005C6C0D" w:rsidRDefault="005C6C0D">
      <w:pPr>
        <w:spacing w:line="276" w:lineRule="auto"/>
        <w:jc w:val="left"/>
      </w:pPr>
    </w:p>
    <w:sectPr w:rsidR="005C6C0D" w:rsidSect="00BD7918">
      <w:footerReference w:type="even" r:id="rId11"/>
      <w:footerReference w:type="default" r:id="rId12"/>
      <w:pgSz w:w="11907" w:h="16840" w:code="9"/>
      <w:pgMar w:top="1701" w:right="1134" w:bottom="1417"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adasa Roso SL">
    <w:altName w:val="Times New Roman"/>
    <w:charset w:val="00"/>
    <w:family w:val="roman"/>
    <w:pitch w:val="variable"/>
    <w:sig w:usb0="80001827" w:usb1="5000004A" w:usb2="0000002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E939BE">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7CD776FA" w14:textId="77777777" w:rsidR="00EA7804" w:rsidRDefault="00EA7804" w:rsidP="00EA7804">
      <w:pPr>
        <w:pStyle w:val="a4"/>
        <w:rPr>
          <w:rtl/>
        </w:rPr>
      </w:pPr>
      <w:r>
        <w:rPr>
          <w:rStyle w:val="a6"/>
        </w:rPr>
        <w:footnoteRef/>
      </w:r>
      <w:r>
        <w:rPr>
          <w:sz w:val="20"/>
          <w:rtl/>
        </w:rPr>
        <w:t xml:space="preserve"> ס"ח </w:t>
      </w:r>
      <w:proofErr w:type="spellStart"/>
      <w:r>
        <w:rPr>
          <w:sz w:val="20"/>
          <w:rtl/>
        </w:rPr>
        <w:t>התשמ"ב</w:t>
      </w:r>
      <w:proofErr w:type="spellEnd"/>
      <w:r>
        <w:rPr>
          <w:sz w:val="20"/>
          <w:rtl/>
        </w:rPr>
        <w:t>, עמ'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145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DA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9078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1283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AEAC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60E7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03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5460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303D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A7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5"/>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0F6190"/>
    <w:rsid w:val="00102B6B"/>
    <w:rsid w:val="001052D4"/>
    <w:rsid w:val="0010644B"/>
    <w:rsid w:val="001207F8"/>
    <w:rsid w:val="00121924"/>
    <w:rsid w:val="001279A8"/>
    <w:rsid w:val="0014195F"/>
    <w:rsid w:val="00152609"/>
    <w:rsid w:val="00153E1B"/>
    <w:rsid w:val="001A0623"/>
    <w:rsid w:val="001C23B0"/>
    <w:rsid w:val="001D7AAF"/>
    <w:rsid w:val="001E627B"/>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33AAD"/>
    <w:rsid w:val="0033435A"/>
    <w:rsid w:val="0036422C"/>
    <w:rsid w:val="003710F6"/>
    <w:rsid w:val="00386E88"/>
    <w:rsid w:val="00396585"/>
    <w:rsid w:val="003D6E38"/>
    <w:rsid w:val="003D74A0"/>
    <w:rsid w:val="004033D8"/>
    <w:rsid w:val="004073F0"/>
    <w:rsid w:val="00412A7D"/>
    <w:rsid w:val="00416B4D"/>
    <w:rsid w:val="00417CFC"/>
    <w:rsid w:val="004553B1"/>
    <w:rsid w:val="004A06DC"/>
    <w:rsid w:val="004B24ED"/>
    <w:rsid w:val="004B6625"/>
    <w:rsid w:val="004D2D82"/>
    <w:rsid w:val="004D3876"/>
    <w:rsid w:val="004E4552"/>
    <w:rsid w:val="004E6CDF"/>
    <w:rsid w:val="00553C9D"/>
    <w:rsid w:val="00562A66"/>
    <w:rsid w:val="005B064E"/>
    <w:rsid w:val="005C6C0D"/>
    <w:rsid w:val="005D51AE"/>
    <w:rsid w:val="0062674B"/>
    <w:rsid w:val="006363B2"/>
    <w:rsid w:val="00644940"/>
    <w:rsid w:val="006818A9"/>
    <w:rsid w:val="006A2D81"/>
    <w:rsid w:val="006B135F"/>
    <w:rsid w:val="006C1D0D"/>
    <w:rsid w:val="0070601E"/>
    <w:rsid w:val="00712C72"/>
    <w:rsid w:val="00735FE9"/>
    <w:rsid w:val="00750D62"/>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84DF5"/>
    <w:rsid w:val="00892135"/>
    <w:rsid w:val="00895449"/>
    <w:rsid w:val="00897879"/>
    <w:rsid w:val="008A6870"/>
    <w:rsid w:val="008C2DDC"/>
    <w:rsid w:val="008C7516"/>
    <w:rsid w:val="008E6EC7"/>
    <w:rsid w:val="008F0D63"/>
    <w:rsid w:val="008F1308"/>
    <w:rsid w:val="008F2C35"/>
    <w:rsid w:val="008F6665"/>
    <w:rsid w:val="009041E9"/>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AE7244"/>
    <w:rsid w:val="00B10265"/>
    <w:rsid w:val="00B16A99"/>
    <w:rsid w:val="00B21211"/>
    <w:rsid w:val="00B35784"/>
    <w:rsid w:val="00B518D2"/>
    <w:rsid w:val="00B733A7"/>
    <w:rsid w:val="00B75C91"/>
    <w:rsid w:val="00B975AD"/>
    <w:rsid w:val="00BC45FB"/>
    <w:rsid w:val="00BD7918"/>
    <w:rsid w:val="00BF148D"/>
    <w:rsid w:val="00C23B1A"/>
    <w:rsid w:val="00C310EB"/>
    <w:rsid w:val="00C9176A"/>
    <w:rsid w:val="00CF1AA2"/>
    <w:rsid w:val="00D142D3"/>
    <w:rsid w:val="00D17774"/>
    <w:rsid w:val="00D63620"/>
    <w:rsid w:val="00D8410D"/>
    <w:rsid w:val="00D867D7"/>
    <w:rsid w:val="00D92B0C"/>
    <w:rsid w:val="00DB7060"/>
    <w:rsid w:val="00DC760E"/>
    <w:rsid w:val="00DE3153"/>
    <w:rsid w:val="00DE45BE"/>
    <w:rsid w:val="00E06736"/>
    <w:rsid w:val="00E13C27"/>
    <w:rsid w:val="00E33BBD"/>
    <w:rsid w:val="00E374F2"/>
    <w:rsid w:val="00E45103"/>
    <w:rsid w:val="00E55A60"/>
    <w:rsid w:val="00E62778"/>
    <w:rsid w:val="00E635A2"/>
    <w:rsid w:val="00E63D38"/>
    <w:rsid w:val="00E665B9"/>
    <w:rsid w:val="00E939BE"/>
    <w:rsid w:val="00EA01E6"/>
    <w:rsid w:val="00EA3DE8"/>
    <w:rsid w:val="00EA758F"/>
    <w:rsid w:val="00EA7804"/>
    <w:rsid w:val="00ED4A6F"/>
    <w:rsid w:val="00EF3A3A"/>
    <w:rsid w:val="00F56071"/>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5686C668-1534-4C8C-8EA2-54EBC112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918"/>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BD7918"/>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BD7918"/>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BD7918"/>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BD7918"/>
    <w:pPr>
      <w:spacing w:before="40" w:after="120"/>
      <w:ind w:left="0"/>
      <w:outlineLvl w:val="3"/>
    </w:pPr>
    <w:rPr>
      <w:b/>
      <w:bCs/>
      <w:color w:val="000000" w:themeColor="text1"/>
      <w:szCs w:val="28"/>
    </w:rPr>
  </w:style>
  <w:style w:type="paragraph" w:styleId="5">
    <w:name w:val="heading 5"/>
    <w:basedOn w:val="a"/>
    <w:next w:val="a"/>
    <w:link w:val="50"/>
    <w:uiPriority w:val="9"/>
    <w:unhideWhenUsed/>
    <w:qFormat/>
    <w:rsid w:val="00BD7918"/>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D7918"/>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BD7918"/>
    <w:rPr>
      <w:sz w:val="36"/>
      <w:szCs w:val="52"/>
    </w:rPr>
  </w:style>
  <w:style w:type="paragraph" w:customStyle="1" w:styleId="Cover3-Haknesset">
    <w:name w:val="Cover 3-Haknesset"/>
    <w:basedOn w:val="Cover1-Reshumot"/>
    <w:rsid w:val="00BD7918"/>
    <w:rPr>
      <w:b/>
      <w:bCs/>
      <w:spacing w:val="60"/>
    </w:rPr>
  </w:style>
  <w:style w:type="paragraph" w:customStyle="1" w:styleId="Cover4-Date">
    <w:name w:val="Cover 4-Date"/>
    <w:basedOn w:val="a"/>
    <w:rsid w:val="00BD7918"/>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D7918"/>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BD7918"/>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BD7918"/>
    <w:pPr>
      <w:spacing w:before="120" w:after="120"/>
    </w:pPr>
    <w:rPr>
      <w:color w:val="FF0000"/>
      <w:w w:val="80"/>
    </w:rPr>
  </w:style>
  <w:style w:type="paragraph" w:styleId="a3">
    <w:name w:val="endnote text"/>
    <w:basedOn w:val="a"/>
    <w:semiHidden/>
    <w:rsid w:val="00BD7918"/>
    <w:pPr>
      <w:ind w:left="227" w:hanging="227"/>
    </w:pPr>
    <w:rPr>
      <w:sz w:val="14"/>
      <w:szCs w:val="22"/>
    </w:rPr>
  </w:style>
  <w:style w:type="paragraph" w:customStyle="1" w:styleId="TableText">
    <w:name w:val="Table Text"/>
    <w:basedOn w:val="a"/>
    <w:rsid w:val="00BD7918"/>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BD7918"/>
    <w:pPr>
      <w:outlineLvl w:val="2"/>
    </w:pPr>
  </w:style>
  <w:style w:type="paragraph" w:customStyle="1" w:styleId="TableBlock">
    <w:name w:val="Table Block"/>
    <w:basedOn w:val="TableText"/>
    <w:rsid w:val="00BD7918"/>
    <w:pPr>
      <w:jc w:val="both"/>
    </w:pPr>
  </w:style>
  <w:style w:type="paragraph" w:customStyle="1" w:styleId="TableHead">
    <w:name w:val="Table Head"/>
    <w:basedOn w:val="TableText"/>
    <w:rsid w:val="00BD7918"/>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D7918"/>
    <w:pPr>
      <w:outlineLvl w:val="9"/>
    </w:pPr>
  </w:style>
  <w:style w:type="paragraph" w:customStyle="1" w:styleId="Hesber">
    <w:name w:val="Hesber"/>
    <w:basedOn w:val="a"/>
    <w:rsid w:val="00BD7918"/>
    <w:pPr>
      <w:snapToGrid w:val="0"/>
      <w:ind w:left="0" w:firstLine="340"/>
    </w:pPr>
    <w:rPr>
      <w:rFonts w:ascii="Arial" w:eastAsia="Arial Unicode MS" w:hAnsi="Arial"/>
      <w:snapToGrid w:val="0"/>
      <w:sz w:val="20"/>
      <w:szCs w:val="26"/>
    </w:rPr>
  </w:style>
  <w:style w:type="paragraph" w:styleId="a4">
    <w:name w:val="footnote text"/>
    <w:basedOn w:val="a"/>
    <w:link w:val="a5"/>
    <w:autoRedefine/>
    <w:semiHidden/>
    <w:rsid w:val="00BD7918"/>
    <w:pPr>
      <w:snapToGrid w:val="0"/>
      <w:spacing w:line="240" w:lineRule="auto"/>
      <w:ind w:left="0"/>
      <w:jc w:val="left"/>
    </w:pPr>
    <w:rPr>
      <w:rFonts w:ascii="Arial" w:eastAsia="Arial Unicode MS" w:hAnsi="Arial"/>
      <w:snapToGrid w:val="0"/>
      <w:sz w:val="14"/>
      <w:szCs w:val="20"/>
    </w:rPr>
  </w:style>
  <w:style w:type="character" w:styleId="a6">
    <w:name w:val="footnote reference"/>
    <w:aliases w:val="Footnote Reference"/>
    <w:basedOn w:val="a0"/>
    <w:semiHidden/>
    <w:rsid w:val="00BD7918"/>
    <w:rPr>
      <w:vertAlign w:val="superscript"/>
    </w:rPr>
  </w:style>
  <w:style w:type="paragraph" w:customStyle="1" w:styleId="HesberHeading">
    <w:name w:val="Hesber Heading"/>
    <w:basedOn w:val="Hesber"/>
    <w:rsid w:val="00BD7918"/>
    <w:pPr>
      <w:tabs>
        <w:tab w:val="left" w:pos="624"/>
        <w:tab w:val="left" w:pos="1247"/>
      </w:tabs>
    </w:pPr>
    <w:rPr>
      <w:b/>
      <w:bCs/>
    </w:rPr>
  </w:style>
  <w:style w:type="paragraph" w:customStyle="1" w:styleId="HesberWriters">
    <w:name w:val="Hesber Writers"/>
    <w:basedOn w:val="Hesber"/>
    <w:rsid w:val="00BD7918"/>
    <w:pPr>
      <w:spacing w:before="120" w:after="120"/>
      <w:ind w:left="1418"/>
      <w:jc w:val="right"/>
    </w:pPr>
    <w:rPr>
      <w:b/>
      <w:bCs/>
    </w:rPr>
  </w:style>
  <w:style w:type="paragraph" w:customStyle="1" w:styleId="Hesber1st">
    <w:name w:val="Hesber 1st"/>
    <w:basedOn w:val="Hesber"/>
    <w:rsid w:val="00BD7918"/>
    <w:pPr>
      <w:tabs>
        <w:tab w:val="left" w:pos="680"/>
        <w:tab w:val="left" w:pos="1020"/>
      </w:tabs>
      <w:ind w:firstLine="0"/>
    </w:pPr>
  </w:style>
  <w:style w:type="character" w:styleId="a7">
    <w:name w:val="endnote reference"/>
    <w:basedOn w:val="a0"/>
    <w:semiHidden/>
    <w:rsid w:val="00BD7918"/>
    <w:rPr>
      <w:vertAlign w:val="superscript"/>
    </w:rPr>
  </w:style>
  <w:style w:type="paragraph" w:customStyle="1" w:styleId="TableBlockOutdent">
    <w:name w:val="Table BlockOutdent"/>
    <w:basedOn w:val="TableBlock"/>
    <w:rsid w:val="00BD7918"/>
    <w:pPr>
      <w:ind w:left="624" w:hanging="624"/>
    </w:pPr>
  </w:style>
  <w:style w:type="paragraph" w:styleId="a8">
    <w:name w:val="header"/>
    <w:basedOn w:val="a"/>
    <w:rsid w:val="00BD7918"/>
    <w:pPr>
      <w:tabs>
        <w:tab w:val="center" w:pos="4153"/>
        <w:tab w:val="right" w:pos="8306"/>
      </w:tabs>
    </w:pPr>
  </w:style>
  <w:style w:type="paragraph" w:styleId="a9">
    <w:name w:val="footer"/>
    <w:basedOn w:val="a"/>
    <w:rsid w:val="00BD7918"/>
    <w:pPr>
      <w:tabs>
        <w:tab w:val="center" w:pos="4153"/>
        <w:tab w:val="right" w:pos="8306"/>
      </w:tabs>
    </w:pPr>
  </w:style>
  <w:style w:type="paragraph" w:customStyle="1" w:styleId="HeadDivreiHesber">
    <w:name w:val="Head DivreiHesber"/>
    <w:basedOn w:val="a"/>
    <w:rsid w:val="00BD7918"/>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BD7918"/>
    <w:pPr>
      <w:snapToGrid w:val="0"/>
      <w:jc w:val="left"/>
    </w:pPr>
    <w:rPr>
      <w:rFonts w:ascii="Arial" w:eastAsia="Arial Unicode MS" w:hAnsi="Arial"/>
      <w:snapToGrid w:val="0"/>
      <w:sz w:val="20"/>
      <w:szCs w:val="26"/>
    </w:rPr>
  </w:style>
  <w:style w:type="paragraph" w:styleId="aa">
    <w:name w:val="Title"/>
    <w:basedOn w:val="a"/>
    <w:qFormat/>
    <w:rsid w:val="00943386"/>
    <w:pPr>
      <w:jc w:val="center"/>
    </w:pPr>
    <w:rPr>
      <w:b/>
      <w:bCs/>
      <w:sz w:val="28"/>
      <w:szCs w:val="28"/>
      <w:u w:val="single"/>
    </w:rPr>
  </w:style>
  <w:style w:type="character" w:styleId="ab">
    <w:name w:val="page number"/>
    <w:basedOn w:val="a0"/>
    <w:rsid w:val="00BD7918"/>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c">
    <w:name w:val="Balloon Text"/>
    <w:basedOn w:val="a"/>
    <w:link w:val="ad"/>
    <w:semiHidden/>
    <w:unhideWhenUsed/>
    <w:rsid w:val="00325C14"/>
    <w:pPr>
      <w:spacing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EA7804"/>
    <w:rPr>
      <w:rFonts w:ascii="Arial" w:eastAsia="Arial Unicode MS" w:hAnsi="Arial" w:cs="David"/>
      <w:snapToGrid w:val="0"/>
      <w:sz w:val="14"/>
    </w:rPr>
  </w:style>
  <w:style w:type="character" w:styleId="ae">
    <w:name w:val="annotation reference"/>
    <w:basedOn w:val="a0"/>
    <w:semiHidden/>
    <w:unhideWhenUsed/>
    <w:rsid w:val="00DE45BE"/>
    <w:rPr>
      <w:sz w:val="16"/>
      <w:szCs w:val="16"/>
    </w:rPr>
  </w:style>
  <w:style w:type="paragraph" w:styleId="af">
    <w:name w:val="annotation text"/>
    <w:basedOn w:val="a"/>
    <w:link w:val="af0"/>
    <w:semiHidden/>
    <w:unhideWhenUsed/>
    <w:rsid w:val="00DE45BE"/>
    <w:pPr>
      <w:spacing w:line="240" w:lineRule="auto"/>
    </w:pPr>
    <w:rPr>
      <w:sz w:val="20"/>
      <w:szCs w:val="20"/>
    </w:rPr>
  </w:style>
  <w:style w:type="character" w:customStyle="1" w:styleId="af0">
    <w:name w:val="טקסט הערה תו"/>
    <w:basedOn w:val="a0"/>
    <w:link w:val="af"/>
    <w:semiHidden/>
    <w:rsid w:val="00DE45BE"/>
    <w:rPr>
      <w:rFonts w:ascii="Hadasa Roso SL" w:hAnsi="Hadasa Roso SL" w:cs="Hadasa Roso SL"/>
      <w:color w:val="000000"/>
      <w:spacing w:val="1"/>
      <w:lang w:eastAsia="ja-JP"/>
    </w:rPr>
  </w:style>
  <w:style w:type="paragraph" w:styleId="af1">
    <w:name w:val="annotation subject"/>
    <w:basedOn w:val="af"/>
    <w:next w:val="af"/>
    <w:link w:val="af2"/>
    <w:semiHidden/>
    <w:unhideWhenUsed/>
    <w:rsid w:val="00DE45BE"/>
    <w:rPr>
      <w:b/>
      <w:bCs/>
    </w:rPr>
  </w:style>
  <w:style w:type="character" w:customStyle="1" w:styleId="af2">
    <w:name w:val="נושא הערה תו"/>
    <w:basedOn w:val="af0"/>
    <w:link w:val="af1"/>
    <w:semiHidden/>
    <w:rsid w:val="00DE45BE"/>
    <w:rPr>
      <w:rFonts w:ascii="Hadasa Roso SL" w:hAnsi="Hadasa Roso SL" w:cs="Hadasa Roso SL"/>
      <w:b/>
      <w:bCs/>
      <w:color w:val="000000"/>
      <w:spacing w:val="1"/>
      <w:lang w:eastAsia="ja-JP"/>
    </w:rPr>
  </w:style>
  <w:style w:type="character" w:customStyle="1" w:styleId="10">
    <w:name w:val="כותרת 1 תו"/>
    <w:basedOn w:val="a0"/>
    <w:link w:val="1"/>
    <w:uiPriority w:val="9"/>
    <w:rsid w:val="00BD7918"/>
    <w:rPr>
      <w:rFonts w:asciiTheme="majorHAnsi" w:eastAsiaTheme="majorEastAsia" w:hAnsiTheme="majorHAnsi" w:cs="David"/>
      <w:bCs/>
      <w:sz w:val="32"/>
      <w:szCs w:val="36"/>
    </w:rPr>
  </w:style>
  <w:style w:type="character" w:customStyle="1" w:styleId="20">
    <w:name w:val="כותרת 2 תו"/>
    <w:basedOn w:val="a0"/>
    <w:link w:val="2"/>
    <w:rsid w:val="00BD7918"/>
    <w:rPr>
      <w:rFonts w:asciiTheme="majorHAnsi" w:eastAsiaTheme="majorEastAsia" w:hAnsiTheme="majorHAnsi" w:cs="David"/>
      <w:bCs/>
      <w:sz w:val="26"/>
      <w:szCs w:val="36"/>
      <w:u w:val="single"/>
    </w:rPr>
  </w:style>
  <w:style w:type="character" w:customStyle="1" w:styleId="30">
    <w:name w:val="כותרת 3 תו"/>
    <w:basedOn w:val="a0"/>
    <w:link w:val="3"/>
    <w:rsid w:val="00BD7918"/>
    <w:rPr>
      <w:rFonts w:asciiTheme="majorHAnsi" w:eastAsiaTheme="majorEastAsia" w:hAnsiTheme="majorHAnsi" w:cs="David"/>
      <w:sz w:val="24"/>
      <w:szCs w:val="28"/>
      <w:u w:val="double"/>
    </w:rPr>
  </w:style>
  <w:style w:type="character" w:customStyle="1" w:styleId="40">
    <w:name w:val="כותרת 4 תו"/>
    <w:basedOn w:val="a0"/>
    <w:link w:val="4"/>
    <w:uiPriority w:val="9"/>
    <w:rsid w:val="00BD7918"/>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BD7918"/>
    <w:rPr>
      <w:rFonts w:ascii="David" w:eastAsiaTheme="minorHAnsi" w:hAnsi="David" w:cs="David"/>
      <w:color w:val="000000" w:themeColor="text1"/>
      <w:sz w:val="24"/>
      <w:szCs w:val="24"/>
    </w:rPr>
  </w:style>
  <w:style w:type="paragraph" w:styleId="af3">
    <w:name w:val="TOC Heading"/>
    <w:basedOn w:val="1"/>
    <w:next w:val="a"/>
    <w:uiPriority w:val="39"/>
    <w:unhideWhenUsed/>
    <w:qFormat/>
    <w:rsid w:val="00BD7918"/>
    <w:pPr>
      <w:widowControl/>
      <w:spacing w:before="120" w:after="120"/>
      <w:outlineLvl w:val="9"/>
    </w:pPr>
    <w:rPr>
      <w:rtl/>
      <w:cs/>
    </w:rPr>
  </w:style>
  <w:style w:type="paragraph" w:styleId="TOC1">
    <w:name w:val="toc 1"/>
    <w:basedOn w:val="a"/>
    <w:next w:val="a"/>
    <w:autoRedefine/>
    <w:uiPriority w:val="39"/>
    <w:unhideWhenUsed/>
    <w:rsid w:val="00BD7918"/>
    <w:pPr>
      <w:tabs>
        <w:tab w:val="right" w:leader="dot" w:pos="9629"/>
      </w:tabs>
      <w:spacing w:after="100"/>
    </w:pPr>
    <w:rPr>
      <w:bCs/>
      <w:szCs w:val="22"/>
    </w:rPr>
  </w:style>
  <w:style w:type="paragraph" w:styleId="TOC2">
    <w:name w:val="toc 2"/>
    <w:basedOn w:val="a"/>
    <w:next w:val="a"/>
    <w:uiPriority w:val="39"/>
    <w:unhideWhenUsed/>
    <w:rsid w:val="00BD7918"/>
    <w:pPr>
      <w:tabs>
        <w:tab w:val="right" w:leader="dot" w:pos="9628"/>
      </w:tabs>
      <w:spacing w:after="100"/>
    </w:pPr>
    <w:rPr>
      <w:szCs w:val="22"/>
    </w:rPr>
  </w:style>
  <w:style w:type="character" w:styleId="Hyperlink">
    <w:name w:val="Hyperlink"/>
    <w:basedOn w:val="a0"/>
    <w:uiPriority w:val="99"/>
    <w:unhideWhenUsed/>
    <w:rsid w:val="00BD7918"/>
    <w:rPr>
      <w:color w:val="0000FF" w:themeColor="hyperlink"/>
      <w:u w:val="single"/>
    </w:rPr>
  </w:style>
  <w:style w:type="paragraph" w:styleId="TOC3">
    <w:name w:val="toc 3"/>
    <w:basedOn w:val="a"/>
    <w:next w:val="a"/>
    <w:uiPriority w:val="39"/>
    <w:unhideWhenUsed/>
    <w:rsid w:val="00BD7918"/>
    <w:pPr>
      <w:tabs>
        <w:tab w:val="right" w:leader="dot" w:pos="9629"/>
      </w:tabs>
      <w:spacing w:after="100"/>
      <w:ind w:left="567"/>
    </w:pPr>
    <w:rPr>
      <w:szCs w:val="22"/>
    </w:rPr>
  </w:style>
  <w:style w:type="paragraph" w:styleId="TOC4">
    <w:name w:val="toc 4"/>
    <w:basedOn w:val="a"/>
    <w:next w:val="a"/>
    <w:autoRedefine/>
    <w:unhideWhenUsed/>
    <w:qFormat/>
    <w:rsid w:val="00BD7918"/>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BD7918"/>
    <w:pPr>
      <w:tabs>
        <w:tab w:val="right" w:leader="dot" w:pos="9628"/>
      </w:tabs>
      <w:spacing w:after="100"/>
      <w:ind w:left="567"/>
    </w:pPr>
    <w:rPr>
      <w:szCs w:val="22"/>
    </w:rPr>
  </w:style>
  <w:style w:type="paragraph" w:styleId="TOC6">
    <w:name w:val="toc 6"/>
    <w:basedOn w:val="a"/>
    <w:next w:val="a"/>
    <w:autoRedefine/>
    <w:semiHidden/>
    <w:unhideWhenUsed/>
    <w:rsid w:val="00BD7918"/>
    <w:pPr>
      <w:spacing w:after="100"/>
      <w:ind w:left="850"/>
    </w:pPr>
  </w:style>
  <w:style w:type="paragraph" w:styleId="TOC7">
    <w:name w:val="toc 7"/>
    <w:basedOn w:val="a"/>
    <w:next w:val="a"/>
    <w:autoRedefine/>
    <w:semiHidden/>
    <w:unhideWhenUsed/>
    <w:rsid w:val="00BD7918"/>
    <w:pPr>
      <w:spacing w:after="100"/>
      <w:ind w:left="1020"/>
    </w:pPr>
  </w:style>
  <w:style w:type="paragraph" w:styleId="TOC8">
    <w:name w:val="toc 8"/>
    <w:basedOn w:val="a"/>
    <w:next w:val="a"/>
    <w:autoRedefine/>
    <w:semiHidden/>
    <w:unhideWhenUsed/>
    <w:rsid w:val="00BD7918"/>
    <w:pPr>
      <w:spacing w:after="100"/>
      <w:ind w:left="1190"/>
    </w:pPr>
  </w:style>
  <w:style w:type="paragraph" w:styleId="TOC9">
    <w:name w:val="toc 9"/>
    <w:basedOn w:val="a"/>
    <w:next w:val="a"/>
    <w:autoRedefine/>
    <w:semiHidden/>
    <w:unhideWhenUsed/>
    <w:rsid w:val="00BD7918"/>
    <w:pPr>
      <w:spacing w:after="100"/>
      <w:ind w:left="1360"/>
    </w:pPr>
  </w:style>
  <w:style w:type="paragraph" w:customStyle="1" w:styleId="TableHead2">
    <w:name w:val="Table Head2"/>
    <w:basedOn w:val="TableHead"/>
    <w:qFormat/>
    <w:rsid w:val="00BD7918"/>
    <w:pPr>
      <w:outlineLvl w:val="9"/>
    </w:pPr>
  </w:style>
  <w:style w:type="paragraph" w:customStyle="1" w:styleId="TableSideHeading2">
    <w:name w:val="Table SideHeading2"/>
    <w:basedOn w:val="TableSideHeading"/>
    <w:autoRedefine/>
    <w:qFormat/>
    <w:rsid w:val="00BD7918"/>
    <w:pPr>
      <w:keepLines w:val="0"/>
      <w:outlineLvl w:val="9"/>
    </w:pPr>
  </w:style>
  <w:style w:type="paragraph" w:customStyle="1" w:styleId="0">
    <w:name w:val="סגנון שורה ראשונה:  0  ס''מ"/>
    <w:basedOn w:val="2"/>
    <w:rsid w:val="00BD7918"/>
    <w:rPr>
      <w:rFonts w:eastAsia="Times New Roman"/>
    </w:rPr>
  </w:style>
  <w:style w:type="paragraph" w:styleId="af4">
    <w:name w:val="List Paragraph"/>
    <w:basedOn w:val="a"/>
    <w:uiPriority w:val="34"/>
    <w:qFormat/>
    <w:rsid w:val="00BD7918"/>
    <w:pPr>
      <w:widowControl/>
      <w:spacing w:line="259" w:lineRule="auto"/>
    </w:pPr>
    <w:rPr>
      <w:rFonts w:asciiTheme="minorHAnsi" w:hAnsiTheme="minorHAnsi"/>
      <w:sz w:val="22"/>
    </w:rPr>
  </w:style>
  <w:style w:type="table" w:styleId="af5">
    <w:name w:val="Table Grid"/>
    <w:basedOn w:val="a1"/>
    <w:rsid w:val="00BD7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BD79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BD79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6">
    <w:name w:val="טבלת חקיקה"/>
    <w:basedOn w:val="a1"/>
    <w:uiPriority w:val="99"/>
    <w:rsid w:val="00BD7918"/>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BD7918"/>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86535">
      <w:bodyDiv w:val="1"/>
      <w:marLeft w:val="0"/>
      <w:marRight w:val="0"/>
      <w:marTop w:val="0"/>
      <w:marBottom w:val="0"/>
      <w:divBdr>
        <w:top w:val="none" w:sz="0" w:space="0" w:color="auto"/>
        <w:left w:val="none" w:sz="0" w:space="0" w:color="auto"/>
        <w:bottom w:val="none" w:sz="0" w:space="0" w:color="auto"/>
        <w:right w:val="none" w:sz="0" w:space="0" w:color="auto"/>
      </w:divBdr>
    </w:div>
    <w:div w:id="834420553">
      <w:bodyDiv w:val="1"/>
      <w:marLeft w:val="0"/>
      <w:marRight w:val="0"/>
      <w:marTop w:val="0"/>
      <w:marBottom w:val="0"/>
      <w:divBdr>
        <w:top w:val="none" w:sz="0" w:space="0" w:color="auto"/>
        <w:left w:val="none" w:sz="0" w:space="0" w:color="auto"/>
        <w:bottom w:val="none" w:sz="0" w:space="0" w:color="auto"/>
        <w:right w:val="none" w:sz="0" w:space="0" w:color="auto"/>
      </w:divBdr>
    </w:div>
    <w:div w:id="1191263956">
      <w:bodyDiv w:val="1"/>
      <w:marLeft w:val="0"/>
      <w:marRight w:val="0"/>
      <w:marTop w:val="0"/>
      <w:marBottom w:val="0"/>
      <w:divBdr>
        <w:top w:val="none" w:sz="0" w:space="0" w:color="auto"/>
        <w:left w:val="none" w:sz="0" w:space="0" w:color="auto"/>
        <w:bottom w:val="none" w:sz="0" w:space="0" w:color="auto"/>
        <w:right w:val="none" w:sz="0" w:space="0" w:color="auto"/>
      </w:divBdr>
    </w:div>
    <w:div w:id="1448354286">
      <w:bodyDiv w:val="1"/>
      <w:marLeft w:val="0"/>
      <w:marRight w:val="0"/>
      <w:marTop w:val="0"/>
      <w:marBottom w:val="0"/>
      <w:divBdr>
        <w:top w:val="none" w:sz="0" w:space="0" w:color="auto"/>
        <w:left w:val="none" w:sz="0" w:space="0" w:color="auto"/>
        <w:bottom w:val="none" w:sz="0" w:space="0" w:color="auto"/>
        <w:right w:val="none" w:sz="0" w:space="0" w:color="auto"/>
      </w:divBdr>
    </w:div>
    <w:div w:id="1971478601">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D37A-FD16-4B4F-8C75-24B9EFE76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4AFE3-9455-419C-8851-785A55F44517}">
  <ds:schemaRefs>
    <ds:schemaRef ds:uri="http://schemas.openxmlformats.org/package/2006/metadata/core-properties"/>
    <ds:schemaRef ds:uri="http://schemas.microsoft.com/office/2006/documentManagement/types"/>
    <ds:schemaRef ds:uri="http://schemas.microsoft.com/office/infopath/2007/PartnerControls"/>
    <ds:schemaRef ds:uri="290d5b49-c690-4c6f-bbb9-1e50dab33eee"/>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2B2A0252-95C8-415B-BF71-E233F3E9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768</Words>
  <Characters>4384</Characters>
  <Application>Microsoft Office Word</Application>
  <DocSecurity>0</DocSecurity>
  <Lines>36</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טליה ווייס עמר</cp:lastModifiedBy>
  <cp:revision>19</cp:revision>
  <cp:lastPrinted>2013-07-04T08:25:00Z</cp:lastPrinted>
  <dcterms:created xsi:type="dcterms:W3CDTF">2015-04-20T09:58:00Z</dcterms:created>
  <dcterms:modified xsi:type="dcterms:W3CDTF">2021-11-23T07:47:00Z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2164262</vt:r8>
  </property>
</Properties>
</file>