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2164135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איתן גינזבורג</w:t>
      </w:r>
      <w:bookmarkEnd w:id="3"/>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4" w:name="Private_Number"/>
      <w:r>
        <w:rPr>
          <w:rFonts w:hint="cs"/>
          <w:rtl/>
        </w:rPr>
        <w:t>פ/2576/24</w:t>
      </w:r>
      <w:bookmarkEnd w:id="4"/>
    </w:p>
    <w:p w14:paraId="1903C148" w14:textId="6022B3B7" w:rsidR="0008257A" w:rsidRPr="00F67051" w:rsidRDefault="00A443CF" w:rsidP="0008257A">
      <w:pPr>
        <w:pStyle w:val="HeadHatzaotHok"/>
        <w:rPr>
          <w:rtl/>
        </w:rPr>
      </w:pPr>
      <w:bookmarkStart w:id="5" w:name="LGS_Subject"/>
      <w:r>
        <w:rPr>
          <w:rFonts w:hint="cs"/>
          <w:rtl/>
        </w:rPr>
        <w:t>הצעת חוק לתיקון פקודת התעבורה (הסמכת רשות מקומית לביצוע תפקידי רישוי), התשפ"ב–2021</w:t>
      </w:r>
      <w:bookmarkEnd w:id="5"/>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1871"/>
        <w:gridCol w:w="624"/>
        <w:gridCol w:w="4648"/>
      </w:tblGrid>
      <w:tr w:rsidR="0008257A" w:rsidRPr="00727BFD" w14:paraId="231E078E" w14:textId="77777777" w:rsidTr="0034037D">
        <w:trPr>
          <w:cantSplit/>
        </w:trPr>
        <w:tc>
          <w:tcPr>
            <w:tcW w:w="1871" w:type="dxa"/>
          </w:tcPr>
          <w:p w14:paraId="7D6901A3" w14:textId="77777777" w:rsidR="0008257A" w:rsidRPr="00727BFD" w:rsidRDefault="0008257A" w:rsidP="00546445">
            <w:pPr>
              <w:pStyle w:val="TableSideHeading"/>
              <w:keepNext/>
              <w:keepLines w:val="0"/>
              <w:tabs>
                <w:tab w:val="clear" w:pos="624"/>
                <w:tab w:val="clear" w:pos="1247"/>
              </w:tabs>
              <w:rPr>
                <w:sz w:val="26"/>
              </w:rPr>
            </w:pPr>
            <w:r w:rsidRPr="00727BFD">
              <w:rPr>
                <w:rFonts w:hint="cs"/>
                <w:sz w:val="26"/>
                <w:rtl/>
              </w:rPr>
              <w:t xml:space="preserve">הוספת </w:t>
            </w:r>
            <w:r>
              <w:rPr>
                <w:rFonts w:hint="cs"/>
                <w:sz w:val="26"/>
                <w:rtl/>
              </w:rPr>
              <w:t>סעיף 85</w:t>
            </w:r>
          </w:p>
        </w:tc>
        <w:tc>
          <w:tcPr>
            <w:tcW w:w="624" w:type="dxa"/>
          </w:tcPr>
          <w:p w14:paraId="4070D56F" w14:textId="77777777" w:rsidR="0008257A" w:rsidRPr="00727BFD" w:rsidRDefault="0008257A" w:rsidP="00546445">
            <w:pPr>
              <w:pStyle w:val="TableText"/>
              <w:keepNext/>
              <w:keepLines w:val="0"/>
              <w:pageBreakBefore/>
              <w:tabs>
                <w:tab w:val="clear" w:pos="624"/>
                <w:tab w:val="clear" w:pos="1247"/>
              </w:tabs>
              <w:jc w:val="both"/>
              <w:rPr>
                <w:sz w:val="26"/>
              </w:rPr>
            </w:pPr>
            <w:r w:rsidRPr="00727BFD">
              <w:rPr>
                <w:rFonts w:hint="cs"/>
                <w:sz w:val="26"/>
                <w:rtl/>
              </w:rPr>
              <w:t>1.</w:t>
            </w:r>
          </w:p>
        </w:tc>
        <w:tc>
          <w:tcPr>
            <w:tcW w:w="7143" w:type="dxa"/>
            <w:gridSpan w:val="3"/>
          </w:tcPr>
          <w:p w14:paraId="43B8C9AF" w14:textId="7DBE4872" w:rsidR="0008257A" w:rsidRPr="00330D2A" w:rsidRDefault="0008257A" w:rsidP="00446EBC">
            <w:pPr>
              <w:pStyle w:val="TableBlock"/>
            </w:pPr>
            <w:r>
              <w:rPr>
                <w:rFonts w:hint="cs"/>
                <w:rtl/>
              </w:rPr>
              <w:t>בפקודת התעבורה</w:t>
            </w:r>
            <w:r w:rsidR="00446EBC">
              <w:rPr>
                <w:rStyle w:val="a5"/>
                <w:rtl/>
              </w:rPr>
              <w:footnoteReference w:id="2"/>
            </w:r>
            <w:r>
              <w:rPr>
                <w:rFonts w:hint="cs"/>
                <w:rtl/>
              </w:rPr>
              <w:t>, אחרי סעיף 84 יבוא</w:t>
            </w:r>
            <w:r w:rsidRPr="00E3482C">
              <w:rPr>
                <w:rtl/>
              </w:rPr>
              <w:t>:</w:t>
            </w:r>
          </w:p>
        </w:tc>
      </w:tr>
      <w:tr w:rsidR="0008257A" w14:paraId="75B511BB" w14:textId="77777777" w:rsidTr="0034037D">
        <w:trPr>
          <w:cantSplit/>
        </w:trPr>
        <w:tc>
          <w:tcPr>
            <w:tcW w:w="1871" w:type="dxa"/>
          </w:tcPr>
          <w:p w14:paraId="5214A947" w14:textId="77777777" w:rsidR="0008257A" w:rsidRDefault="0008257A" w:rsidP="00546445">
            <w:pPr>
              <w:pStyle w:val="TableSideHeading"/>
              <w:keepLines w:val="0"/>
            </w:pPr>
          </w:p>
        </w:tc>
        <w:tc>
          <w:tcPr>
            <w:tcW w:w="624" w:type="dxa"/>
          </w:tcPr>
          <w:p w14:paraId="7DAEE8B3" w14:textId="77777777" w:rsidR="0008257A" w:rsidRDefault="0008257A" w:rsidP="00546445">
            <w:pPr>
              <w:pStyle w:val="TableText"/>
              <w:keepLines w:val="0"/>
            </w:pPr>
          </w:p>
        </w:tc>
        <w:tc>
          <w:tcPr>
            <w:tcW w:w="1871" w:type="dxa"/>
          </w:tcPr>
          <w:p w14:paraId="3A22080C" w14:textId="34A64166" w:rsidR="0008257A" w:rsidRDefault="0008257A" w:rsidP="00546445">
            <w:pPr>
              <w:pStyle w:val="TableInnerSideHeading"/>
            </w:pPr>
            <w:r>
              <w:rPr>
                <w:rFonts w:hint="cs"/>
                <w:sz w:val="26"/>
                <w:rtl/>
              </w:rPr>
              <w:t>"הסמכת רשות מקומית לביצוע תפקידי</w:t>
            </w:r>
            <w:r w:rsidR="00EB02EB">
              <w:rPr>
                <w:rFonts w:hint="cs"/>
                <w:sz w:val="26"/>
                <w:rtl/>
              </w:rPr>
              <w:t>ם הנתונים לרשות</w:t>
            </w:r>
            <w:r>
              <w:rPr>
                <w:rFonts w:hint="cs"/>
                <w:sz w:val="26"/>
                <w:rtl/>
              </w:rPr>
              <w:t xml:space="preserve"> </w:t>
            </w:r>
            <w:r w:rsidR="00EB02EB">
              <w:rPr>
                <w:rFonts w:hint="cs"/>
                <w:sz w:val="26"/>
                <w:rtl/>
              </w:rPr>
              <w:t>ה</w:t>
            </w:r>
            <w:r>
              <w:rPr>
                <w:rFonts w:hint="cs"/>
                <w:sz w:val="26"/>
                <w:rtl/>
              </w:rPr>
              <w:t>רישוי</w:t>
            </w:r>
          </w:p>
        </w:tc>
        <w:tc>
          <w:tcPr>
            <w:tcW w:w="624" w:type="dxa"/>
          </w:tcPr>
          <w:p w14:paraId="469B994A" w14:textId="77777777" w:rsidR="0008257A" w:rsidRDefault="0008257A" w:rsidP="00546445">
            <w:pPr>
              <w:pStyle w:val="TableText"/>
            </w:pPr>
            <w:r>
              <w:rPr>
                <w:rFonts w:hint="cs"/>
                <w:rtl/>
              </w:rPr>
              <w:t>85.</w:t>
            </w:r>
          </w:p>
        </w:tc>
        <w:tc>
          <w:tcPr>
            <w:tcW w:w="4648" w:type="dxa"/>
          </w:tcPr>
          <w:p w14:paraId="5A54790F" w14:textId="5224EE08" w:rsidR="0008257A" w:rsidRDefault="00D75306" w:rsidP="00FF40F1">
            <w:pPr>
              <w:pStyle w:val="TableBlock"/>
            </w:pPr>
            <w:r>
              <w:rPr>
                <w:rFonts w:hint="cs"/>
                <w:rtl/>
              </w:rPr>
              <w:t>השר</w:t>
            </w:r>
            <w:r w:rsidR="0008257A">
              <w:rPr>
                <w:rFonts w:hint="cs"/>
                <w:rtl/>
              </w:rPr>
              <w:t xml:space="preserve">, </w:t>
            </w:r>
            <w:r w:rsidR="00FF40F1">
              <w:rPr>
                <w:rFonts w:hint="cs"/>
                <w:rtl/>
              </w:rPr>
              <w:t>בהסכמת שר הפנים ו</w:t>
            </w:r>
            <w:r w:rsidR="0008257A">
              <w:rPr>
                <w:rFonts w:hint="cs"/>
                <w:rtl/>
              </w:rPr>
              <w:t>לפי בקשת רשות מקומית</w:t>
            </w:r>
            <w:r w:rsidR="00FF40F1">
              <w:rPr>
                <w:rFonts w:hint="cs"/>
                <w:rtl/>
              </w:rPr>
              <w:t xml:space="preserve">, </w:t>
            </w:r>
            <w:r w:rsidR="0008257A">
              <w:rPr>
                <w:rFonts w:hint="cs"/>
                <w:rtl/>
              </w:rPr>
              <w:t>רשאי להסמי</w:t>
            </w:r>
            <w:r w:rsidR="0078512C">
              <w:rPr>
                <w:rFonts w:hint="cs"/>
                <w:rtl/>
              </w:rPr>
              <w:t>ך את הרשות המקומית</w:t>
            </w:r>
            <w:r w:rsidR="0008257A">
              <w:rPr>
                <w:rFonts w:hint="cs"/>
                <w:rtl/>
              </w:rPr>
              <w:t xml:space="preserve"> לבצע תפקידים הנתונים לרשות הרישוי לפי </w:t>
            </w:r>
            <w:r w:rsidR="009919EE">
              <w:rPr>
                <w:rFonts w:hint="cs"/>
                <w:rtl/>
              </w:rPr>
              <w:t>סימנים</w:t>
            </w:r>
            <w:r w:rsidR="0008257A">
              <w:rPr>
                <w:rFonts w:hint="cs"/>
                <w:rtl/>
              </w:rPr>
              <w:t xml:space="preserve"> א' ו</w:t>
            </w:r>
            <w:r w:rsidR="009919EE">
              <w:rPr>
                <w:rFonts w:hint="cs"/>
                <w:rtl/>
              </w:rPr>
              <w:t>-</w:t>
            </w:r>
            <w:r w:rsidR="0008257A">
              <w:rPr>
                <w:rFonts w:hint="cs"/>
                <w:rtl/>
              </w:rPr>
              <w:t>ב' לפרק השני לפקודה זו, כולם או חלקם; בהחלטתו ישקול שר התחבורה, בין השאר, את השפעת ההסמכה כאמור על רמת השירות לציבור התושבים המתגורר בתחומי הרשות המקומית וסביבתה, ויתחשב, בין השאר, במספרם ובמרחק בין הרשות המקומית לבין סניף הרישוי הקרוב ו</w:t>
            </w:r>
            <w:r w:rsidR="00EB02EB">
              <w:rPr>
                <w:rFonts w:hint="cs"/>
                <w:rtl/>
              </w:rPr>
              <w:t>ב</w:t>
            </w:r>
            <w:r w:rsidR="0008257A">
              <w:rPr>
                <w:rFonts w:hint="cs"/>
                <w:rtl/>
              </w:rPr>
              <w:t>שירותים הניתנים בו; המנהל הכללי של משרד התחבורה</w:t>
            </w:r>
            <w:r>
              <w:rPr>
                <w:rFonts w:hint="cs"/>
                <w:rtl/>
              </w:rPr>
              <w:t xml:space="preserve"> והבטיחות בדרכים </w:t>
            </w:r>
            <w:r w:rsidR="0008257A">
              <w:rPr>
                <w:rFonts w:hint="cs"/>
                <w:rtl/>
              </w:rPr>
              <w:t>יפרסם ברשומות הודעה על הסמכה לפי סעיף זה</w:t>
            </w:r>
            <w:r w:rsidR="00480780">
              <w:rPr>
                <w:rFonts w:hint="cs"/>
                <w:rtl/>
              </w:rPr>
              <w:t>.</w:t>
            </w:r>
            <w:r w:rsidR="006D71CF">
              <w:rPr>
                <w:rFonts w:hint="cs"/>
                <w:rtl/>
              </w:rPr>
              <w:t>"</w:t>
            </w:r>
          </w:p>
        </w:tc>
      </w:tr>
      <w:tr w:rsidR="0034037D" w14:paraId="71BA37F9" w14:textId="77777777" w:rsidTr="0034037D">
        <w:trPr>
          <w:cantSplit/>
        </w:trPr>
        <w:tc>
          <w:tcPr>
            <w:tcW w:w="1870" w:type="dxa"/>
          </w:tcPr>
          <w:p w14:paraId="38AF69D7" w14:textId="7210581D" w:rsidR="0034037D" w:rsidRDefault="0034037D">
            <w:pPr>
              <w:pStyle w:val="TableSideHeading"/>
            </w:pPr>
            <w:r>
              <w:rPr>
                <w:rFonts w:hint="cs"/>
                <w:rtl/>
              </w:rPr>
              <w:t>תחילה והוראות מעבר</w:t>
            </w:r>
          </w:p>
        </w:tc>
        <w:tc>
          <w:tcPr>
            <w:tcW w:w="624" w:type="dxa"/>
          </w:tcPr>
          <w:p w14:paraId="3C7C3632" w14:textId="78113C6E" w:rsidR="0034037D" w:rsidRDefault="0034037D">
            <w:pPr>
              <w:pStyle w:val="TableText"/>
            </w:pPr>
            <w:r>
              <w:rPr>
                <w:rFonts w:hint="cs"/>
                <w:rtl/>
              </w:rPr>
              <w:t xml:space="preserve">2. </w:t>
            </w:r>
          </w:p>
        </w:tc>
        <w:tc>
          <w:tcPr>
            <w:tcW w:w="7143" w:type="dxa"/>
            <w:gridSpan w:val="3"/>
          </w:tcPr>
          <w:p w14:paraId="0437F4E2" w14:textId="00EE226C" w:rsidR="0034037D" w:rsidRPr="00C34DE2" w:rsidRDefault="0034037D" w:rsidP="0034037D">
            <w:pPr>
              <w:pStyle w:val="TableBlock"/>
            </w:pPr>
            <w:r>
              <w:rPr>
                <w:rFonts w:hint="cs"/>
                <w:rtl/>
              </w:rPr>
              <w:t>(א)</w:t>
            </w:r>
            <w:r>
              <w:rPr>
                <w:rtl/>
              </w:rPr>
              <w:tab/>
            </w:r>
            <w:r>
              <w:rPr>
                <w:rFonts w:hint="cs"/>
                <w:rtl/>
              </w:rPr>
              <w:t xml:space="preserve">תחילתו של חוק זה 30 ימים מיום פרסומו (להלן </w:t>
            </w:r>
            <w:r>
              <w:rPr>
                <w:rtl/>
              </w:rPr>
              <w:t>–</w:t>
            </w:r>
            <w:r>
              <w:rPr>
                <w:rFonts w:hint="cs"/>
                <w:rtl/>
              </w:rPr>
              <w:t xml:space="preserve"> יום התחילה).</w:t>
            </w:r>
          </w:p>
        </w:tc>
      </w:tr>
      <w:tr w:rsidR="0034037D" w14:paraId="16811CC2" w14:textId="77777777" w:rsidTr="0034037D">
        <w:trPr>
          <w:cantSplit/>
        </w:trPr>
        <w:tc>
          <w:tcPr>
            <w:tcW w:w="1870" w:type="dxa"/>
          </w:tcPr>
          <w:p w14:paraId="01C5BD3C" w14:textId="77777777" w:rsidR="0034037D" w:rsidRDefault="0034037D">
            <w:pPr>
              <w:pStyle w:val="TableSideHeading"/>
              <w:rPr>
                <w:rtl/>
              </w:rPr>
            </w:pPr>
          </w:p>
        </w:tc>
        <w:tc>
          <w:tcPr>
            <w:tcW w:w="624" w:type="dxa"/>
          </w:tcPr>
          <w:p w14:paraId="19F9521C" w14:textId="77777777" w:rsidR="0034037D" w:rsidRDefault="0034037D" w:rsidP="0034037D">
            <w:pPr>
              <w:pStyle w:val="TableText"/>
              <w:rPr>
                <w:rtl/>
              </w:rPr>
            </w:pPr>
          </w:p>
        </w:tc>
        <w:tc>
          <w:tcPr>
            <w:tcW w:w="7143" w:type="dxa"/>
            <w:gridSpan w:val="3"/>
          </w:tcPr>
          <w:p w14:paraId="0CCFAF34" w14:textId="64C10366" w:rsidR="0034037D" w:rsidRDefault="0034037D" w:rsidP="00296D5E">
            <w:pPr>
              <w:pStyle w:val="TableBlock"/>
              <w:rPr>
                <w:rtl/>
              </w:rPr>
            </w:pPr>
            <w:r>
              <w:rPr>
                <w:rFonts w:hint="cs"/>
                <w:rtl/>
              </w:rPr>
              <w:t>(ב)</w:t>
            </w:r>
            <w:r>
              <w:rPr>
                <w:rtl/>
              </w:rPr>
              <w:tab/>
            </w:r>
            <w:r>
              <w:rPr>
                <w:rFonts w:hint="cs"/>
                <w:rtl/>
              </w:rPr>
              <w:t xml:space="preserve">על אף </w:t>
            </w:r>
            <w:r w:rsidR="00296D5E">
              <w:rPr>
                <w:rFonts w:hint="cs"/>
                <w:rtl/>
              </w:rPr>
              <w:t>האמור</w:t>
            </w:r>
            <w:r>
              <w:rPr>
                <w:rFonts w:hint="cs"/>
                <w:rtl/>
              </w:rPr>
              <w:t xml:space="preserve"> </w:t>
            </w:r>
            <w:r w:rsidR="00296D5E">
              <w:rPr>
                <w:rFonts w:hint="cs"/>
                <w:rtl/>
              </w:rPr>
              <w:t>ב</w:t>
            </w:r>
            <w:r>
              <w:rPr>
                <w:rFonts w:hint="cs"/>
                <w:rtl/>
              </w:rPr>
              <w:t>סעיף 85 לפקודת התעבורה</w:t>
            </w:r>
            <w:r w:rsidR="00296D5E">
              <w:rPr>
                <w:rFonts w:hint="cs"/>
                <w:rtl/>
              </w:rPr>
              <w:t>,</w:t>
            </w:r>
            <w:r>
              <w:rPr>
                <w:rFonts w:hint="cs"/>
                <w:rtl/>
              </w:rPr>
              <w:t xml:space="preserve"> כנוסחו בחוק זה, רשות מקומית שביצעה ערב יום התחילה תפקידים הנתונים לרשות הרישוי לפי סימ</w:t>
            </w:r>
            <w:r w:rsidR="00446EDC">
              <w:rPr>
                <w:rFonts w:hint="cs"/>
                <w:rtl/>
              </w:rPr>
              <w:t>נים א</w:t>
            </w:r>
            <w:r>
              <w:rPr>
                <w:rFonts w:hint="cs"/>
                <w:rtl/>
              </w:rPr>
              <w:t xml:space="preserve"> </w:t>
            </w:r>
            <w:r w:rsidR="00446EDC">
              <w:rPr>
                <w:rFonts w:hint="cs"/>
                <w:rtl/>
              </w:rPr>
              <w:t>ו-</w:t>
            </w:r>
            <w:r>
              <w:rPr>
                <w:rFonts w:hint="cs"/>
                <w:rtl/>
              </w:rPr>
              <w:t xml:space="preserve">ב' לפרק השני לפקודת התעבורה, רשאית להמשיך לפעול באותה מתכונת עד תום שנה מיום התחילה אף בלא הסמכה של </w:t>
            </w:r>
            <w:r w:rsidR="00D75306">
              <w:rPr>
                <w:rFonts w:hint="cs"/>
                <w:rtl/>
              </w:rPr>
              <w:t xml:space="preserve">השר </w:t>
            </w:r>
            <w:r>
              <w:rPr>
                <w:rFonts w:hint="cs"/>
                <w:rtl/>
              </w:rPr>
              <w:t>כאמור באותו סעיף.</w:t>
            </w:r>
          </w:p>
        </w:tc>
      </w:tr>
    </w:tbl>
    <w:p w14:paraId="7F6961CA" w14:textId="77777777" w:rsidR="002D1EE3" w:rsidRDefault="002D1EE3" w:rsidP="002D1EE3">
      <w:pPr>
        <w:pStyle w:val="HeadDivreiHesber"/>
        <w:rPr>
          <w:rtl/>
        </w:rPr>
      </w:pPr>
      <w:r w:rsidRPr="0027450A">
        <w:rPr>
          <w:rFonts w:hint="cs"/>
          <w:rtl/>
        </w:rPr>
        <w:t>דברי הסבר</w:t>
      </w:r>
    </w:p>
    <w:p w14:paraId="44584294" w14:textId="34DD3A63" w:rsidR="0008257A" w:rsidRPr="002D1EF7" w:rsidRDefault="0008257A" w:rsidP="002D1EF7">
      <w:pPr>
        <w:pStyle w:val="Hesber"/>
        <w:rPr>
          <w:rtl/>
        </w:rPr>
      </w:pPr>
      <w:r w:rsidRPr="002D1EF7">
        <w:rPr>
          <w:rFonts w:hint="cs"/>
          <w:rtl/>
        </w:rPr>
        <w:t xml:space="preserve">בשנים האחרונות, מטעמים תקציביים וארגוניים בעיקרם, נענה משרד התחבורה והבטיחות בדרכים (להלן </w:t>
      </w:r>
      <w:r w:rsidRPr="002D1EF7">
        <w:rPr>
          <w:rtl/>
        </w:rPr>
        <w:t>–</w:t>
      </w:r>
      <w:r w:rsidRPr="002D1EF7">
        <w:rPr>
          <w:rFonts w:hint="cs"/>
          <w:rtl/>
        </w:rPr>
        <w:t xml:space="preserve"> המשרד) לבקשות של רשויות מקומיות שונות, וסייע להן לפתוח בתחומן ובמימונן החלקי </w:t>
      </w:r>
      <w:r w:rsidRPr="002D1EF7">
        <w:rPr>
          <w:rFonts w:hint="cs"/>
          <w:rtl/>
        </w:rPr>
        <w:lastRenderedPageBreak/>
        <w:t>סניפים של משרד רישוי המספקים לציבור הרחב שירותים בכל הקשור לרישיונות נהיגה ורישיונות רכב. בחלק מהסניפים שהוקמו השתתפה הרשות המקומית רק בעלויות אחזקת המשרד, ובחלקם האחר, אף בהצבת עובדי הרשות המקומית שסיפקו את השירותים, לאחר הכשרה בסיסית בנוהלי רשות הרישוי שהועברה להם בידי נציגי המשרד.</w:t>
      </w:r>
    </w:p>
    <w:p w14:paraId="08FF00A2" w14:textId="4470476F" w:rsidR="0008257A" w:rsidRPr="002D1EF7" w:rsidRDefault="0008257A" w:rsidP="002D1EF7">
      <w:pPr>
        <w:pStyle w:val="Hesber"/>
        <w:rPr>
          <w:rtl/>
        </w:rPr>
      </w:pPr>
      <w:r w:rsidRPr="002D1EF7">
        <w:rPr>
          <w:rFonts w:hint="cs"/>
          <w:rtl/>
        </w:rPr>
        <w:t xml:space="preserve">סימנים א' ו-ב' לפרק השני לפקודת התעבורה (להלן </w:t>
      </w:r>
      <w:r w:rsidRPr="002D1EF7">
        <w:rPr>
          <w:rtl/>
        </w:rPr>
        <w:t>–</w:t>
      </w:r>
      <w:r w:rsidRPr="002D1EF7">
        <w:rPr>
          <w:rFonts w:hint="cs"/>
          <w:rtl/>
        </w:rPr>
        <w:t xml:space="preserve"> הפקודה), מסדירים את סמכויות שר התחבורה והבטיחות בדרכים (להלן </w:t>
      </w:r>
      <w:r w:rsidRPr="002D1EF7">
        <w:rPr>
          <w:rtl/>
        </w:rPr>
        <w:t>–</w:t>
      </w:r>
      <w:r w:rsidRPr="002D1EF7">
        <w:rPr>
          <w:rFonts w:hint="cs"/>
          <w:rtl/>
        </w:rPr>
        <w:t xml:space="preserve"> השר) בכל הקשור לרישוי רכב ורישוי נהיגה באופן כללי, ואולם אינם כוללים הוראות לעניין הקמת משרדי רישוי לשירות הציבור. </w:t>
      </w:r>
    </w:p>
    <w:p w14:paraId="4A4DDDFE" w14:textId="615DA1BE" w:rsidR="0008257A" w:rsidRPr="002D1EF7" w:rsidRDefault="0008257A" w:rsidP="002D1EF7">
      <w:pPr>
        <w:pStyle w:val="Hesber"/>
        <w:rPr>
          <w:rtl/>
        </w:rPr>
      </w:pPr>
      <w:r w:rsidRPr="002D1EF7">
        <w:rPr>
          <w:rFonts w:hint="cs"/>
          <w:rtl/>
        </w:rPr>
        <w:t>לפני מספר שנים, בעקבות עתירה שהוגשה לבג"</w:t>
      </w:r>
      <w:r w:rsidR="002D1EF7">
        <w:rPr>
          <w:rFonts w:hint="cs"/>
          <w:rtl/>
        </w:rPr>
        <w:t>ץ</w:t>
      </w:r>
      <w:r w:rsidRPr="002D1EF7">
        <w:rPr>
          <w:rFonts w:hint="cs"/>
          <w:rtl/>
        </w:rPr>
        <w:t xml:space="preserve"> </w:t>
      </w:r>
      <w:r w:rsidR="00D75306" w:rsidRPr="002D1EF7">
        <w:rPr>
          <w:rFonts w:hint="cs"/>
          <w:rtl/>
        </w:rPr>
        <w:t>(בג"</w:t>
      </w:r>
      <w:r w:rsidR="002D1EF7">
        <w:rPr>
          <w:rFonts w:hint="cs"/>
          <w:rtl/>
        </w:rPr>
        <w:t>ץ</w:t>
      </w:r>
      <w:bookmarkStart w:id="6" w:name="_GoBack"/>
      <w:bookmarkEnd w:id="6"/>
      <w:r w:rsidR="00600430" w:rsidRPr="002D1EF7">
        <w:rPr>
          <w:rFonts w:hint="cs"/>
          <w:rtl/>
        </w:rPr>
        <w:t xml:space="preserve"> 3036/14) </w:t>
      </w:r>
      <w:r w:rsidRPr="002D1EF7">
        <w:rPr>
          <w:rFonts w:hint="cs"/>
          <w:rtl/>
        </w:rPr>
        <w:t>כנגד החלטת המשרד לסגור סניף רישוי שנפתח בעיר בצפון הארץ במתכונת של מימון משותף כאמור, בשל אי העברת חלקה של העירייה במימון עלויות אחזקת הסניף, קבע המשנה ליועץ המשפטי לממשלה (אזרחי) את עמדתו, ולפיה ביצוע פעולות רישוי אינו בגדר סמכויותיה של רשות מקומית הקבועות בפקודת העיריות. עם זאת, סבר המשנה כי ככל שפעילות זו תוסדר בחקיקה, אשר תהווה מקור הסכמה לרשויות המקומיות לפעול בתחומי הרישוי, הרי שתוסר המניעה לפעילותן בתחום זה.</w:t>
      </w:r>
    </w:p>
    <w:p w14:paraId="44DF0B72" w14:textId="496E6FA6" w:rsidR="0008257A" w:rsidRPr="002D1EF7" w:rsidRDefault="0008257A" w:rsidP="002D1EF7">
      <w:pPr>
        <w:pStyle w:val="Hesber"/>
        <w:rPr>
          <w:rtl/>
        </w:rPr>
      </w:pPr>
      <w:r w:rsidRPr="002D1EF7">
        <w:rPr>
          <w:rFonts w:hint="cs"/>
          <w:rtl/>
        </w:rPr>
        <w:t xml:space="preserve">לפיכך, מוצע לתקן את הפקודה באופן שיאפשר לשר להסמיך רשות מקומית לבצע תפקידי רישוי, כחלק ממגמה לשפר את טיב השירות לציבור תוך ניצול תשתיות קיימות של רשויות מקומיות. </w:t>
      </w:r>
    </w:p>
    <w:p w14:paraId="57815E60" w14:textId="6DCF6BFB" w:rsidR="0008257A" w:rsidRPr="002D1EF7" w:rsidRDefault="0008257A" w:rsidP="002D1EF7">
      <w:pPr>
        <w:pStyle w:val="Hesber"/>
        <w:rPr>
          <w:rtl/>
        </w:rPr>
      </w:pPr>
      <w:r w:rsidRPr="002D1EF7">
        <w:rPr>
          <w:rFonts w:hint="cs"/>
          <w:rtl/>
        </w:rPr>
        <w:t xml:space="preserve">בשל המשמעות התקציבית והיישומית של הטלת סמכות כאמור על הרשות המקומית שהתפקיד יוטל עליה, מוצע לקבוע כי הפעלת הסמכות תותנה בבקשת הרשות המקומית ובכפוף לקבלת הסכמת שר הפנים שאמון על בחינת השפעה ההחלטה על השלטון המקומי בכללותו ועל הרשות המקומית הספציפית. </w:t>
      </w:r>
    </w:p>
    <w:p w14:paraId="56F0E388" w14:textId="5516A8AF" w:rsidR="0008257A" w:rsidRPr="002D1EF7" w:rsidRDefault="0008257A" w:rsidP="002D1EF7">
      <w:pPr>
        <w:pStyle w:val="Hesber"/>
        <w:rPr>
          <w:rtl/>
        </w:rPr>
      </w:pPr>
      <w:r w:rsidRPr="002D1EF7">
        <w:rPr>
          <w:rFonts w:hint="cs"/>
          <w:rtl/>
        </w:rPr>
        <w:t>בהתאם להצעת החוק, מוצע לקבוע תקופת מעבר של כשנה ממועד תחילתו של החוק, שבמהלכה יתאפשר לרשויות מקומיות שבתחומן פועלים כבר היום סניפי רישוי במימון משותף שלהן ושל משרד התחבורה, להמשיך לפעול במתכונת פעילותן הקיימת. במשך שנה זו הרשויות המקומיות האמורות יוכלו לפנות לשר התחבורה בבקשה לפי סעיף 85 לפקודה כנוסחו בסעיף 1 לחוק זה לצורך מימוש הסמכות המוקנית לשר באותו הסעיף, להסמיכן, באישור שר הפנים, לבצע את התפקידים המפורטים בסעיף.</w:t>
      </w:r>
    </w:p>
    <w:p w14:paraId="7255C32D" w14:textId="18558554" w:rsidR="0008257A" w:rsidRPr="002D1EF7" w:rsidRDefault="00D75306" w:rsidP="002D1EF7">
      <w:pPr>
        <w:pStyle w:val="Hesber"/>
        <w:rPr>
          <w:rtl/>
        </w:rPr>
      </w:pPr>
      <w:r w:rsidRPr="002D1EF7">
        <w:rPr>
          <w:rFonts w:hint="cs"/>
          <w:rtl/>
        </w:rPr>
        <w:t xml:space="preserve">יצוין כי הצעת חוק זו מתבססת על </w:t>
      </w:r>
      <w:r w:rsidR="0008257A" w:rsidRPr="002D1EF7">
        <w:rPr>
          <w:rFonts w:hint="cs"/>
          <w:rtl/>
        </w:rPr>
        <w:t xml:space="preserve">הצעת חוק ממשלתית זהה </w:t>
      </w:r>
      <w:r w:rsidRPr="002D1EF7">
        <w:rPr>
          <w:rFonts w:hint="cs"/>
          <w:rtl/>
        </w:rPr>
        <w:t>ש</w:t>
      </w:r>
      <w:r w:rsidR="0008257A" w:rsidRPr="002D1EF7">
        <w:rPr>
          <w:rFonts w:hint="cs"/>
          <w:rtl/>
        </w:rPr>
        <w:t>הונחה על שולחן הכנסת העשרים.</w:t>
      </w:r>
    </w:p>
    <w:p w14:paraId="7F6961CB" w14:textId="77777777" w:rsidR="00E13C27" w:rsidRPr="0036758B" w:rsidRDefault="00E13C27" w:rsidP="0036758B">
      <w:pPr>
        <w:pStyle w:val="Hesber"/>
        <w:rPr>
          <w:rtl/>
        </w:rPr>
      </w:pPr>
    </w:p>
    <w:p w14:paraId="19A7C9DA" w14:textId="77777777" w:rsidR="00A11550" w:rsidRDefault="002D1EF7">
      <w:pPr>
        <w:spacing w:before="0" w:line="360" w:lineRule="auto"/>
        <w:jc w:val="left"/>
      </w:pPr>
      <w:bookmarkStart w:id="7" w:name="selectedDocDateB"/>
      <w:bookmarkEnd w:id="7"/>
      <w:r>
        <w:rPr>
          <w:rFonts w:ascii="David" w:eastAsia="David" w:hAnsi="David" w:cs="David" w:hint="cs"/>
          <w:sz w:val="26"/>
          <w:szCs w:val="26"/>
          <w:rtl/>
        </w:rPr>
        <w:t>--------------------------------</w:t>
      </w:r>
    </w:p>
    <w:p w14:paraId="54F782B1" w14:textId="77777777" w:rsidR="00A11550" w:rsidRDefault="002D1EF7">
      <w:pPr>
        <w:spacing w:before="0" w:line="360" w:lineRule="auto"/>
        <w:jc w:val="left"/>
      </w:pPr>
      <w:r>
        <w:rPr>
          <w:rFonts w:ascii="David" w:eastAsia="David" w:hAnsi="David" w:cs="David" w:hint="cs"/>
          <w:sz w:val="26"/>
          <w:szCs w:val="26"/>
          <w:rtl/>
        </w:rPr>
        <w:t>הוגשה ליו"ר הכנסת והסגנים</w:t>
      </w:r>
    </w:p>
    <w:p w14:paraId="365D999E" w14:textId="77777777" w:rsidR="00A11550" w:rsidRDefault="002D1EF7">
      <w:pPr>
        <w:spacing w:before="0" w:line="360" w:lineRule="auto"/>
        <w:jc w:val="left"/>
      </w:pPr>
      <w:r>
        <w:rPr>
          <w:rFonts w:ascii="David" w:eastAsia="David" w:hAnsi="David" w:cs="David" w:hint="cs"/>
          <w:sz w:val="26"/>
          <w:szCs w:val="26"/>
          <w:rtl/>
        </w:rPr>
        <w:t>והונחה על שולחן הכנסת ביום</w:t>
      </w:r>
    </w:p>
    <w:p w14:paraId="3FDB09A8" w14:textId="77777777" w:rsidR="00A11550" w:rsidRDefault="002D1EF7">
      <w:pPr>
        <w:spacing w:before="0" w:line="360" w:lineRule="auto"/>
        <w:jc w:val="left"/>
      </w:pPr>
      <w:r>
        <w:rPr>
          <w:rFonts w:ascii="David" w:eastAsia="David" w:hAnsi="David" w:cs="David" w:hint="cs"/>
          <w:sz w:val="26"/>
          <w:szCs w:val="26"/>
          <w:rtl/>
        </w:rPr>
        <w:t xml:space="preserve">י"ח בכסלו התשפ"ב (22.11.2021) </w:t>
      </w:r>
    </w:p>
    <w:p w14:paraId="59EAA423" w14:textId="77777777" w:rsidR="00A11550" w:rsidRDefault="00A11550">
      <w:pPr>
        <w:spacing w:before="0" w:line="276" w:lineRule="auto"/>
        <w:jc w:val="left"/>
      </w:pPr>
    </w:p>
    <w:sectPr w:rsidR="00A11550" w:rsidSect="0034037D">
      <w:footerReference w:type="even" r:id="rId11"/>
      <w:footerReference w:type="default" r:id="rId12"/>
      <w:pgSz w:w="11907" w:h="16840" w:code="9"/>
      <w:pgMar w:top="1701" w:right="1134" w:bottom="1417" w:left="1134" w:header="680" w:footer="680" w:gutter="0"/>
      <w:cols w:space="720"/>
      <w:noEndnote/>
      <w:titlePg/>
      <w:bidi/>
      <w:rtlGutter/>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1193B580"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2D1EF7">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74C0" w14:textId="77777777" w:rsidR="00D142D3" w:rsidRDefault="00D142D3" w:rsidP="0078512C">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07EE31B5" w14:textId="73F26B74" w:rsidR="00446EBC" w:rsidRDefault="00446EBC" w:rsidP="002D1EF7">
      <w:pPr>
        <w:pStyle w:val="a4"/>
      </w:pPr>
      <w:r>
        <w:rPr>
          <w:rStyle w:val="a5"/>
        </w:rPr>
        <w:footnoteRef/>
      </w:r>
      <w:r>
        <w:rPr>
          <w:rtl/>
        </w:rPr>
        <w:t xml:space="preserve"> </w:t>
      </w:r>
      <w:r>
        <w:rPr>
          <w:rFonts w:hint="cs"/>
          <w:rtl/>
        </w:rPr>
        <w:t xml:space="preserve">דיני מדינת ישראל, </w:t>
      </w:r>
      <w:r w:rsidR="002D1EF7">
        <w:rPr>
          <w:rFonts w:hint="cs"/>
          <w:rtl/>
        </w:rPr>
        <w:t>נוסח חדש</w:t>
      </w:r>
      <w:r>
        <w:rPr>
          <w:rFonts w:hint="cs"/>
          <w:rtl/>
        </w:rPr>
        <w:t xml:space="preserve"> 7, עמ' 173.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02CC0"/>
    <w:rsid w:val="00015B27"/>
    <w:rsid w:val="00063A3E"/>
    <w:rsid w:val="00072CAC"/>
    <w:rsid w:val="0007681A"/>
    <w:rsid w:val="0008257A"/>
    <w:rsid w:val="000A542E"/>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96D5E"/>
    <w:rsid w:val="002A487D"/>
    <w:rsid w:val="002C2E29"/>
    <w:rsid w:val="002C3041"/>
    <w:rsid w:val="002D1EE3"/>
    <w:rsid w:val="002D1EF7"/>
    <w:rsid w:val="002F1D80"/>
    <w:rsid w:val="003232A2"/>
    <w:rsid w:val="00325C14"/>
    <w:rsid w:val="0034037D"/>
    <w:rsid w:val="00355BB4"/>
    <w:rsid w:val="0036422C"/>
    <w:rsid w:val="0036758B"/>
    <w:rsid w:val="003710F6"/>
    <w:rsid w:val="00380835"/>
    <w:rsid w:val="00386E88"/>
    <w:rsid w:val="00396585"/>
    <w:rsid w:val="003D6E38"/>
    <w:rsid w:val="003D74A0"/>
    <w:rsid w:val="004033D8"/>
    <w:rsid w:val="004073F0"/>
    <w:rsid w:val="00412A7D"/>
    <w:rsid w:val="00416B4D"/>
    <w:rsid w:val="00417CFC"/>
    <w:rsid w:val="00446EBC"/>
    <w:rsid w:val="00446EDC"/>
    <w:rsid w:val="00480780"/>
    <w:rsid w:val="004A06DC"/>
    <w:rsid w:val="004B24ED"/>
    <w:rsid w:val="004B6625"/>
    <w:rsid w:val="004D2D82"/>
    <w:rsid w:val="004D3876"/>
    <w:rsid w:val="004E4552"/>
    <w:rsid w:val="004E6CDF"/>
    <w:rsid w:val="00553C9D"/>
    <w:rsid w:val="00562A66"/>
    <w:rsid w:val="005B064E"/>
    <w:rsid w:val="005D51AE"/>
    <w:rsid w:val="00600430"/>
    <w:rsid w:val="0062674B"/>
    <w:rsid w:val="006363B2"/>
    <w:rsid w:val="00644940"/>
    <w:rsid w:val="006818A9"/>
    <w:rsid w:val="006A2D81"/>
    <w:rsid w:val="006B54D8"/>
    <w:rsid w:val="006C1D0D"/>
    <w:rsid w:val="006D71CF"/>
    <w:rsid w:val="0070601E"/>
    <w:rsid w:val="00712C72"/>
    <w:rsid w:val="00735FE9"/>
    <w:rsid w:val="00763CAA"/>
    <w:rsid w:val="00765F66"/>
    <w:rsid w:val="0078512C"/>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E7EB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919EE"/>
    <w:rsid w:val="009A0DB8"/>
    <w:rsid w:val="009A7257"/>
    <w:rsid w:val="009D6E0A"/>
    <w:rsid w:val="009E1E33"/>
    <w:rsid w:val="00A11550"/>
    <w:rsid w:val="00A14672"/>
    <w:rsid w:val="00A26BD6"/>
    <w:rsid w:val="00A443CF"/>
    <w:rsid w:val="00A6611D"/>
    <w:rsid w:val="00A82CB7"/>
    <w:rsid w:val="00A942C1"/>
    <w:rsid w:val="00AA2F03"/>
    <w:rsid w:val="00AC36F7"/>
    <w:rsid w:val="00AC63A4"/>
    <w:rsid w:val="00AD239E"/>
    <w:rsid w:val="00AF13B5"/>
    <w:rsid w:val="00B10265"/>
    <w:rsid w:val="00B16A99"/>
    <w:rsid w:val="00B21211"/>
    <w:rsid w:val="00B35784"/>
    <w:rsid w:val="00B733A7"/>
    <w:rsid w:val="00B75C91"/>
    <w:rsid w:val="00B975AD"/>
    <w:rsid w:val="00BC45FB"/>
    <w:rsid w:val="00BF148D"/>
    <w:rsid w:val="00C23B1A"/>
    <w:rsid w:val="00C310EB"/>
    <w:rsid w:val="00C9176A"/>
    <w:rsid w:val="00CF09DC"/>
    <w:rsid w:val="00CF1AA2"/>
    <w:rsid w:val="00D142D3"/>
    <w:rsid w:val="00D17774"/>
    <w:rsid w:val="00D63620"/>
    <w:rsid w:val="00D75306"/>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B02EB"/>
    <w:rsid w:val="00ED4A6F"/>
    <w:rsid w:val="00EF3A3A"/>
    <w:rsid w:val="00F628D6"/>
    <w:rsid w:val="00F67051"/>
    <w:rsid w:val="00F86A1E"/>
    <w:rsid w:val="00FA5E88"/>
    <w:rsid w:val="00FF40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69F695B3-E59E-489B-8189-7166D0FC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styleId="ad">
    <w:name w:val="annotation reference"/>
    <w:basedOn w:val="a0"/>
    <w:semiHidden/>
    <w:unhideWhenUsed/>
    <w:rsid w:val="008E7EB7"/>
    <w:rPr>
      <w:sz w:val="16"/>
      <w:szCs w:val="16"/>
    </w:rPr>
  </w:style>
  <w:style w:type="paragraph" w:styleId="ae">
    <w:name w:val="annotation text"/>
    <w:basedOn w:val="a"/>
    <w:link w:val="af"/>
    <w:semiHidden/>
    <w:unhideWhenUsed/>
    <w:rsid w:val="008E7EB7"/>
    <w:pPr>
      <w:spacing w:line="240" w:lineRule="auto"/>
    </w:pPr>
    <w:rPr>
      <w:sz w:val="20"/>
      <w:szCs w:val="20"/>
    </w:rPr>
  </w:style>
  <w:style w:type="character" w:customStyle="1" w:styleId="af">
    <w:name w:val="טקסט הערה תו"/>
    <w:basedOn w:val="a0"/>
    <w:link w:val="ae"/>
    <w:semiHidden/>
    <w:rsid w:val="008E7EB7"/>
    <w:rPr>
      <w:rFonts w:ascii="Hadasa Roso SL" w:hAnsi="Hadasa Roso SL" w:cs="Hadasa Roso SL"/>
      <w:color w:val="000000"/>
      <w:spacing w:val="1"/>
      <w:lang w:eastAsia="ja-JP"/>
    </w:rPr>
  </w:style>
  <w:style w:type="paragraph" w:styleId="af0">
    <w:name w:val="annotation subject"/>
    <w:basedOn w:val="ae"/>
    <w:next w:val="ae"/>
    <w:link w:val="af1"/>
    <w:semiHidden/>
    <w:unhideWhenUsed/>
    <w:rsid w:val="008E7EB7"/>
    <w:rPr>
      <w:b/>
      <w:bCs/>
    </w:rPr>
  </w:style>
  <w:style w:type="character" w:customStyle="1" w:styleId="af1">
    <w:name w:val="נושא הערה תו"/>
    <w:basedOn w:val="af"/>
    <w:link w:val="af0"/>
    <w:semiHidden/>
    <w:rsid w:val="008E7EB7"/>
    <w:rPr>
      <w:rFonts w:ascii="Hadasa Roso SL" w:hAnsi="Hadasa Roso SL" w:cs="Hadasa Roso SL"/>
      <w:b/>
      <w:bCs/>
      <w:color w:val="000000"/>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microsoft.com/office/infopath/2007/PartnerControls"/>
    <ds:schemaRef ds:uri="290d5b49-c690-4c6f-bbb9-1e50dab33ee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40FA8214-DD2F-41AB-9AD6-CAD53384F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4E555-B8F3-42C6-93C1-DAA06AB5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TotalTime>
  <Pages>2</Pages>
  <Words>568</Words>
  <Characters>2841</Characters>
  <Application>Microsoft Office Word</Application>
  <DocSecurity>0</DocSecurity>
  <Lines>23</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אילת וולברג</cp:lastModifiedBy>
  <cp:revision>20</cp:revision>
  <cp:lastPrinted>2021-11-17T09:02:00Z</cp:lastPrinted>
  <dcterms:created xsi:type="dcterms:W3CDTF">2015-04-20T09:58:00Z</dcterms:created>
  <dcterms:modified xsi:type="dcterms:W3CDTF">2021-11-18T08:43:00Z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2164135</vt:r8>
  </property>
</Properties>
</file>