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sz w:val="20"/>
          <w:szCs w:val="20"/>
          <w:rtl/>
        </w:rPr>
        <w:t>2164167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וארבע</w:t>
      </w:r>
      <w:bookmarkEnd w:id="1"/>
    </w:p>
    <w:p w14:paraId="7F6961A3" w14:textId="77777777" w:rsidR="00E13C27" w:rsidRPr="00F67051" w:rsidRDefault="00E13C27" w:rsidP="00E13C27">
      <w:pPr>
        <w:rPr>
          <w:b/>
          <w:bCs/>
          <w:sz w:val="26"/>
          <w:szCs w:val="26"/>
          <w:rtl/>
        </w:rPr>
      </w:pPr>
    </w:p>
    <w:p w14:paraId="7F6961AA" w14:textId="045848B1" w:rsidR="00E13C27" w:rsidRPr="00CF1AA2" w:rsidRDefault="008F6665" w:rsidP="00234C09">
      <w:pPr>
        <w:pStyle w:val="David"/>
        <w:spacing w:before="102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 xml:space="preserve">מאזן </w:t>
      </w:r>
      <w:proofErr w:type="spellStart"/>
      <w:r>
        <w:rPr>
          <w:rFonts w:hint="cs"/>
          <w:b/>
          <w:bCs/>
          <w:rtl/>
        </w:rPr>
        <w:t>גנאים</w:t>
      </w:r>
      <w:proofErr w:type="spellEnd"/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hint="cs"/>
          <w:b/>
          <w:bCs/>
          <w:rtl/>
        </w:rPr>
        <w:t>מנסור</w:t>
      </w:r>
      <w:proofErr w:type="spellEnd"/>
      <w:r>
        <w:rPr>
          <w:rFonts w:hint="cs"/>
          <w:b/>
          <w:bCs/>
          <w:rtl/>
        </w:rPr>
        <w:t xml:space="preserve"> עבאס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hint="cs"/>
          <w:b/>
          <w:bCs/>
          <w:rtl/>
        </w:rPr>
        <w:t>ווליד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טאהא</w:t>
      </w:r>
      <w:proofErr w:type="spellEnd"/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hint="cs"/>
          <w:b/>
          <w:bCs/>
          <w:rtl/>
        </w:rPr>
        <w:t>אימאן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ח'טיב</w:t>
      </w:r>
      <w:proofErr w:type="spellEnd"/>
      <w:r>
        <w:rPr>
          <w:rFonts w:hint="cs"/>
          <w:b/>
          <w:bCs/>
          <w:rtl/>
        </w:rPr>
        <w:t xml:space="preserve"> יאסין</w:t>
      </w:r>
      <w:bookmarkStart w:id="4" w:name="LGS_Join_List"/>
      <w:bookmarkEnd w:id="3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09D4034C" w:rsidR="00E13C27" w:rsidRPr="00E06736" w:rsidRDefault="00904591" w:rsidP="00234C09">
      <w:pPr>
        <w:pStyle w:val="David"/>
        <w:spacing w:line="240" w:lineRule="auto"/>
        <w:ind w:left="6424" w:firstLine="56"/>
        <w:rPr>
          <w:rtl/>
        </w:rPr>
      </w:pPr>
      <w:bookmarkStart w:id="6" w:name="Private_Number"/>
      <w:r>
        <w:rPr>
          <w:rFonts w:hint="cs"/>
          <w:rtl/>
        </w:rPr>
        <w:t>פ/2566/24</w:t>
      </w:r>
      <w:bookmarkEnd w:id="6"/>
    </w:p>
    <w:p w14:paraId="7E5E73AC" w14:textId="13021909" w:rsidR="00C26C91" w:rsidRDefault="00A443CF" w:rsidP="00847252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שיקים ללא כיסוי (תיקון – הקלות בהגבלת חשבון), </w:t>
      </w:r>
      <w:proofErr w:type="spellStart"/>
      <w:r>
        <w:rPr>
          <w:rFonts w:hint="cs"/>
          <w:rtl/>
        </w:rPr>
        <w:t>התשפ"ב</w:t>
      </w:r>
      <w:proofErr w:type="spellEnd"/>
      <w:r>
        <w:rPr>
          <w:rFonts w:hint="cs"/>
          <w:rtl/>
        </w:rPr>
        <w:t>–2021</w:t>
      </w:r>
      <w:bookmarkEnd w:id="7"/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24"/>
        <w:gridCol w:w="7143"/>
      </w:tblGrid>
      <w:tr w:rsidR="00C26C91" w:rsidRPr="005272F4" w14:paraId="6D0CB55D" w14:textId="77777777" w:rsidTr="00234C09">
        <w:trPr>
          <w:cantSplit/>
        </w:trPr>
        <w:tc>
          <w:tcPr>
            <w:tcW w:w="1871" w:type="dxa"/>
            <w:hideMark/>
          </w:tcPr>
          <w:p w14:paraId="66394E05" w14:textId="12AE5EEC" w:rsidR="00C26C91" w:rsidRPr="00805B8C" w:rsidRDefault="00805B8C" w:rsidP="00805B8C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</w:t>
            </w:r>
            <w:r w:rsidR="00C26C91">
              <w:rPr>
                <w:rFonts w:hint="cs"/>
                <w:rtl/>
              </w:rPr>
              <w:t xml:space="preserve">ן  סעיף 2 </w:t>
            </w:r>
          </w:p>
        </w:tc>
        <w:tc>
          <w:tcPr>
            <w:tcW w:w="624" w:type="dxa"/>
            <w:hideMark/>
          </w:tcPr>
          <w:p w14:paraId="3F72F26E" w14:textId="77777777" w:rsidR="00C26C91" w:rsidRDefault="00C26C91" w:rsidP="007448BF">
            <w:pPr>
              <w:pStyle w:val="TableText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  <w:hideMark/>
          </w:tcPr>
          <w:p w14:paraId="05BADF14" w14:textId="6CAD89F9" w:rsidR="00805B8C" w:rsidRPr="00EE53F9" w:rsidRDefault="00C26C91" w:rsidP="00234C09">
            <w:pPr>
              <w:pStyle w:val="TableBlock"/>
              <w:rPr>
                <w:rFonts w:ascii="David" w:hAnsi="David"/>
                <w:sz w:val="26"/>
                <w:rtl/>
              </w:rPr>
            </w:pPr>
            <w:r w:rsidRPr="005272F4">
              <w:rPr>
                <w:rFonts w:ascii="David" w:hAnsi="David"/>
                <w:rtl/>
              </w:rPr>
              <w:t xml:space="preserve">בחוק שיקים ללא כיסוי, </w:t>
            </w:r>
            <w:proofErr w:type="spellStart"/>
            <w:r w:rsidRPr="005272F4">
              <w:rPr>
                <w:rFonts w:ascii="David" w:hAnsi="David"/>
                <w:rtl/>
              </w:rPr>
              <w:t>התשמ"א</w:t>
            </w:r>
            <w:proofErr w:type="spellEnd"/>
            <w:r w:rsidRPr="005272F4">
              <w:rPr>
                <w:rFonts w:ascii="David" w:hAnsi="David"/>
                <w:rtl/>
              </w:rPr>
              <w:t>–1981</w:t>
            </w:r>
            <w:r w:rsidRPr="00234C09">
              <w:rPr>
                <w:rStyle w:val="a6"/>
                <w:rFonts w:ascii="David" w:hAnsi="David"/>
                <w:sz w:val="26"/>
                <w:rtl/>
              </w:rPr>
              <w:footnoteReference w:id="2"/>
            </w:r>
            <w:r w:rsidR="00234C09">
              <w:rPr>
                <w:rFonts w:ascii="David" w:hAnsi="David" w:hint="cs"/>
                <w:rtl/>
              </w:rPr>
              <w:t xml:space="preserve"> (להלן </w:t>
            </w:r>
            <w:r w:rsidR="00234C09">
              <w:rPr>
                <w:rFonts w:ascii="David" w:hAnsi="David"/>
                <w:rtl/>
              </w:rPr>
              <w:t>–</w:t>
            </w:r>
            <w:r w:rsidR="00234C09">
              <w:rPr>
                <w:rFonts w:ascii="David" w:hAnsi="David" w:hint="cs"/>
                <w:rtl/>
              </w:rPr>
              <w:t xml:space="preserve"> החוק העיקרי)</w:t>
            </w:r>
            <w:r w:rsidR="00EE53F9">
              <w:rPr>
                <w:rFonts w:ascii="David" w:hAnsi="David" w:hint="cs"/>
                <w:rtl/>
              </w:rPr>
              <w:t>,</w:t>
            </w:r>
            <w:r w:rsidR="00EE53F9">
              <w:rPr>
                <w:rFonts w:ascii="David" w:hAnsi="David"/>
                <w:rtl/>
              </w:rPr>
              <w:t xml:space="preserve"> בסעיף 2, במקום "</w:t>
            </w:r>
            <w:r w:rsidR="00805B8C">
              <w:rPr>
                <w:rFonts w:ascii="David" w:hAnsi="David"/>
                <w:sz w:val="26"/>
                <w:rtl/>
              </w:rPr>
              <w:t>עשרה שיקים</w:t>
            </w:r>
            <w:r w:rsidR="00EE53F9">
              <w:rPr>
                <w:rFonts w:ascii="David" w:hAnsi="David" w:hint="cs"/>
                <w:sz w:val="26"/>
                <w:rtl/>
              </w:rPr>
              <w:t>"</w:t>
            </w:r>
            <w:r w:rsidR="00EE53F9">
              <w:rPr>
                <w:rFonts w:ascii="David" w:hAnsi="David"/>
                <w:rtl/>
              </w:rPr>
              <w:t xml:space="preserve"> יבוא "</w:t>
            </w:r>
            <w:r w:rsidRPr="005272F4">
              <w:rPr>
                <w:rFonts w:ascii="David" w:hAnsi="David"/>
                <w:sz w:val="26"/>
                <w:rtl/>
              </w:rPr>
              <w:t>ש</w:t>
            </w:r>
            <w:r w:rsidR="00B265E8">
              <w:rPr>
                <w:rFonts w:ascii="David" w:hAnsi="David" w:hint="cs"/>
                <w:sz w:val="26"/>
                <w:rtl/>
              </w:rPr>
              <w:t>י</w:t>
            </w:r>
            <w:r w:rsidRPr="005272F4">
              <w:rPr>
                <w:rFonts w:ascii="David" w:hAnsi="David"/>
                <w:sz w:val="26"/>
                <w:rtl/>
              </w:rPr>
              <w:t xml:space="preserve">שה עשר </w:t>
            </w:r>
            <w:r w:rsidR="00805B8C">
              <w:rPr>
                <w:rFonts w:ascii="David" w:hAnsi="David"/>
                <w:sz w:val="26"/>
                <w:rtl/>
              </w:rPr>
              <w:t>שיקים"</w:t>
            </w:r>
            <w:r w:rsidR="00805B8C">
              <w:rPr>
                <w:rFonts w:ascii="David" w:hAnsi="David" w:hint="cs"/>
                <w:sz w:val="26"/>
                <w:rtl/>
              </w:rPr>
              <w:t>.</w:t>
            </w:r>
          </w:p>
        </w:tc>
      </w:tr>
      <w:tr w:rsidR="00EE53F9" w:rsidRPr="005272F4" w14:paraId="06AB4D45" w14:textId="77777777" w:rsidTr="00234C09">
        <w:trPr>
          <w:cantSplit/>
        </w:trPr>
        <w:tc>
          <w:tcPr>
            <w:tcW w:w="1871" w:type="dxa"/>
          </w:tcPr>
          <w:p w14:paraId="7EFEC505" w14:textId="3C43104D" w:rsidR="00EE53F9" w:rsidRDefault="00EE53F9" w:rsidP="00805B8C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תיקון סעיף 10</w:t>
            </w:r>
          </w:p>
        </w:tc>
        <w:tc>
          <w:tcPr>
            <w:tcW w:w="624" w:type="dxa"/>
          </w:tcPr>
          <w:p w14:paraId="0ED95777" w14:textId="06ADF90B" w:rsidR="00EE53F9" w:rsidRDefault="00EE53F9" w:rsidP="00EE53F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3" w:type="dxa"/>
          </w:tcPr>
          <w:p w14:paraId="42FD3371" w14:textId="5892F6A3" w:rsidR="00EE53F9" w:rsidRPr="00EE53F9" w:rsidRDefault="00805B8C" w:rsidP="00234C09">
            <w:pPr>
              <w:pStyle w:val="TableBlock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 xml:space="preserve">בסעיף 10(א) </w:t>
            </w:r>
            <w:r w:rsidR="00234C09">
              <w:rPr>
                <w:rFonts w:ascii="David" w:hAnsi="David" w:hint="cs"/>
                <w:sz w:val="26"/>
                <w:rtl/>
              </w:rPr>
              <w:t xml:space="preserve">לחוק העיקרי </w:t>
            </w:r>
            <w:r>
              <w:rPr>
                <w:rFonts w:ascii="David" w:hAnsi="David" w:hint="cs"/>
                <w:sz w:val="26"/>
                <w:rtl/>
              </w:rPr>
              <w:t xml:space="preserve">בסופו יבוא: </w:t>
            </w:r>
          </w:p>
        </w:tc>
      </w:tr>
      <w:tr w:rsidR="00805B8C" w:rsidRPr="005272F4" w14:paraId="5E56494D" w14:textId="77777777" w:rsidTr="00234C09">
        <w:trPr>
          <w:cantSplit/>
        </w:trPr>
        <w:tc>
          <w:tcPr>
            <w:tcW w:w="1871" w:type="dxa"/>
          </w:tcPr>
          <w:p w14:paraId="5A9C6399" w14:textId="77777777" w:rsidR="00805B8C" w:rsidRDefault="00805B8C" w:rsidP="00805B8C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3CA5CB02" w14:textId="77777777" w:rsidR="00805B8C" w:rsidRDefault="00805B8C" w:rsidP="00805B8C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</w:tcPr>
          <w:p w14:paraId="3F69F12E" w14:textId="4856EFB8" w:rsidR="00805B8C" w:rsidRDefault="00805B8C" w:rsidP="00234C09">
            <w:pPr>
              <w:pStyle w:val="TableBlock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"(7)</w:t>
            </w:r>
            <w:r>
              <w:rPr>
                <w:rFonts w:ascii="David" w:hAnsi="David"/>
                <w:sz w:val="26"/>
                <w:rtl/>
              </w:rPr>
              <w:tab/>
            </w:r>
            <w:r w:rsidR="00B265E8">
              <w:rPr>
                <w:rFonts w:ascii="David" w:hAnsi="David" w:hint="cs"/>
                <w:sz w:val="26"/>
                <w:rtl/>
              </w:rPr>
              <w:t>מת</w:t>
            </w:r>
            <w:r w:rsidRPr="005272F4">
              <w:rPr>
                <w:rFonts w:ascii="David" w:hAnsi="David"/>
                <w:sz w:val="26"/>
                <w:rtl/>
              </w:rPr>
              <w:t>קיימות נסיבות מיוח</w:t>
            </w:r>
            <w:r w:rsidR="00394B55">
              <w:rPr>
                <w:rFonts w:ascii="David" w:hAnsi="David"/>
                <w:sz w:val="26"/>
                <w:rtl/>
              </w:rPr>
              <w:t>דות</w:t>
            </w:r>
            <w:r w:rsidR="00394B55">
              <w:rPr>
                <w:rFonts w:ascii="David" w:hAnsi="David" w:hint="cs"/>
                <w:sz w:val="26"/>
                <w:rtl/>
              </w:rPr>
              <w:t xml:space="preserve"> </w:t>
            </w:r>
            <w:r>
              <w:rPr>
                <w:rFonts w:ascii="David" w:hAnsi="David"/>
                <w:sz w:val="26"/>
                <w:rtl/>
              </w:rPr>
              <w:t>שיירשמו</w:t>
            </w:r>
            <w:r w:rsidRPr="005272F4">
              <w:rPr>
                <w:rFonts w:ascii="David" w:hAnsi="David"/>
                <w:sz w:val="26"/>
                <w:rtl/>
              </w:rPr>
              <w:t xml:space="preserve"> שבגלל</w:t>
            </w:r>
            <w:r w:rsidR="00976558">
              <w:rPr>
                <w:rFonts w:ascii="David" w:hAnsi="David" w:hint="cs"/>
                <w:sz w:val="26"/>
                <w:rtl/>
              </w:rPr>
              <w:t>ן</w:t>
            </w:r>
            <w:r w:rsidR="0084485F">
              <w:rPr>
                <w:rFonts w:ascii="David" w:hAnsi="David"/>
                <w:sz w:val="26"/>
                <w:rtl/>
              </w:rPr>
              <w:t xml:space="preserve"> </w:t>
            </w:r>
            <w:proofErr w:type="spellStart"/>
            <w:r w:rsidR="0084485F">
              <w:rPr>
                <w:rFonts w:ascii="David" w:hAnsi="David"/>
                <w:sz w:val="26"/>
                <w:rtl/>
              </w:rPr>
              <w:t>סורב</w:t>
            </w:r>
            <w:proofErr w:type="spellEnd"/>
            <w:r w:rsidR="0084485F">
              <w:rPr>
                <w:rFonts w:ascii="David" w:hAnsi="David" w:hint="cs"/>
                <w:sz w:val="26"/>
                <w:rtl/>
              </w:rPr>
              <w:t xml:space="preserve"> השיק</w:t>
            </w:r>
            <w:r w:rsidR="002C1A7C">
              <w:rPr>
                <w:rFonts w:ascii="David" w:hAnsi="David" w:hint="cs"/>
                <w:sz w:val="26"/>
                <w:rtl/>
              </w:rPr>
              <w:t xml:space="preserve"> והגבלת הלקוח בנסיב</w:t>
            </w:r>
            <w:r w:rsidR="00B265E8">
              <w:rPr>
                <w:rFonts w:ascii="David" w:hAnsi="David" w:hint="cs"/>
                <w:sz w:val="26"/>
                <w:rtl/>
              </w:rPr>
              <w:t>ו</w:t>
            </w:r>
            <w:r w:rsidR="002C1A7C">
              <w:rPr>
                <w:rFonts w:ascii="David" w:hAnsi="David" w:hint="cs"/>
                <w:sz w:val="26"/>
                <w:rtl/>
              </w:rPr>
              <w:t>ת העניין, בהתחשב במידת הפגיעה בו, אינה מוצדקת</w:t>
            </w:r>
            <w:r w:rsidRPr="005272F4">
              <w:rPr>
                <w:rFonts w:ascii="David" w:hAnsi="David"/>
                <w:sz w:val="26"/>
                <w:rtl/>
              </w:rPr>
              <w:t>.</w:t>
            </w:r>
            <w:r w:rsidR="008E29F2">
              <w:rPr>
                <w:rFonts w:ascii="David" w:hAnsi="David" w:hint="cs"/>
                <w:sz w:val="26"/>
                <w:rtl/>
              </w:rPr>
              <w:t>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1628E5F" w14:textId="276D9430" w:rsidR="00976558" w:rsidRPr="00976558" w:rsidRDefault="00C26C91" w:rsidP="00234C09">
      <w:pPr>
        <w:pStyle w:val="Hesber"/>
        <w:spacing w:line="240" w:lineRule="auto"/>
        <w:rPr>
          <w:rtl/>
        </w:rPr>
      </w:pPr>
      <w:r w:rsidRPr="00976558">
        <w:rPr>
          <w:rFonts w:hint="eastAsia"/>
          <w:rtl/>
        </w:rPr>
        <w:t>חוק</w:t>
      </w:r>
      <w:r w:rsidRPr="00976558">
        <w:rPr>
          <w:rtl/>
        </w:rPr>
        <w:t xml:space="preserve"> שיקים ללא כיסוי</w:t>
      </w:r>
      <w:r w:rsidR="00B265E8">
        <w:rPr>
          <w:rFonts w:hint="cs"/>
          <w:rtl/>
        </w:rPr>
        <w:t>,</w:t>
      </w:r>
      <w:r w:rsidRPr="00976558">
        <w:rPr>
          <w:rtl/>
        </w:rPr>
        <w:t xml:space="preserve"> </w:t>
      </w:r>
      <w:proofErr w:type="spellStart"/>
      <w:r w:rsidRPr="00976558">
        <w:rPr>
          <w:rFonts w:hint="eastAsia"/>
          <w:rtl/>
        </w:rPr>
        <w:t>התשמ</w:t>
      </w:r>
      <w:r w:rsidRPr="00976558">
        <w:rPr>
          <w:rtl/>
        </w:rPr>
        <w:t>"א</w:t>
      </w:r>
      <w:proofErr w:type="spellEnd"/>
      <w:r w:rsidRPr="00976558">
        <w:rPr>
          <w:rFonts w:hint="eastAsia"/>
          <w:rtl/>
        </w:rPr>
        <w:t>–</w:t>
      </w:r>
      <w:r w:rsidRPr="00976558">
        <w:rPr>
          <w:rtl/>
        </w:rPr>
        <w:t xml:space="preserve">1981 </w:t>
      </w:r>
      <w:r w:rsidRPr="00976558">
        <w:rPr>
          <w:rFonts w:hint="eastAsia"/>
          <w:rtl/>
        </w:rPr>
        <w:t>קובע</w:t>
      </w:r>
      <w:r w:rsidRPr="00976558">
        <w:rPr>
          <w:rtl/>
        </w:rPr>
        <w:t xml:space="preserve"> כי חשבון בנק יוגבל אם בתקופה של שנה חזרו </w:t>
      </w:r>
      <w:r w:rsidRPr="00976558">
        <w:rPr>
          <w:rFonts w:hint="eastAsia"/>
          <w:rtl/>
        </w:rPr>
        <w:t>עשרה</w:t>
      </w:r>
      <w:r w:rsidRPr="00976558">
        <w:rPr>
          <w:rtl/>
        </w:rPr>
        <w:t xml:space="preserve"> </w:t>
      </w:r>
      <w:r w:rsidRPr="00976558">
        <w:rPr>
          <w:rFonts w:hint="eastAsia"/>
          <w:rtl/>
        </w:rPr>
        <w:t>שיקים</w:t>
      </w:r>
      <w:r w:rsidRPr="00976558">
        <w:rPr>
          <w:rtl/>
        </w:rPr>
        <w:t xml:space="preserve"> </w:t>
      </w:r>
      <w:r w:rsidRPr="00976558">
        <w:rPr>
          <w:rFonts w:hint="eastAsia"/>
          <w:rtl/>
        </w:rPr>
        <w:t>או</w:t>
      </w:r>
      <w:r w:rsidRPr="00976558">
        <w:rPr>
          <w:rtl/>
        </w:rPr>
        <w:t xml:space="preserve"> </w:t>
      </w:r>
      <w:r w:rsidRPr="00976558">
        <w:rPr>
          <w:rFonts w:hint="eastAsia"/>
          <w:rtl/>
        </w:rPr>
        <w:t>יותר</w:t>
      </w:r>
      <w:r w:rsidRPr="00976558">
        <w:rPr>
          <w:rtl/>
        </w:rPr>
        <w:t xml:space="preserve">, כיוון שלא היה להם כיסוי. </w:t>
      </w:r>
      <w:r w:rsidRPr="00976558">
        <w:rPr>
          <w:rFonts w:hint="eastAsia"/>
          <w:rtl/>
        </w:rPr>
        <w:t>להגבלת</w:t>
      </w:r>
      <w:r w:rsidRPr="00976558">
        <w:rPr>
          <w:rtl/>
        </w:rPr>
        <w:t xml:space="preserve"> </w:t>
      </w:r>
      <w:r w:rsidRPr="00976558">
        <w:rPr>
          <w:rFonts w:hint="eastAsia"/>
          <w:rtl/>
        </w:rPr>
        <w:t>חשבון</w:t>
      </w:r>
      <w:r w:rsidRPr="00976558">
        <w:rPr>
          <w:rtl/>
        </w:rPr>
        <w:t xml:space="preserve"> </w:t>
      </w:r>
      <w:r w:rsidRPr="00976558">
        <w:rPr>
          <w:rFonts w:hint="eastAsia"/>
          <w:rtl/>
        </w:rPr>
        <w:t>בנק</w:t>
      </w:r>
      <w:r w:rsidRPr="00976558">
        <w:rPr>
          <w:rtl/>
        </w:rPr>
        <w:t xml:space="preserve"> </w:t>
      </w:r>
      <w:proofErr w:type="spellStart"/>
      <w:r w:rsidR="00976558" w:rsidRPr="00976558">
        <w:rPr>
          <w:rFonts w:hint="cs"/>
          <w:rtl/>
        </w:rPr>
        <w:t>נפקויות</w:t>
      </w:r>
      <w:proofErr w:type="spellEnd"/>
      <w:r w:rsidR="00976558" w:rsidRPr="00976558">
        <w:rPr>
          <w:rFonts w:hint="cs"/>
          <w:rtl/>
        </w:rPr>
        <w:t xml:space="preserve"> רבות ו</w:t>
      </w:r>
      <w:r w:rsidRPr="00976558">
        <w:rPr>
          <w:rFonts w:hint="eastAsia"/>
          <w:rtl/>
        </w:rPr>
        <w:t>השלכות</w:t>
      </w:r>
      <w:r w:rsidRPr="00976558">
        <w:rPr>
          <w:rtl/>
        </w:rPr>
        <w:t xml:space="preserve"> </w:t>
      </w:r>
      <w:r w:rsidRPr="00976558">
        <w:rPr>
          <w:rFonts w:hint="eastAsia"/>
          <w:rtl/>
        </w:rPr>
        <w:t>חריפות</w:t>
      </w:r>
      <w:r w:rsidRPr="00976558">
        <w:rPr>
          <w:rtl/>
        </w:rPr>
        <w:t>. הג</w:t>
      </w:r>
      <w:r w:rsidR="00976558" w:rsidRPr="00976558">
        <w:rPr>
          <w:rtl/>
        </w:rPr>
        <w:t>בלת החשבון משבשת את חייו של בעל</w:t>
      </w:r>
      <w:r w:rsidR="00976558" w:rsidRPr="00976558">
        <w:rPr>
          <w:rFonts w:hint="cs"/>
          <w:rtl/>
        </w:rPr>
        <w:t>יו</w:t>
      </w:r>
      <w:r w:rsidRPr="00976558">
        <w:rPr>
          <w:rtl/>
        </w:rPr>
        <w:t xml:space="preserve"> ופוגעת במוניטין שלו.</w:t>
      </w:r>
    </w:p>
    <w:p w14:paraId="105005B4" w14:textId="1B1B0722" w:rsidR="00C26C91" w:rsidRPr="00976558" w:rsidRDefault="00C26C91" w:rsidP="00234C09">
      <w:pPr>
        <w:pStyle w:val="Hesber"/>
        <w:spacing w:line="240" w:lineRule="auto"/>
        <w:rPr>
          <w:rtl/>
        </w:rPr>
      </w:pPr>
      <w:r w:rsidRPr="00976558">
        <w:rPr>
          <w:rFonts w:hint="eastAsia"/>
          <w:rtl/>
        </w:rPr>
        <w:t>בעקבות</w:t>
      </w:r>
      <w:r w:rsidRPr="00976558">
        <w:rPr>
          <w:rtl/>
        </w:rPr>
        <w:t xml:space="preserve"> התפשטות נגיף הקורונה, נוצר מצב חירום שצמצם מאד את הפעילות במשק והשפיע על מצבם הכלכלי של רבים. בהמשך לכך</w:t>
      </w:r>
      <w:r w:rsidR="00B265E8">
        <w:rPr>
          <w:rFonts w:hint="cs"/>
          <w:rtl/>
        </w:rPr>
        <w:t>,</w:t>
      </w:r>
      <w:r w:rsidRPr="00976558">
        <w:rPr>
          <w:rtl/>
        </w:rPr>
        <w:t xml:space="preserve"> חלה עלייה משמעותית במספר השיקים שחזרו</w:t>
      </w:r>
      <w:r w:rsidR="00B265E8">
        <w:rPr>
          <w:rtl/>
        </w:rPr>
        <w:t>, ובמספר החשבונות שהוגבלו</w:t>
      </w:r>
      <w:r w:rsidRPr="00976558">
        <w:rPr>
          <w:rtl/>
        </w:rPr>
        <w:t xml:space="preserve"> </w:t>
      </w:r>
      <w:r w:rsidR="00B265E8">
        <w:rPr>
          <w:rFonts w:hint="cs"/>
          <w:rtl/>
        </w:rPr>
        <w:t>ו</w:t>
      </w:r>
      <w:r w:rsidR="0084485F">
        <w:rPr>
          <w:rFonts w:hint="cs"/>
          <w:rtl/>
        </w:rPr>
        <w:t>לקוחות</w:t>
      </w:r>
      <w:r w:rsidR="00ED25EE">
        <w:rPr>
          <w:rFonts w:hint="cs"/>
          <w:rtl/>
        </w:rPr>
        <w:t xml:space="preserve"> </w:t>
      </w:r>
      <w:r w:rsidRPr="00976558">
        <w:rPr>
          <w:rtl/>
        </w:rPr>
        <w:t xml:space="preserve">רבים וביניהם עצמאים בעלי משפחות ועסקים קטנים </w:t>
      </w:r>
      <w:r w:rsidR="00976558" w:rsidRPr="00976558">
        <w:rPr>
          <w:rFonts w:hint="cs"/>
          <w:rtl/>
        </w:rPr>
        <w:t>מצאו</w:t>
      </w:r>
      <w:r w:rsidR="00976558" w:rsidRPr="00976558">
        <w:rPr>
          <w:rtl/>
        </w:rPr>
        <w:t xml:space="preserve"> את חשבונותיהם מוגבלים, באופן ש</w:t>
      </w:r>
      <w:r w:rsidR="00976558" w:rsidRPr="00976558">
        <w:rPr>
          <w:rFonts w:hint="cs"/>
          <w:rtl/>
        </w:rPr>
        <w:t>ה</w:t>
      </w:r>
      <w:r w:rsidRPr="00976558">
        <w:rPr>
          <w:rtl/>
        </w:rPr>
        <w:t xml:space="preserve">קשה על המשך התנהלותם. </w:t>
      </w:r>
    </w:p>
    <w:p w14:paraId="69966CDB" w14:textId="2C3A8634" w:rsidR="00976558" w:rsidRDefault="00847252" w:rsidP="00234C09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 xml:space="preserve">במהלך המשבר הוחלו הקלות מסוימות בתנאים להגבלת חשבון אך תוקפן של ההוראות המקלות חלף. </w:t>
      </w:r>
      <w:r w:rsidR="00976558">
        <w:rPr>
          <w:rFonts w:hint="cs"/>
          <w:rtl/>
        </w:rPr>
        <w:t>נוכח עומק המשבר</w:t>
      </w:r>
      <w:r w:rsidR="0021464B">
        <w:rPr>
          <w:rFonts w:hint="cs"/>
          <w:rtl/>
        </w:rPr>
        <w:t xml:space="preserve"> שעודנו פוקד אותנו</w:t>
      </w:r>
      <w:r w:rsidR="00976558">
        <w:rPr>
          <w:rFonts w:hint="cs"/>
          <w:rtl/>
        </w:rPr>
        <w:t xml:space="preserve"> ונוכח </w:t>
      </w:r>
      <w:proofErr w:type="spellStart"/>
      <w:r w:rsidR="00976558">
        <w:rPr>
          <w:rFonts w:hint="cs"/>
          <w:rtl/>
        </w:rPr>
        <w:t>הנפקו</w:t>
      </w:r>
      <w:r w:rsidR="00B265E8">
        <w:rPr>
          <w:rFonts w:hint="cs"/>
          <w:rtl/>
        </w:rPr>
        <w:t>יות</w:t>
      </w:r>
      <w:proofErr w:type="spellEnd"/>
      <w:r w:rsidR="00B265E8">
        <w:rPr>
          <w:rFonts w:hint="cs"/>
          <w:rtl/>
        </w:rPr>
        <w:t xml:space="preserve"> הרבות</w:t>
      </w:r>
      <w:r w:rsidR="0021464B">
        <w:rPr>
          <w:rFonts w:hint="cs"/>
          <w:rtl/>
        </w:rPr>
        <w:t xml:space="preserve"> שיש להגבלת חשבונות, מוצע לקבוע </w:t>
      </w:r>
      <w:r w:rsidR="00976558">
        <w:rPr>
          <w:rFonts w:hint="cs"/>
          <w:rtl/>
        </w:rPr>
        <w:t>שינוי</w:t>
      </w:r>
      <w:r w:rsidR="0021464B">
        <w:rPr>
          <w:rFonts w:hint="cs"/>
          <w:rtl/>
        </w:rPr>
        <w:t>ים</w:t>
      </w:r>
      <w:r w:rsidR="00976558">
        <w:rPr>
          <w:rFonts w:hint="cs"/>
          <w:rtl/>
        </w:rPr>
        <w:t xml:space="preserve"> בתנאים להגבלת חש</w:t>
      </w:r>
      <w:r w:rsidR="0021464B">
        <w:rPr>
          <w:rFonts w:hint="cs"/>
          <w:rtl/>
        </w:rPr>
        <w:t>בון באופן שיקל על בעלי החשבונות.</w:t>
      </w:r>
    </w:p>
    <w:p w14:paraId="79232523" w14:textId="65851D8C" w:rsidR="00C26C91" w:rsidRPr="00976558" w:rsidRDefault="00976558" w:rsidP="00234C09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>לפיכך, מוצע</w:t>
      </w:r>
      <w:r w:rsidR="00C26C91" w:rsidRPr="00976558">
        <w:rPr>
          <w:rFonts w:hint="cs"/>
          <w:rtl/>
        </w:rPr>
        <w:t xml:space="preserve"> לתקן את סעיף 2 לחוק ולהגדיל את מספר השיקים המסורבים </w:t>
      </w:r>
      <w:r>
        <w:rPr>
          <w:rFonts w:hint="cs"/>
          <w:rtl/>
        </w:rPr>
        <w:t xml:space="preserve">הדרושים </w:t>
      </w:r>
      <w:r w:rsidR="00C26C91" w:rsidRPr="00976558">
        <w:rPr>
          <w:rFonts w:hint="cs"/>
          <w:rtl/>
        </w:rPr>
        <w:t>כדי ל</w:t>
      </w:r>
      <w:r>
        <w:rPr>
          <w:rFonts w:hint="cs"/>
          <w:rtl/>
        </w:rPr>
        <w:t>הכריז על לקוח כלקוח מוגבל, ומוצע לת</w:t>
      </w:r>
      <w:r w:rsidR="0021464B">
        <w:rPr>
          <w:rFonts w:hint="cs"/>
          <w:rtl/>
        </w:rPr>
        <w:t>קן את סעיף 10, כך שניתן יהיה לב</w:t>
      </w:r>
      <w:r>
        <w:rPr>
          <w:rFonts w:hint="cs"/>
          <w:rtl/>
        </w:rPr>
        <w:t>ק</w:t>
      </w:r>
      <w:r w:rsidR="0021464B">
        <w:rPr>
          <w:rFonts w:hint="cs"/>
          <w:rtl/>
        </w:rPr>
        <w:t>ש</w:t>
      </w:r>
      <w:r>
        <w:rPr>
          <w:rFonts w:hint="cs"/>
          <w:rtl/>
        </w:rPr>
        <w:t xml:space="preserve"> מבית המשפט שיבטל הבאת שיקים במניין השיקים </w:t>
      </w:r>
      <w:proofErr w:type="spellStart"/>
      <w:r>
        <w:rPr>
          <w:rFonts w:hint="cs"/>
          <w:rtl/>
        </w:rPr>
        <w:t>שסורבו</w:t>
      </w:r>
      <w:proofErr w:type="spellEnd"/>
      <w:r>
        <w:rPr>
          <w:rFonts w:hint="cs"/>
          <w:rtl/>
        </w:rPr>
        <w:t xml:space="preserve"> בתנאי שמתקיימות נסיבות מיוחדות ל</w:t>
      </w:r>
      <w:r w:rsidR="0021464B">
        <w:rPr>
          <w:rFonts w:hint="cs"/>
          <w:rtl/>
        </w:rPr>
        <w:t>ס</w:t>
      </w:r>
      <w:r w:rsidR="0084485F">
        <w:rPr>
          <w:rFonts w:hint="cs"/>
          <w:rtl/>
        </w:rPr>
        <w:t>ירוב.</w:t>
      </w:r>
    </w:p>
    <w:p w14:paraId="5454A919" w14:textId="3172048E" w:rsidR="00C26C91" w:rsidRPr="00976558" w:rsidRDefault="00976558" w:rsidP="00234C09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>הצעה זו עולה בקנה אחד עם פסיקות שניתנו</w:t>
      </w:r>
      <w:r w:rsidR="00C26C91" w:rsidRPr="00976558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C26C91" w:rsidRPr="00976558">
        <w:rPr>
          <w:rFonts w:hint="cs"/>
          <w:rtl/>
        </w:rPr>
        <w:t xml:space="preserve">בתי המשפט </w:t>
      </w:r>
      <w:r>
        <w:rPr>
          <w:rFonts w:hint="cs"/>
          <w:rtl/>
        </w:rPr>
        <w:t>שקבעו שרשימת התנאים לבקשה מבית המשפט שלא למנות שיקים מס</w:t>
      </w:r>
      <w:r w:rsidR="0021464B">
        <w:rPr>
          <w:rFonts w:hint="cs"/>
          <w:rtl/>
        </w:rPr>
        <w:t>וימים במניין השיקים המסורבים היא לא</w:t>
      </w:r>
      <w:r>
        <w:rPr>
          <w:rFonts w:hint="cs"/>
          <w:rtl/>
        </w:rPr>
        <w:t xml:space="preserve"> רשימה סגורה.</w:t>
      </w:r>
      <w:r w:rsidR="00C26C91" w:rsidRPr="00976558">
        <w:rPr>
          <w:rFonts w:hint="cs"/>
          <w:rtl/>
        </w:rPr>
        <w:t xml:space="preserve"> בתי המשפט נ</w:t>
      </w:r>
      <w:r w:rsidR="00096F62" w:rsidRPr="00976558">
        <w:rPr>
          <w:rFonts w:hint="cs"/>
          <w:rtl/>
        </w:rPr>
        <w:t>והגים לבטל סירוב שיקים מחמת צדק</w:t>
      </w:r>
      <w:r w:rsidR="00C26C91" w:rsidRPr="00976558">
        <w:rPr>
          <w:rFonts w:hint="cs"/>
          <w:rtl/>
        </w:rPr>
        <w:t xml:space="preserve">, ובתי המשפט ומספר מלומדים כבר השמיעו במספר הזדמנויות קריאה למחוקק לתקן את החוק בהתאם לפסיקות בתי המשפט. </w:t>
      </w:r>
    </w:p>
    <w:p w14:paraId="4B1440F5" w14:textId="77777777" w:rsidR="00450508" w:rsidRDefault="00234C09" w:rsidP="00234C09">
      <w:pPr>
        <w:spacing w:line="240" w:lineRule="auto"/>
        <w:jc w:val="left"/>
      </w:pPr>
      <w:bookmarkStart w:id="8" w:name="selectedDocDateB"/>
      <w:bookmarkEnd w:id="8"/>
      <w:r>
        <w:rPr>
          <w:rFonts w:eastAsia="David" w:hint="cs"/>
          <w:sz w:val="26"/>
          <w:szCs w:val="26"/>
          <w:rtl/>
        </w:rPr>
        <w:t>--------------------------------</w:t>
      </w:r>
    </w:p>
    <w:p w14:paraId="630CC2AE" w14:textId="77777777" w:rsidR="00450508" w:rsidRDefault="00234C09" w:rsidP="00234C09">
      <w:pPr>
        <w:spacing w:line="240" w:lineRule="auto"/>
        <w:jc w:val="left"/>
      </w:pPr>
      <w:r>
        <w:rPr>
          <w:rFonts w:eastAsia="David" w:hint="cs"/>
          <w:sz w:val="26"/>
          <w:szCs w:val="26"/>
          <w:rtl/>
        </w:rPr>
        <w:t>הוגשה ליו"ר הכנסת והסגנים</w:t>
      </w:r>
    </w:p>
    <w:p w14:paraId="7B957894" w14:textId="77777777" w:rsidR="00450508" w:rsidRDefault="00234C09" w:rsidP="00234C09">
      <w:pPr>
        <w:spacing w:line="240" w:lineRule="auto"/>
        <w:jc w:val="left"/>
      </w:pPr>
      <w:r>
        <w:rPr>
          <w:rFonts w:eastAsia="David" w:hint="cs"/>
          <w:sz w:val="26"/>
          <w:szCs w:val="26"/>
          <w:rtl/>
        </w:rPr>
        <w:t>והונחה על שולחן הכנסת ביום</w:t>
      </w:r>
    </w:p>
    <w:p w14:paraId="395D4B08" w14:textId="592065D8" w:rsidR="00450508" w:rsidRDefault="00234C09" w:rsidP="00234C09">
      <w:pPr>
        <w:spacing w:line="240" w:lineRule="auto"/>
        <w:jc w:val="left"/>
      </w:pPr>
      <w:r>
        <w:rPr>
          <w:rFonts w:eastAsia="David" w:hint="cs"/>
          <w:sz w:val="26"/>
          <w:szCs w:val="26"/>
          <w:rtl/>
        </w:rPr>
        <w:t xml:space="preserve">י"ח בכסלו </w:t>
      </w:r>
      <w:proofErr w:type="spellStart"/>
      <w:r>
        <w:rPr>
          <w:rFonts w:eastAsia="David" w:hint="cs"/>
          <w:sz w:val="26"/>
          <w:szCs w:val="26"/>
          <w:rtl/>
        </w:rPr>
        <w:t>התשפ"ב</w:t>
      </w:r>
      <w:proofErr w:type="spellEnd"/>
      <w:r>
        <w:rPr>
          <w:rFonts w:eastAsia="David" w:hint="cs"/>
          <w:sz w:val="26"/>
          <w:szCs w:val="26"/>
          <w:rtl/>
        </w:rPr>
        <w:t xml:space="preserve"> (22.11.2021) </w:t>
      </w:r>
      <w:bookmarkStart w:id="9" w:name="_GoBack"/>
      <w:bookmarkEnd w:id="9"/>
    </w:p>
    <w:sectPr w:rsidR="00450508" w:rsidSect="00234C09">
      <w:footerReference w:type="even" r:id="rId11"/>
      <w:footerReference w:type="default" r:id="rId12"/>
      <w:pgSz w:w="11907" w:h="16840" w:code="9"/>
      <w:pgMar w:top="1701" w:right="1134" w:bottom="1417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234C09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 w:rsidP="00234C09">
      <w:pPr>
        <w:ind w:left="0"/>
      </w:pPr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1B96AC58" w14:textId="77777777" w:rsidR="00C26C91" w:rsidRDefault="00C26C91" w:rsidP="00C26C91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התשמ"א</w:t>
      </w:r>
      <w:proofErr w:type="spellEnd"/>
      <w:r>
        <w:rPr>
          <w:rFonts w:hint="cs"/>
          <w:rtl/>
        </w:rPr>
        <w:t>, עמ' 136.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B28B0"/>
    <w:multiLevelType w:val="hybridMultilevel"/>
    <w:tmpl w:val="41ACEA96"/>
    <w:lvl w:ilvl="0" w:tplc="06A8C010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96F62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464B"/>
    <w:rsid w:val="0021633A"/>
    <w:rsid w:val="002200A1"/>
    <w:rsid w:val="00234C09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1A7C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4B55"/>
    <w:rsid w:val="00396585"/>
    <w:rsid w:val="003D6E38"/>
    <w:rsid w:val="003D74A0"/>
    <w:rsid w:val="004033D8"/>
    <w:rsid w:val="004073F0"/>
    <w:rsid w:val="00412A7D"/>
    <w:rsid w:val="00416B4D"/>
    <w:rsid w:val="00417CFC"/>
    <w:rsid w:val="00450508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05B8C"/>
    <w:rsid w:val="00810BCD"/>
    <w:rsid w:val="00812C98"/>
    <w:rsid w:val="00814D92"/>
    <w:rsid w:val="0083181D"/>
    <w:rsid w:val="00843EB2"/>
    <w:rsid w:val="0084485F"/>
    <w:rsid w:val="00847252"/>
    <w:rsid w:val="00865572"/>
    <w:rsid w:val="00874BBC"/>
    <w:rsid w:val="00892135"/>
    <w:rsid w:val="00895449"/>
    <w:rsid w:val="00897879"/>
    <w:rsid w:val="008A6870"/>
    <w:rsid w:val="008C2DDC"/>
    <w:rsid w:val="008C7516"/>
    <w:rsid w:val="008E29F2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76558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265E8"/>
    <w:rsid w:val="00B35784"/>
    <w:rsid w:val="00B733A7"/>
    <w:rsid w:val="00B75C91"/>
    <w:rsid w:val="00B975AD"/>
    <w:rsid w:val="00BC45FB"/>
    <w:rsid w:val="00BF148D"/>
    <w:rsid w:val="00C23B1A"/>
    <w:rsid w:val="00C26C91"/>
    <w:rsid w:val="00C310EB"/>
    <w:rsid w:val="00C9176A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5990"/>
    <w:rsid w:val="00E665B9"/>
    <w:rsid w:val="00EA01E6"/>
    <w:rsid w:val="00EA3DE8"/>
    <w:rsid w:val="00EA758F"/>
    <w:rsid w:val="00ED25EE"/>
    <w:rsid w:val="00ED4A6F"/>
    <w:rsid w:val="00EE53F9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94741CF4-DBE5-439F-A32F-8830CDFC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09"/>
    <w:pPr>
      <w:widowControl w:val="0"/>
      <w:bidi/>
      <w:spacing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4C09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234C09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234C09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234C09"/>
    <w:pPr>
      <w:numPr>
        <w:numId w:val="18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34C09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  <w:rsid w:val="00234C0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34C09"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234C09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234C09"/>
    <w:rPr>
      <w:sz w:val="36"/>
      <w:szCs w:val="52"/>
    </w:rPr>
  </w:style>
  <w:style w:type="paragraph" w:customStyle="1" w:styleId="Cover3-Haknesset">
    <w:name w:val="Cover 3-Haknesset"/>
    <w:basedOn w:val="Cover1-Reshumot"/>
    <w:rsid w:val="00234C09"/>
    <w:rPr>
      <w:b/>
      <w:bCs/>
      <w:spacing w:val="60"/>
    </w:rPr>
  </w:style>
  <w:style w:type="paragraph" w:customStyle="1" w:styleId="Cover4-Date">
    <w:name w:val="Cover 4-Date"/>
    <w:basedOn w:val="a"/>
    <w:rsid w:val="00234C09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234C09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234C09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234C09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234C09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234C09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234C09"/>
    <w:pPr>
      <w:outlineLvl w:val="2"/>
    </w:pPr>
  </w:style>
  <w:style w:type="paragraph" w:customStyle="1" w:styleId="TableBlock">
    <w:name w:val="Table Block"/>
    <w:basedOn w:val="TableText"/>
    <w:rsid w:val="00234C09"/>
    <w:pPr>
      <w:jc w:val="both"/>
    </w:pPr>
  </w:style>
  <w:style w:type="paragraph" w:customStyle="1" w:styleId="TableHead">
    <w:name w:val="Table Head"/>
    <w:basedOn w:val="TableText"/>
    <w:rsid w:val="00234C09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234C09"/>
    <w:pPr>
      <w:outlineLvl w:val="9"/>
    </w:pPr>
  </w:style>
  <w:style w:type="paragraph" w:customStyle="1" w:styleId="Hesber">
    <w:name w:val="Hesber"/>
    <w:basedOn w:val="a"/>
    <w:rsid w:val="00234C09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234C09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234C09"/>
    <w:rPr>
      <w:vertAlign w:val="superscript"/>
    </w:rPr>
  </w:style>
  <w:style w:type="paragraph" w:customStyle="1" w:styleId="HesberHeading">
    <w:name w:val="Hesber Heading"/>
    <w:basedOn w:val="Hesber"/>
    <w:rsid w:val="00234C09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234C09"/>
    <w:pPr>
      <w:spacing w:before="120" w:after="12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234C09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234C09"/>
    <w:rPr>
      <w:vertAlign w:val="superscript"/>
    </w:rPr>
  </w:style>
  <w:style w:type="paragraph" w:customStyle="1" w:styleId="TableBlockOutdent">
    <w:name w:val="Table BlockOutdent"/>
    <w:basedOn w:val="TableBlock"/>
    <w:rsid w:val="00234C09"/>
    <w:pPr>
      <w:ind w:left="624" w:hanging="624"/>
    </w:pPr>
  </w:style>
  <w:style w:type="paragraph" w:styleId="a8">
    <w:name w:val="header"/>
    <w:basedOn w:val="a"/>
    <w:rsid w:val="00234C09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234C09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234C09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234C09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b">
    <w:name w:val="page number"/>
    <w:basedOn w:val="a0"/>
    <w:rsid w:val="00234C09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C26C91"/>
    <w:rPr>
      <w:rFonts w:ascii="Arial" w:eastAsia="Arial Unicode MS" w:hAnsi="Arial" w:cs="David"/>
      <w:snapToGrid w:val="0"/>
      <w:sz w:val="14"/>
    </w:rPr>
  </w:style>
  <w:style w:type="character" w:customStyle="1" w:styleId="10">
    <w:name w:val="כותרת 1 תו"/>
    <w:basedOn w:val="a0"/>
    <w:link w:val="1"/>
    <w:uiPriority w:val="9"/>
    <w:rsid w:val="00234C09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234C09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234C09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234C09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234C09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234C09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234C09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234C09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234C09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234C09"/>
    <w:pPr>
      <w:numPr>
        <w:numId w:val="21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234C09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234C09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234C09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234C09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234C09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234C09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234C09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234C09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234C09"/>
    <w:rPr>
      <w:rFonts w:eastAsia="Times New Roman"/>
    </w:rPr>
  </w:style>
  <w:style w:type="paragraph" w:styleId="af">
    <w:name w:val="List Paragraph"/>
    <w:basedOn w:val="a"/>
    <w:uiPriority w:val="34"/>
    <w:qFormat/>
    <w:rsid w:val="00234C09"/>
    <w:pPr>
      <w:widowControl/>
      <w:spacing w:line="259" w:lineRule="auto"/>
    </w:pPr>
    <w:rPr>
      <w:rFonts w:asciiTheme="minorHAnsi" w:hAnsiTheme="minorHAnsi"/>
      <w:sz w:val="22"/>
    </w:rPr>
  </w:style>
  <w:style w:type="table" w:styleId="af0">
    <w:name w:val="Table Grid"/>
    <w:basedOn w:val="a1"/>
    <w:rsid w:val="0023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234C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234C0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1">
    <w:name w:val="טבלת חקיקה"/>
    <w:basedOn w:val="a1"/>
    <w:uiPriority w:val="99"/>
    <w:rsid w:val="00234C09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234C09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BE13442BF316646AF5951F2A6F4E844" ma:contentTypeVersion="" ma:contentTypeDescription="צור מסמך חדש." ma:contentTypeScope="" ma:versionID="3e09f08e861ef8c9ca8a66bc33319a22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d7dd2f529bbe50785394ddfd47ca1ac1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8EA0-E0CE-41F6-9071-97301E57C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0d5b49-c690-4c6f-bbb9-1e50dab33ee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74226-24CD-4243-91E1-C4EB379E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טליה ווייס עמר</cp:lastModifiedBy>
  <cp:revision>16</cp:revision>
  <cp:lastPrinted>2021-11-08T13:53:00Z</cp:lastPrinted>
  <dcterms:created xsi:type="dcterms:W3CDTF">2015-04-20T09:58:00Z</dcterms:created>
  <dcterms:modified xsi:type="dcterms:W3CDTF">2021-11-18T07:07:00Z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0x010100ABE13442BF316646AF5951F2A6F4E844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2164167</vt:r8>
  </property>
</Properties>
</file>