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961A1" w14:textId="77777777" w:rsidR="002C2E29" w:rsidRPr="00E635A2" w:rsidRDefault="004033D8" w:rsidP="00E635A2">
      <w:pPr>
        <w:jc w:val="right"/>
        <w:rPr>
          <w:rFonts w:cs="David"/>
          <w:b/>
          <w:bCs/>
          <w:sz w:val="20"/>
          <w:szCs w:val="20"/>
        </w:rPr>
      </w:pPr>
      <w:r w:rsidRPr="00E635A2">
        <w:rPr>
          <w:rFonts w:cs="David" w:hint="cs"/>
          <w:sz w:val="20"/>
          <w:szCs w:val="20"/>
          <w:rtl/>
        </w:rPr>
        <w:t xml:space="preserve">מספר פנימי: </w:t>
      </w:r>
      <w:bookmarkStart w:id="0" w:name="LGS_Internal_ID"/>
      <w:r>
        <w:rPr>
          <w:rFonts w:cs="David" w:hint="cs"/>
          <w:sz w:val="20"/>
          <w:szCs w:val="20"/>
          <w:rtl/>
        </w:rPr>
        <w:t>2164635</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rFonts w:cs="David"/>
          <w:b/>
          <w:bCs/>
          <w:sz w:val="26"/>
          <w:szCs w:val="26"/>
          <w:rtl/>
        </w:rPr>
      </w:pPr>
    </w:p>
    <w:p w14:paraId="7F6961A6" w14:textId="77777777" w:rsidR="00E13C27" w:rsidRDefault="008F6665" w:rsidP="00930EFE">
      <w:pPr>
        <w:pStyle w:val="David"/>
        <w:spacing w:line="360" w:lineRule="auto"/>
        <w:ind w:left="3544"/>
        <w:rPr>
          <w:b/>
          <w:bCs/>
          <w:rtl/>
        </w:rPr>
      </w:pPr>
      <w:bookmarkStart w:id="2" w:name="LGS_Initiators_List"/>
      <w:r>
        <w:rPr>
          <w:b/>
          <w:bCs/>
          <w:rtl/>
        </w:rPr>
        <w:t>יוזם:</w:t>
      </w:r>
      <w:r>
        <w:tab/>
      </w:r>
      <w:r>
        <w:rPr>
          <w:b/>
          <w:bCs/>
          <w:rtl/>
        </w:rPr>
        <w:t xml:space="preserve">      חבר הכנסת</w:t>
      </w:r>
      <w:bookmarkEnd w:id="2"/>
      <w:r w:rsidR="00B35784" w:rsidRPr="00F67051">
        <w:rPr>
          <w:b/>
          <w:bCs/>
        </w:rPr>
        <w:tab/>
      </w:r>
      <w:bookmarkStart w:id="3" w:name="LGS_PM_Names"/>
      <w:r>
        <w:rPr>
          <w:rFonts w:hint="cs"/>
          <w:b/>
          <w:bCs/>
          <w:rtl/>
        </w:rPr>
        <w:t>משה טור פז</w:t>
      </w:r>
      <w:bookmarkEnd w:id="3"/>
    </w:p>
    <w:p w14:paraId="34DB4103" w14:textId="77777777" w:rsidR="00904591" w:rsidRPr="00904591" w:rsidRDefault="00266D86" w:rsidP="0036422C">
      <w:pPr>
        <w:pStyle w:val="David"/>
        <w:spacing w:before="0" w:line="360" w:lineRule="auto"/>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256138AA" w:rsidR="00E13C27" w:rsidRPr="00E06736" w:rsidRDefault="00904591" w:rsidP="00904591">
      <w:pPr>
        <w:pStyle w:val="David"/>
        <w:spacing w:before="0" w:line="240" w:lineRule="auto"/>
        <w:ind w:left="3544"/>
        <w:rPr>
          <w:rtl/>
        </w:rPr>
      </w:pPr>
      <w:r>
        <w:t xml:space="preserve">                                            </w:t>
      </w:r>
      <w:r w:rsidR="008F1308">
        <w:t xml:space="preserve"> </w:t>
      </w:r>
      <w:bookmarkStart w:id="4" w:name="Private_Number"/>
      <w:r>
        <w:rPr>
          <w:rFonts w:hint="cs"/>
          <w:rtl/>
        </w:rPr>
        <w:t>פ/2497/24</w:t>
      </w:r>
      <w:bookmarkEnd w:id="4"/>
    </w:p>
    <w:p w14:paraId="7F6961AD" w14:textId="2D8E7E1C" w:rsidR="00E13C27" w:rsidRPr="00F67051" w:rsidRDefault="00A443CF" w:rsidP="00636C51">
      <w:pPr>
        <w:pStyle w:val="HeadHatzaotHok"/>
        <w:rPr>
          <w:rtl/>
        </w:rPr>
      </w:pPr>
      <w:bookmarkStart w:id="5" w:name="LGS_Subject"/>
      <w:r>
        <w:rPr>
          <w:rFonts w:hint="cs"/>
          <w:rtl/>
        </w:rPr>
        <w:t xml:space="preserve">הצעת חוק לתיקון פקודת העדה הדתית (המרה) (גיור על ידי רב עיר), </w:t>
      </w:r>
      <w:proofErr w:type="spellStart"/>
      <w:r>
        <w:rPr>
          <w:rFonts w:hint="cs"/>
          <w:rtl/>
        </w:rPr>
        <w:t>התשפ"ב</w:t>
      </w:r>
      <w:proofErr w:type="spellEnd"/>
      <w:r>
        <w:rPr>
          <w:rFonts w:hint="cs"/>
          <w:rtl/>
        </w:rPr>
        <w:t>–2021</w:t>
      </w:r>
      <w:bookmarkEnd w:id="5"/>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1871"/>
        <w:gridCol w:w="624"/>
        <w:gridCol w:w="4648"/>
      </w:tblGrid>
      <w:tr w:rsidR="004724BD" w14:paraId="2CBE7B60" w14:textId="77777777" w:rsidTr="000C4460">
        <w:trPr>
          <w:cantSplit/>
        </w:trPr>
        <w:tc>
          <w:tcPr>
            <w:tcW w:w="1871" w:type="dxa"/>
            <w:hideMark/>
          </w:tcPr>
          <w:p w14:paraId="5EFFDCC6" w14:textId="77777777" w:rsidR="004724BD" w:rsidRDefault="004724BD">
            <w:pPr>
              <w:pStyle w:val="TableSideHeading"/>
              <w:rPr>
                <w:rtl/>
              </w:rPr>
            </w:pPr>
            <w:r>
              <w:rPr>
                <w:rtl/>
              </w:rPr>
              <w:t>הוספת סעיף 1א</w:t>
            </w:r>
          </w:p>
        </w:tc>
        <w:tc>
          <w:tcPr>
            <w:tcW w:w="624" w:type="dxa"/>
            <w:hideMark/>
          </w:tcPr>
          <w:p w14:paraId="18C58674" w14:textId="77777777" w:rsidR="004724BD" w:rsidRDefault="004724BD">
            <w:pPr>
              <w:pStyle w:val="TableText"/>
            </w:pPr>
            <w:r>
              <w:rPr>
                <w:rtl/>
              </w:rPr>
              <w:t xml:space="preserve">1. </w:t>
            </w:r>
          </w:p>
        </w:tc>
        <w:tc>
          <w:tcPr>
            <w:tcW w:w="7143" w:type="dxa"/>
            <w:gridSpan w:val="3"/>
            <w:hideMark/>
          </w:tcPr>
          <w:p w14:paraId="6CC3C08B" w14:textId="77777777" w:rsidR="004724BD" w:rsidRDefault="004724BD">
            <w:pPr>
              <w:pStyle w:val="TableBlock"/>
            </w:pPr>
            <w:r>
              <w:rPr>
                <w:rtl/>
              </w:rPr>
              <w:t>בפקודת העדה הדתית (המרה)</w:t>
            </w:r>
            <w:r>
              <w:rPr>
                <w:rStyle w:val="a6"/>
                <w:rFonts w:ascii="David" w:hAnsi="David"/>
                <w:sz w:val="26"/>
                <w:rtl/>
              </w:rPr>
              <w:footnoteReference w:id="2"/>
            </w:r>
            <w:r>
              <w:rPr>
                <w:rtl/>
              </w:rPr>
              <w:t xml:space="preserve"> (להלן – הפקודה), אחרי סעיף 1 יבוא:</w:t>
            </w:r>
          </w:p>
        </w:tc>
      </w:tr>
      <w:tr w:rsidR="004724BD" w14:paraId="12B304BA" w14:textId="77777777" w:rsidTr="000C4460">
        <w:trPr>
          <w:cantSplit/>
        </w:trPr>
        <w:tc>
          <w:tcPr>
            <w:tcW w:w="1871" w:type="dxa"/>
          </w:tcPr>
          <w:p w14:paraId="228FD47D" w14:textId="77777777" w:rsidR="004724BD" w:rsidRDefault="004724BD">
            <w:pPr>
              <w:pStyle w:val="TableSideHeading"/>
            </w:pPr>
          </w:p>
        </w:tc>
        <w:tc>
          <w:tcPr>
            <w:tcW w:w="624" w:type="dxa"/>
          </w:tcPr>
          <w:p w14:paraId="02D7853F" w14:textId="77777777" w:rsidR="004724BD" w:rsidRDefault="004724BD">
            <w:pPr>
              <w:pStyle w:val="TableText"/>
              <w:rPr>
                <w:rtl/>
              </w:rPr>
            </w:pPr>
          </w:p>
        </w:tc>
        <w:tc>
          <w:tcPr>
            <w:tcW w:w="1871" w:type="dxa"/>
            <w:hideMark/>
          </w:tcPr>
          <w:p w14:paraId="211F8074" w14:textId="77777777" w:rsidR="004724BD" w:rsidRDefault="004724BD">
            <w:pPr>
              <w:pStyle w:val="TableInnerSideHeading"/>
              <w:rPr>
                <w:rtl/>
              </w:rPr>
            </w:pPr>
            <w:r>
              <w:rPr>
                <w:rtl/>
              </w:rPr>
              <w:t>"הגדרות</w:t>
            </w:r>
          </w:p>
        </w:tc>
        <w:tc>
          <w:tcPr>
            <w:tcW w:w="624" w:type="dxa"/>
            <w:hideMark/>
          </w:tcPr>
          <w:p w14:paraId="508FAF52" w14:textId="77777777" w:rsidR="004724BD" w:rsidRDefault="004724BD">
            <w:pPr>
              <w:pStyle w:val="TableText"/>
              <w:rPr>
                <w:rtl/>
              </w:rPr>
            </w:pPr>
            <w:r>
              <w:rPr>
                <w:rtl/>
              </w:rPr>
              <w:t>1א.</w:t>
            </w:r>
          </w:p>
        </w:tc>
        <w:tc>
          <w:tcPr>
            <w:tcW w:w="4648" w:type="dxa"/>
            <w:hideMark/>
          </w:tcPr>
          <w:p w14:paraId="3345AAB7" w14:textId="081BB2F0" w:rsidR="004724BD" w:rsidRDefault="000C4460">
            <w:pPr>
              <w:pStyle w:val="TableBlock"/>
              <w:rPr>
                <w:rtl/>
              </w:rPr>
            </w:pPr>
            <w:r>
              <w:rPr>
                <w:rtl/>
              </w:rPr>
              <w:t>בפקודה זו</w:t>
            </w:r>
            <w:r>
              <w:rPr>
                <w:rFonts w:hint="cs"/>
                <w:rtl/>
              </w:rPr>
              <w:t>,</w:t>
            </w:r>
            <w:r w:rsidR="004724BD">
              <w:rPr>
                <w:rtl/>
              </w:rPr>
              <w:t xml:space="preserve"> "רב עיר" – כהגדרתו בחוק הרבנות הראשית לישראל, </w:t>
            </w:r>
            <w:proofErr w:type="spellStart"/>
            <w:r w:rsidR="004724BD">
              <w:rPr>
                <w:rtl/>
              </w:rPr>
              <w:t>התש"ם</w:t>
            </w:r>
            <w:proofErr w:type="spellEnd"/>
            <w:r w:rsidR="004724BD">
              <w:rPr>
                <w:rtl/>
              </w:rPr>
              <w:t>–1980</w:t>
            </w:r>
            <w:r w:rsidR="004724BD">
              <w:rPr>
                <w:rStyle w:val="a6"/>
                <w:rFonts w:ascii="David" w:hAnsi="David"/>
                <w:sz w:val="26"/>
                <w:rtl/>
              </w:rPr>
              <w:footnoteReference w:id="3"/>
            </w:r>
            <w:r w:rsidR="004724BD">
              <w:rPr>
                <w:rtl/>
              </w:rPr>
              <w:t>, לרבות רב אזורי ורב יישוב כהגדרתם בסעיף 7 לאותו חוק.</w:t>
            </w:r>
            <w:r>
              <w:rPr>
                <w:rFonts w:hint="cs"/>
                <w:rtl/>
              </w:rPr>
              <w:t>"</w:t>
            </w:r>
          </w:p>
        </w:tc>
      </w:tr>
      <w:tr w:rsidR="004724BD" w14:paraId="11F195CE" w14:textId="77777777" w:rsidTr="000C4460">
        <w:trPr>
          <w:cantSplit/>
        </w:trPr>
        <w:tc>
          <w:tcPr>
            <w:tcW w:w="1871" w:type="dxa"/>
            <w:hideMark/>
          </w:tcPr>
          <w:p w14:paraId="78C909AA" w14:textId="77777777" w:rsidR="004724BD" w:rsidRDefault="004724BD">
            <w:pPr>
              <w:pStyle w:val="TableSideHeading"/>
              <w:rPr>
                <w:rtl/>
              </w:rPr>
            </w:pPr>
            <w:r>
              <w:rPr>
                <w:rtl/>
              </w:rPr>
              <w:t>תיקון סעיף 2</w:t>
            </w:r>
          </w:p>
        </w:tc>
        <w:tc>
          <w:tcPr>
            <w:tcW w:w="624" w:type="dxa"/>
            <w:hideMark/>
          </w:tcPr>
          <w:p w14:paraId="5384C481" w14:textId="77777777" w:rsidR="004724BD" w:rsidRDefault="004724BD">
            <w:pPr>
              <w:pStyle w:val="TableText"/>
            </w:pPr>
            <w:r>
              <w:rPr>
                <w:rtl/>
              </w:rPr>
              <w:t xml:space="preserve">2. </w:t>
            </w:r>
          </w:p>
        </w:tc>
        <w:tc>
          <w:tcPr>
            <w:tcW w:w="7143" w:type="dxa"/>
            <w:gridSpan w:val="3"/>
            <w:hideMark/>
          </w:tcPr>
          <w:p w14:paraId="27736B8C" w14:textId="5366CD5C" w:rsidR="004724BD" w:rsidRDefault="004724BD">
            <w:pPr>
              <w:pStyle w:val="TableBlock"/>
            </w:pPr>
            <w:r>
              <w:rPr>
                <w:rtl/>
              </w:rPr>
              <w:t>בס</w:t>
            </w:r>
            <w:r w:rsidR="000C4460">
              <w:rPr>
                <w:rtl/>
              </w:rPr>
              <w:t>עיף 2 לפקודה, אחרי סעיף קטן (1)</w:t>
            </w:r>
            <w:r>
              <w:rPr>
                <w:rtl/>
              </w:rPr>
              <w:t xml:space="preserve"> יבוא: </w:t>
            </w:r>
          </w:p>
        </w:tc>
      </w:tr>
      <w:tr w:rsidR="004724BD" w14:paraId="492B1C59" w14:textId="77777777" w:rsidTr="000C4460">
        <w:trPr>
          <w:cantSplit/>
        </w:trPr>
        <w:tc>
          <w:tcPr>
            <w:tcW w:w="1871" w:type="dxa"/>
          </w:tcPr>
          <w:p w14:paraId="7C0CBF4C" w14:textId="77777777" w:rsidR="004724BD" w:rsidRDefault="004724BD">
            <w:pPr>
              <w:pStyle w:val="TableSideHeading"/>
            </w:pPr>
          </w:p>
        </w:tc>
        <w:tc>
          <w:tcPr>
            <w:tcW w:w="624" w:type="dxa"/>
          </w:tcPr>
          <w:p w14:paraId="1013C10C" w14:textId="77777777" w:rsidR="004724BD" w:rsidRDefault="004724BD">
            <w:pPr>
              <w:pStyle w:val="TableText"/>
            </w:pPr>
          </w:p>
        </w:tc>
        <w:tc>
          <w:tcPr>
            <w:tcW w:w="7143" w:type="dxa"/>
            <w:gridSpan w:val="3"/>
            <w:hideMark/>
          </w:tcPr>
          <w:p w14:paraId="60E19557" w14:textId="15C3D01B" w:rsidR="004724BD" w:rsidRDefault="000C4460">
            <w:pPr>
              <w:pStyle w:val="TableBlock"/>
            </w:pPr>
            <w:r>
              <w:rPr>
                <w:rtl/>
              </w:rPr>
              <w:t>"(1א)</w:t>
            </w:r>
            <w:r>
              <w:rPr>
                <w:rtl/>
              </w:rPr>
              <w:tab/>
            </w:r>
            <w:r w:rsidR="004724BD">
              <w:rPr>
                <w:rtl/>
              </w:rPr>
              <w:t xml:space="preserve">לעניין פקודה זו רואים רב עיר כראש הסניף המקומי של העדה היהודית בשטח שבו הוא יושב. </w:t>
            </w:r>
          </w:p>
        </w:tc>
      </w:tr>
      <w:tr w:rsidR="004724BD" w14:paraId="64E92C8D" w14:textId="77777777" w:rsidTr="000C4460">
        <w:trPr>
          <w:cantSplit/>
        </w:trPr>
        <w:tc>
          <w:tcPr>
            <w:tcW w:w="1871" w:type="dxa"/>
          </w:tcPr>
          <w:p w14:paraId="15EB51D5" w14:textId="77777777" w:rsidR="004724BD" w:rsidRDefault="004724BD">
            <w:pPr>
              <w:pStyle w:val="TableSideHeading"/>
            </w:pPr>
          </w:p>
        </w:tc>
        <w:tc>
          <w:tcPr>
            <w:tcW w:w="624" w:type="dxa"/>
          </w:tcPr>
          <w:p w14:paraId="7FAF2780" w14:textId="77777777" w:rsidR="004724BD" w:rsidRDefault="004724BD">
            <w:pPr>
              <w:pStyle w:val="TableText"/>
            </w:pPr>
          </w:p>
        </w:tc>
        <w:tc>
          <w:tcPr>
            <w:tcW w:w="7143" w:type="dxa"/>
            <w:gridSpan w:val="3"/>
            <w:hideMark/>
          </w:tcPr>
          <w:p w14:paraId="7D8B5281" w14:textId="77777777" w:rsidR="004724BD" w:rsidRDefault="004724BD">
            <w:pPr>
              <w:pStyle w:val="TableBlock"/>
            </w:pPr>
            <w:r>
              <w:rPr>
                <w:rtl/>
              </w:rPr>
              <w:t>(1ב)</w:t>
            </w:r>
            <w:r>
              <w:rPr>
                <w:rtl/>
              </w:rPr>
              <w:tab/>
              <w:t>רב עיר רשאי להקים בית דין לגיור בשטח שבו הוא יושב.</w:t>
            </w:r>
          </w:p>
        </w:tc>
      </w:tr>
      <w:tr w:rsidR="004724BD" w14:paraId="7D2A4132" w14:textId="77777777" w:rsidTr="000C4460">
        <w:trPr>
          <w:cantSplit/>
        </w:trPr>
        <w:tc>
          <w:tcPr>
            <w:tcW w:w="1871" w:type="dxa"/>
          </w:tcPr>
          <w:p w14:paraId="605F09A4" w14:textId="77777777" w:rsidR="004724BD" w:rsidRDefault="004724BD">
            <w:pPr>
              <w:pStyle w:val="TableSideHeading"/>
            </w:pPr>
          </w:p>
        </w:tc>
        <w:tc>
          <w:tcPr>
            <w:tcW w:w="624" w:type="dxa"/>
          </w:tcPr>
          <w:p w14:paraId="3901D26A" w14:textId="77777777" w:rsidR="004724BD" w:rsidRDefault="004724BD">
            <w:pPr>
              <w:pStyle w:val="TableText"/>
            </w:pPr>
          </w:p>
        </w:tc>
        <w:tc>
          <w:tcPr>
            <w:tcW w:w="7143" w:type="dxa"/>
            <w:gridSpan w:val="3"/>
            <w:hideMark/>
          </w:tcPr>
          <w:p w14:paraId="15F1ED53" w14:textId="77777777" w:rsidR="004724BD" w:rsidRDefault="004724BD">
            <w:pPr>
              <w:pStyle w:val="TableBlock"/>
            </w:pPr>
            <w:r>
              <w:rPr>
                <w:rtl/>
              </w:rPr>
              <w:t>(1ג)</w:t>
            </w:r>
            <w:r>
              <w:rPr>
                <w:rtl/>
              </w:rPr>
              <w:tab/>
              <w:t xml:space="preserve">אישור רב עיר כי אדם המיר את דתו ונתקבל לעדה היהודית יחשב  כתעודת אישור לצורך פקודה זו ללא צורך בכל אישור נוסף." </w:t>
            </w:r>
          </w:p>
        </w:tc>
      </w:tr>
    </w:tbl>
    <w:p w14:paraId="7F6961CA" w14:textId="77777777" w:rsidR="002D1EE3" w:rsidRDefault="002D1EE3" w:rsidP="002D1EE3">
      <w:pPr>
        <w:pStyle w:val="HeadDivreiHesber"/>
        <w:rPr>
          <w:rtl/>
        </w:rPr>
      </w:pPr>
      <w:r w:rsidRPr="0027450A">
        <w:rPr>
          <w:rFonts w:hint="cs"/>
          <w:rtl/>
        </w:rPr>
        <w:t>דברי הסבר</w:t>
      </w:r>
    </w:p>
    <w:p w14:paraId="7F6961CB" w14:textId="1DF3D01B" w:rsidR="00E13C27" w:rsidRDefault="00C71530" w:rsidP="000C4460">
      <w:pPr>
        <w:pStyle w:val="Hesber"/>
        <w:spacing w:line="240" w:lineRule="auto"/>
        <w:rPr>
          <w:rtl/>
        </w:rPr>
      </w:pPr>
      <w:r>
        <w:rPr>
          <w:rFonts w:hint="cs"/>
          <w:rtl/>
        </w:rPr>
        <w:t xml:space="preserve">מנגנון הגיור בישראל אינו נותן מענה מספק בכל הנוגע לגיורם של מי שאינם יהודים. בתי הדין המיוחדים לגיור אשר הוקמו בהחלטת הממשלה על פי דו"ח נאמן אינם עונים על הדרישה לגיור וכתוצאה מכך נוצרים עיכובים בתהליכי הגיור הגורמים פגיעה קשה במבקשים להתגייר. </w:t>
      </w:r>
    </w:p>
    <w:p w14:paraId="739B0AA2" w14:textId="298F2B38" w:rsidR="00C71530" w:rsidRDefault="00C71530" w:rsidP="000C4460">
      <w:pPr>
        <w:pStyle w:val="Hesber"/>
        <w:spacing w:line="240" w:lineRule="auto"/>
        <w:rPr>
          <w:rtl/>
        </w:rPr>
      </w:pPr>
      <w:r>
        <w:rPr>
          <w:rFonts w:hint="cs"/>
          <w:rtl/>
        </w:rPr>
        <w:t xml:space="preserve">בעבר אפשרה מועצת הרבנות הראשית לכל רב עיר לגייר </w:t>
      </w:r>
      <w:proofErr w:type="spellStart"/>
      <w:r>
        <w:rPr>
          <w:rFonts w:hint="cs"/>
          <w:rtl/>
        </w:rPr>
        <w:t>וליתן</w:t>
      </w:r>
      <w:proofErr w:type="spellEnd"/>
      <w:r>
        <w:rPr>
          <w:rFonts w:hint="cs"/>
          <w:rtl/>
        </w:rPr>
        <w:t xml:space="preserve"> אישור, ואולם לאחר מכן החליטה מועצת הרבנות הראשית לשלול מרבני העיר סמכות זו. </w:t>
      </w:r>
    </w:p>
    <w:p w14:paraId="690CC284" w14:textId="216A5743" w:rsidR="0002090A" w:rsidRDefault="0002090A" w:rsidP="000C4460">
      <w:pPr>
        <w:pStyle w:val="Hesber"/>
        <w:spacing w:line="240" w:lineRule="auto"/>
        <w:rPr>
          <w:rtl/>
        </w:rPr>
      </w:pPr>
      <w:r>
        <w:rPr>
          <w:rFonts w:hint="cs"/>
          <w:rtl/>
        </w:rPr>
        <w:t>יש לזכור כי רבני העיר נבחרים מכוח תקנות בדבר בחירת רבני העיר שתוקנו על פי הסמכה ב</w:t>
      </w:r>
      <w:r w:rsidR="004724BD">
        <w:rPr>
          <w:rFonts w:hint="cs"/>
          <w:rtl/>
        </w:rPr>
        <w:t>ח</w:t>
      </w:r>
      <w:r>
        <w:rPr>
          <w:rFonts w:hint="cs"/>
          <w:rtl/>
        </w:rPr>
        <w:t xml:space="preserve">וק שירותי הדת היהודיים </w:t>
      </w:r>
      <w:r>
        <w:t>]</w:t>
      </w:r>
      <w:r>
        <w:rPr>
          <w:rFonts w:hint="cs"/>
          <w:rtl/>
        </w:rPr>
        <w:t>נוסח משולב</w:t>
      </w:r>
      <w:r>
        <w:t>[</w:t>
      </w:r>
      <w:r>
        <w:rPr>
          <w:rFonts w:hint="cs"/>
          <w:rtl/>
        </w:rPr>
        <w:t xml:space="preserve"> </w:t>
      </w:r>
      <w:proofErr w:type="spellStart"/>
      <w:r>
        <w:rPr>
          <w:rFonts w:hint="cs"/>
          <w:rtl/>
        </w:rPr>
        <w:t>התשל"א</w:t>
      </w:r>
      <w:proofErr w:type="spellEnd"/>
      <w:r>
        <w:rPr>
          <w:rFonts w:hint="cs"/>
          <w:rtl/>
        </w:rPr>
        <w:t xml:space="preserve"> </w:t>
      </w:r>
      <w:r>
        <w:rPr>
          <w:rtl/>
        </w:rPr>
        <w:t>–</w:t>
      </w:r>
      <w:r>
        <w:rPr>
          <w:rFonts w:hint="cs"/>
          <w:rtl/>
        </w:rPr>
        <w:t xml:space="preserve"> 1971, והם חייבים להיות בעלי כושר מהרבנות הראשית לישראל. </w:t>
      </w:r>
    </w:p>
    <w:p w14:paraId="29FCE351" w14:textId="696A4218" w:rsidR="0002090A" w:rsidRDefault="0002090A" w:rsidP="000C4460">
      <w:pPr>
        <w:pStyle w:val="Hesber"/>
        <w:spacing w:line="240" w:lineRule="auto"/>
        <w:rPr>
          <w:rtl/>
        </w:rPr>
      </w:pPr>
      <w:r>
        <w:rPr>
          <w:rFonts w:hint="cs"/>
          <w:rtl/>
        </w:rPr>
        <w:t>מוצע על כן להחזיר את המצב לקדמותו ולקבוע כי כל רב עיר ומועצה מקומית שנבחרו יהיו רשאים לגייר בכל בית דין שיקימו כפי שהיה נהוג.</w:t>
      </w:r>
    </w:p>
    <w:p w14:paraId="07A25DEA" w14:textId="40463631" w:rsidR="004724BD" w:rsidRPr="004724BD" w:rsidRDefault="004724BD" w:rsidP="000C4460">
      <w:pPr>
        <w:pStyle w:val="Hesber"/>
        <w:spacing w:line="240" w:lineRule="auto"/>
        <w:rPr>
          <w:color w:val="auto"/>
          <w:rtl/>
          <w:lang w:eastAsia="en-US"/>
        </w:rPr>
      </w:pPr>
      <w:r>
        <w:rPr>
          <w:rtl/>
        </w:rPr>
        <w:t>הצעת חוק דומה בעי</w:t>
      </w:r>
      <w:r w:rsidR="000C4460">
        <w:rPr>
          <w:rtl/>
        </w:rPr>
        <w:t>קרה הונחה על שולחן הכנסת השמונה</w:t>
      </w:r>
      <w:r w:rsidR="000C4460">
        <w:rPr>
          <w:rFonts w:hint="cs"/>
          <w:rtl/>
        </w:rPr>
        <w:t>-</w:t>
      </w:r>
      <w:r>
        <w:rPr>
          <w:rtl/>
        </w:rPr>
        <w:t xml:space="preserve">עשרה על ידי חבר הכנסת יוחנן </w:t>
      </w:r>
      <w:proofErr w:type="spellStart"/>
      <w:r>
        <w:rPr>
          <w:rtl/>
        </w:rPr>
        <w:t>פלסנר</w:t>
      </w:r>
      <w:proofErr w:type="spellEnd"/>
      <w:r>
        <w:rPr>
          <w:rtl/>
        </w:rPr>
        <w:t xml:space="preserve"> (פ/998/18), ועל שולחן הכנסת העשרים ושתיים על ידי חבר הכנסת אביגדור ליברמן וקבוצת חברי הכנסת (פ/71/22).</w:t>
      </w:r>
    </w:p>
    <w:p w14:paraId="683C392C" w14:textId="43CE40D6" w:rsidR="0002090A" w:rsidRDefault="0002090A" w:rsidP="000C4460">
      <w:pPr>
        <w:pStyle w:val="Hesber"/>
        <w:spacing w:line="240" w:lineRule="auto"/>
        <w:rPr>
          <w:rtl/>
        </w:rPr>
      </w:pPr>
      <w:r>
        <w:rPr>
          <w:rFonts w:hint="cs"/>
          <w:rtl/>
        </w:rPr>
        <w:t>הצעת חוק זהה הונחה על</w:t>
      </w:r>
      <w:r w:rsidR="004724BD">
        <w:rPr>
          <w:rFonts w:hint="cs"/>
          <w:rtl/>
        </w:rPr>
        <w:t xml:space="preserve"> שולחן הכנסת העשרים וארבע על ידי חבר הכנסת אלעזר שטרן (פ/1295/24).</w:t>
      </w:r>
      <w:r>
        <w:rPr>
          <w:rFonts w:hint="cs"/>
          <w:rtl/>
        </w:rPr>
        <w:t xml:space="preserve"> </w:t>
      </w:r>
    </w:p>
    <w:p w14:paraId="5A9A17CD" w14:textId="696EB435" w:rsidR="004724BD" w:rsidRDefault="004724BD" w:rsidP="000C4460">
      <w:pPr>
        <w:pStyle w:val="Hesber"/>
        <w:spacing w:line="240" w:lineRule="auto"/>
        <w:rPr>
          <w:rtl/>
        </w:rPr>
      </w:pPr>
      <w:r>
        <w:rPr>
          <w:rFonts w:hint="cs"/>
          <w:rtl/>
        </w:rPr>
        <w:t xml:space="preserve">הצעת החוק זהה </w:t>
      </w:r>
      <w:proofErr w:type="spellStart"/>
      <w:r>
        <w:rPr>
          <w:rFonts w:hint="cs"/>
          <w:rtl/>
        </w:rPr>
        <w:t>לפ</w:t>
      </w:r>
      <w:proofErr w:type="spellEnd"/>
      <w:r>
        <w:rPr>
          <w:rFonts w:hint="cs"/>
          <w:rtl/>
        </w:rPr>
        <w:t xml:space="preserve">/1295/24 ולפיכך לא נבדקה מחדשה על ידי הלשכה המשפטית. </w:t>
      </w:r>
    </w:p>
    <w:p w14:paraId="570441AD" w14:textId="77777777" w:rsidR="000C4460" w:rsidRDefault="000C4460" w:rsidP="000C4460">
      <w:pPr>
        <w:pStyle w:val="Hesber"/>
        <w:spacing w:line="240" w:lineRule="auto"/>
        <w:rPr>
          <w:rtl/>
        </w:rPr>
      </w:pPr>
    </w:p>
    <w:p w14:paraId="572CDB97" w14:textId="77777777" w:rsidR="006B08F1" w:rsidRDefault="00F23692" w:rsidP="000C4460">
      <w:pPr>
        <w:spacing w:before="0" w:line="240" w:lineRule="auto"/>
        <w:jc w:val="left"/>
      </w:pPr>
      <w:bookmarkStart w:id="7" w:name="selectedDocDateB"/>
      <w:bookmarkEnd w:id="7"/>
      <w:r>
        <w:rPr>
          <w:rFonts w:ascii="David" w:eastAsia="David" w:hAnsi="David" w:cs="David" w:hint="cs"/>
          <w:sz w:val="26"/>
          <w:szCs w:val="26"/>
          <w:rtl/>
        </w:rPr>
        <w:t>--------------------------------</w:t>
      </w:r>
    </w:p>
    <w:p w14:paraId="6EF1087E" w14:textId="77777777" w:rsidR="006B08F1" w:rsidRDefault="00F23692" w:rsidP="000C4460">
      <w:pPr>
        <w:spacing w:before="0" w:line="240" w:lineRule="auto"/>
        <w:jc w:val="left"/>
      </w:pPr>
      <w:r>
        <w:rPr>
          <w:rFonts w:ascii="David" w:eastAsia="David" w:hAnsi="David" w:cs="David" w:hint="cs"/>
          <w:sz w:val="26"/>
          <w:szCs w:val="26"/>
          <w:rtl/>
        </w:rPr>
        <w:t>הוגשה ליו"ר הכנסת והסגנים</w:t>
      </w:r>
    </w:p>
    <w:p w14:paraId="2FDFC568" w14:textId="77777777" w:rsidR="006B08F1" w:rsidRDefault="00F23692" w:rsidP="000C4460">
      <w:pPr>
        <w:spacing w:before="0" w:line="240" w:lineRule="auto"/>
        <w:jc w:val="left"/>
      </w:pPr>
      <w:r>
        <w:rPr>
          <w:rFonts w:ascii="David" w:eastAsia="David" w:hAnsi="David" w:cs="David" w:hint="cs"/>
          <w:sz w:val="26"/>
          <w:szCs w:val="26"/>
          <w:rtl/>
        </w:rPr>
        <w:t>והונחה על שולחן הכנסת ביום</w:t>
      </w:r>
    </w:p>
    <w:p w14:paraId="36A4F588" w14:textId="77777777" w:rsidR="006B08F1" w:rsidRDefault="00F23692" w:rsidP="000C4460">
      <w:pPr>
        <w:spacing w:before="0" w:line="240" w:lineRule="auto"/>
        <w:jc w:val="left"/>
      </w:pPr>
      <w:r>
        <w:rPr>
          <w:rFonts w:ascii="David" w:eastAsia="David" w:hAnsi="David" w:cs="David" w:hint="cs"/>
          <w:sz w:val="26"/>
          <w:szCs w:val="26"/>
          <w:rtl/>
        </w:rPr>
        <w:t xml:space="preserve">י"א בכסלו התשפ"ב (15.11.2021) </w:t>
      </w:r>
    </w:p>
    <w:sectPr w:rsidR="006B08F1" w:rsidSect="000C4460">
      <w:footerReference w:type="even" r:id="rId11"/>
      <w:footerReference w:type="default" r:id="rId12"/>
      <w:pgSz w:w="11907" w:h="16840" w:code="9"/>
      <w:pgMar w:top="709" w:right="1134" w:bottom="851"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961D7" w14:textId="1E72C8A3"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0C4460">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8674C0" w14:textId="77777777" w:rsidR="00D142D3" w:rsidRDefault="00D142D3">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72A73FB0" w14:textId="58AF41B5" w:rsidR="004724BD" w:rsidRDefault="004724BD" w:rsidP="008B6AFC">
      <w:pPr>
        <w:pStyle w:val="a4"/>
        <w:rPr>
          <w:rtl/>
        </w:rPr>
      </w:pPr>
      <w:bookmarkStart w:id="6" w:name="_GoBack"/>
      <w:r>
        <w:rPr>
          <w:rStyle w:val="a6"/>
        </w:rPr>
        <w:footnoteRef/>
      </w:r>
      <w:r>
        <w:rPr>
          <w:rtl/>
        </w:rPr>
        <w:t xml:space="preserve"> </w:t>
      </w:r>
      <w:r>
        <w:rPr>
          <w:rFonts w:hint="cs"/>
          <w:rtl/>
        </w:rPr>
        <w:t>חוקי א"י, כרך ב', עמ' 1269.</w:t>
      </w:r>
    </w:p>
  </w:footnote>
  <w:footnote w:id="3">
    <w:p w14:paraId="15432EFD" w14:textId="77777777" w:rsidR="004724BD" w:rsidRDefault="004724BD" w:rsidP="008B6AFC">
      <w:pPr>
        <w:pStyle w:val="a4"/>
        <w:rPr>
          <w:rtl/>
        </w:rPr>
      </w:pPr>
      <w:r>
        <w:rPr>
          <w:rStyle w:val="a6"/>
        </w:rPr>
        <w:footnoteRef/>
      </w:r>
      <w:r>
        <w:rPr>
          <w:rtl/>
        </w:rPr>
        <w:t xml:space="preserve"> </w:t>
      </w:r>
      <w:r>
        <w:rPr>
          <w:rFonts w:hint="cs"/>
          <w:rtl/>
        </w:rPr>
        <w:t xml:space="preserve">ס"ח </w:t>
      </w:r>
      <w:proofErr w:type="spellStart"/>
      <w:r>
        <w:rPr>
          <w:rFonts w:hint="cs"/>
          <w:rtl/>
        </w:rPr>
        <w:t>התש"ם</w:t>
      </w:r>
      <w:proofErr w:type="spellEnd"/>
      <w:r>
        <w:rPr>
          <w:rFonts w:hint="cs"/>
          <w:rtl/>
        </w:rPr>
        <w:t>, עמ' 90.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F6AAD9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5CAE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7E88A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5DA1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4246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2090A"/>
    <w:rsid w:val="00063A3E"/>
    <w:rsid w:val="00072CAC"/>
    <w:rsid w:val="0007681A"/>
    <w:rsid w:val="000A542E"/>
    <w:rsid w:val="000C4460"/>
    <w:rsid w:val="00102B6B"/>
    <w:rsid w:val="001052D4"/>
    <w:rsid w:val="0010644B"/>
    <w:rsid w:val="001207F8"/>
    <w:rsid w:val="00121924"/>
    <w:rsid w:val="001279A8"/>
    <w:rsid w:val="0014195F"/>
    <w:rsid w:val="00152609"/>
    <w:rsid w:val="00153E1B"/>
    <w:rsid w:val="001A0623"/>
    <w:rsid w:val="001C23B0"/>
    <w:rsid w:val="001D7AAF"/>
    <w:rsid w:val="00203A7F"/>
    <w:rsid w:val="0021633A"/>
    <w:rsid w:val="002200A1"/>
    <w:rsid w:val="0023096A"/>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710F6"/>
    <w:rsid w:val="00386E88"/>
    <w:rsid w:val="00396585"/>
    <w:rsid w:val="003D6E38"/>
    <w:rsid w:val="003D74A0"/>
    <w:rsid w:val="004033D8"/>
    <w:rsid w:val="004073F0"/>
    <w:rsid w:val="00412A7D"/>
    <w:rsid w:val="00416B4D"/>
    <w:rsid w:val="00417CFC"/>
    <w:rsid w:val="004724BD"/>
    <w:rsid w:val="004A06DC"/>
    <w:rsid w:val="004B24ED"/>
    <w:rsid w:val="004B6625"/>
    <w:rsid w:val="004D2D82"/>
    <w:rsid w:val="004D3876"/>
    <w:rsid w:val="004E4552"/>
    <w:rsid w:val="004E6CDF"/>
    <w:rsid w:val="00553C9D"/>
    <w:rsid w:val="00562A66"/>
    <w:rsid w:val="005B064E"/>
    <w:rsid w:val="005D51AE"/>
    <w:rsid w:val="0062674B"/>
    <w:rsid w:val="006363B2"/>
    <w:rsid w:val="00636C51"/>
    <w:rsid w:val="00644940"/>
    <w:rsid w:val="006818A9"/>
    <w:rsid w:val="006A2D81"/>
    <w:rsid w:val="006B08F1"/>
    <w:rsid w:val="006C1D0D"/>
    <w:rsid w:val="0070601E"/>
    <w:rsid w:val="00712C72"/>
    <w:rsid w:val="00735FE9"/>
    <w:rsid w:val="00763CAA"/>
    <w:rsid w:val="00765F66"/>
    <w:rsid w:val="0078664F"/>
    <w:rsid w:val="007A27CE"/>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B6AFC"/>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F148D"/>
    <w:rsid w:val="00C23B1A"/>
    <w:rsid w:val="00C310EB"/>
    <w:rsid w:val="00C71530"/>
    <w:rsid w:val="00C9176A"/>
    <w:rsid w:val="00CF1AA2"/>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83B4C"/>
    <w:rsid w:val="00EA01E6"/>
    <w:rsid w:val="00EA3DE8"/>
    <w:rsid w:val="00EA758F"/>
    <w:rsid w:val="00ED4A6F"/>
    <w:rsid w:val="00EF3A3A"/>
    <w:rsid w:val="00F23692"/>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2D1833D2-E71F-4E75-9335-3D80916B3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aliases w:val="Footnote Reference"/>
    <w:basedOn w:val="a0"/>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semiHidden/>
    <w:rsid w:val="004724BD"/>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320055">
      <w:bodyDiv w:val="1"/>
      <w:marLeft w:val="0"/>
      <w:marRight w:val="0"/>
      <w:marTop w:val="0"/>
      <w:marBottom w:val="0"/>
      <w:divBdr>
        <w:top w:val="none" w:sz="0" w:space="0" w:color="auto"/>
        <w:left w:val="none" w:sz="0" w:space="0" w:color="auto"/>
        <w:bottom w:val="none" w:sz="0" w:space="0" w:color="auto"/>
        <w:right w:val="none" w:sz="0" w:space="0" w:color="auto"/>
      </w:divBdr>
    </w:div>
    <w:div w:id="1669019104">
      <w:bodyDiv w:val="1"/>
      <w:marLeft w:val="0"/>
      <w:marRight w:val="0"/>
      <w:marTop w:val="0"/>
      <w:marBottom w:val="0"/>
      <w:divBdr>
        <w:top w:val="none" w:sz="0" w:space="0" w:color="auto"/>
        <w:left w:val="none" w:sz="0" w:space="0" w:color="auto"/>
        <w:bottom w:val="none" w:sz="0" w:space="0" w:color="auto"/>
        <w:right w:val="none" w:sz="0" w:space="0" w:color="auto"/>
      </w:divBdr>
    </w:div>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2.xml><?xml version="1.0" encoding="utf-8"?>
<ds:datastoreItem xmlns:ds="http://schemas.openxmlformats.org/officeDocument/2006/customXml" ds:itemID="{88F4AFE3-9455-419C-8851-785A55F4451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0d5b49-c690-4c6f-bbb9-1e50dab33eee"/>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ADEFF6-8115-430D-8853-C559037D6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C12AB5-76E3-4617-8B5D-ADBEA5FA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294</Words>
  <Characters>1678</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טליה ווייס עמר</cp:lastModifiedBy>
  <cp:revision>11</cp:revision>
  <cp:lastPrinted>2021-11-15T06:27:00Z</cp:lastPrinted>
  <dcterms:created xsi:type="dcterms:W3CDTF">2015-04-20T09:58:00Z</dcterms:created>
  <dcterms:modified xsi:type="dcterms:W3CDTF">2021-11-15T06:27:00Z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2164635</vt:r8>
  </property>
</Properties>
</file>