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2163363</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b/>
          <w:bCs/>
          <w:sz w:val="26"/>
          <w:szCs w:val="26"/>
          <w:rtl/>
        </w:rPr>
      </w:pPr>
    </w:p>
    <w:p w14:paraId="7F6961AA" w14:textId="3550F200" w:rsidR="00E13C27" w:rsidRPr="00CF1AA2" w:rsidRDefault="008F6665" w:rsidP="0028147F">
      <w:pPr>
        <w:pStyle w:val="David"/>
        <w:spacing w:before="102"/>
        <w:ind w:left="3544"/>
        <w:rPr>
          <w:b/>
          <w:bCs/>
          <w:sz w:val="16"/>
          <w:szCs w:val="16"/>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מיכל רוזין</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330D8E0" w:rsidR="00E13C27" w:rsidRPr="00E06736" w:rsidRDefault="00904591" w:rsidP="0028147F">
      <w:pPr>
        <w:pStyle w:val="David"/>
        <w:spacing w:line="240" w:lineRule="auto"/>
        <w:ind w:left="6424" w:firstLine="56"/>
        <w:rPr>
          <w:rtl/>
        </w:rPr>
      </w:pPr>
      <w:bookmarkStart w:id="6" w:name="Private_Number"/>
      <w:r>
        <w:rPr>
          <w:rFonts w:hint="cs"/>
          <w:rtl/>
        </w:rPr>
        <w:t>פ/2522/24</w:t>
      </w:r>
      <w:bookmarkEnd w:id="6"/>
    </w:p>
    <w:p w14:paraId="7F6961AD" w14:textId="56709C6F" w:rsidR="00E13C27" w:rsidRPr="00F67051" w:rsidRDefault="00A443CF" w:rsidP="00946D80">
      <w:pPr>
        <w:pStyle w:val="HeadHatzaotHok"/>
        <w:rPr>
          <w:rtl/>
        </w:rPr>
      </w:pPr>
      <w:bookmarkStart w:id="7" w:name="LGS_Subject"/>
      <w:r>
        <w:rPr>
          <w:rFonts w:hint="cs"/>
          <w:rtl/>
        </w:rPr>
        <w:t>הצעת חוק לתיקון פקודת הרופאים (רופא שהורשע בעבירת מין), התשפ"ב</w:t>
      </w:r>
      <w:r w:rsidR="00946D80">
        <w:rPr>
          <w:rFonts w:hint="eastAsia"/>
          <w:rtl/>
        </w:rPr>
        <w:t>–</w:t>
      </w:r>
      <w:r>
        <w:rPr>
          <w:rFonts w:hint="cs"/>
          <w:rtl/>
        </w:rPr>
        <w:t>2021</w:t>
      </w:r>
      <w:bookmarkEnd w:id="7"/>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47"/>
      </w:tblGrid>
      <w:tr w:rsidR="00891D8F" w:rsidRPr="00E52BE0" w14:paraId="77126454" w14:textId="77777777" w:rsidTr="0028147F">
        <w:trPr>
          <w:cantSplit/>
        </w:trPr>
        <w:tc>
          <w:tcPr>
            <w:tcW w:w="1871" w:type="dxa"/>
          </w:tcPr>
          <w:p w14:paraId="56D3DC15" w14:textId="77777777" w:rsidR="00891D8F" w:rsidRPr="00E52BE0" w:rsidRDefault="00891D8F" w:rsidP="001C0ED1">
            <w:pPr>
              <w:pStyle w:val="TableSideHeading"/>
              <w:keepLines w:val="0"/>
              <w:rPr>
                <w:sz w:val="26"/>
              </w:rPr>
            </w:pPr>
            <w:r w:rsidRPr="00E52BE0">
              <w:rPr>
                <w:rFonts w:hint="cs"/>
                <w:sz w:val="26"/>
                <w:rtl/>
              </w:rPr>
              <w:t>הוספת</w:t>
            </w:r>
            <w:r w:rsidRPr="00E52BE0">
              <w:rPr>
                <w:sz w:val="26"/>
                <w:rtl/>
              </w:rPr>
              <w:t xml:space="preserve"> סעיף 41א</w:t>
            </w:r>
          </w:p>
        </w:tc>
        <w:tc>
          <w:tcPr>
            <w:tcW w:w="624" w:type="dxa"/>
          </w:tcPr>
          <w:p w14:paraId="18AEF0CA" w14:textId="34136FC7" w:rsidR="00891D8F" w:rsidRPr="00E52BE0" w:rsidRDefault="0028147F" w:rsidP="0028147F">
            <w:pPr>
              <w:pStyle w:val="TableText"/>
              <w:keepLines w:val="0"/>
              <w:tabs>
                <w:tab w:val="clear" w:pos="624"/>
              </w:tabs>
              <w:rPr>
                <w:sz w:val="26"/>
              </w:rPr>
            </w:pPr>
            <w:r>
              <w:rPr>
                <w:rFonts w:hint="cs"/>
                <w:sz w:val="26"/>
                <w:rtl/>
              </w:rPr>
              <w:t>1.</w:t>
            </w:r>
          </w:p>
        </w:tc>
        <w:tc>
          <w:tcPr>
            <w:tcW w:w="7143" w:type="dxa"/>
            <w:gridSpan w:val="5"/>
          </w:tcPr>
          <w:p w14:paraId="0A584316" w14:textId="77777777" w:rsidR="00891D8F" w:rsidRPr="00E52BE0" w:rsidRDefault="00891D8F" w:rsidP="0028147F">
            <w:pPr>
              <w:pStyle w:val="TableBlock"/>
              <w:rPr>
                <w:sz w:val="26"/>
              </w:rPr>
            </w:pPr>
            <w:r w:rsidRPr="00E52BE0">
              <w:rPr>
                <w:rFonts w:hint="cs"/>
                <w:sz w:val="26"/>
                <w:rtl/>
              </w:rPr>
              <w:t>בפקודת</w:t>
            </w:r>
            <w:r w:rsidRPr="00E52BE0">
              <w:rPr>
                <w:sz w:val="26"/>
                <w:rtl/>
              </w:rPr>
              <w:t xml:space="preserve"> הרופאים [נוסח חדש], התשל"ז–1976</w:t>
            </w:r>
            <w:r w:rsidRPr="0028147F">
              <w:rPr>
                <w:rFonts w:ascii="David" w:hAnsi="David"/>
                <w:sz w:val="26"/>
                <w:vertAlign w:val="superscript"/>
                <w:rtl/>
              </w:rPr>
              <w:footnoteReference w:id="2"/>
            </w:r>
            <w:r w:rsidRPr="00E52BE0">
              <w:rPr>
                <w:sz w:val="26"/>
                <w:vertAlign w:val="superscript"/>
                <w:rtl/>
              </w:rPr>
              <w:t xml:space="preserve"> </w:t>
            </w:r>
            <w:r w:rsidRPr="00E52BE0">
              <w:rPr>
                <w:sz w:val="26"/>
                <w:rtl/>
              </w:rPr>
              <w:t xml:space="preserve">(להלן – החוק העיקרי), </w:t>
            </w:r>
            <w:r w:rsidRPr="00E52BE0">
              <w:rPr>
                <w:rFonts w:hint="cs"/>
                <w:sz w:val="26"/>
                <w:rtl/>
              </w:rPr>
              <w:t>אחרי</w:t>
            </w:r>
            <w:r w:rsidRPr="00E52BE0">
              <w:rPr>
                <w:sz w:val="26"/>
                <w:rtl/>
              </w:rPr>
              <w:t xml:space="preserve"> סעיף 41 יבוא:</w:t>
            </w:r>
          </w:p>
        </w:tc>
      </w:tr>
      <w:tr w:rsidR="00891D8F" w:rsidRPr="00E52BE0" w14:paraId="37D6ADE9" w14:textId="77777777" w:rsidTr="0028147F">
        <w:trPr>
          <w:cantSplit/>
        </w:trPr>
        <w:tc>
          <w:tcPr>
            <w:tcW w:w="1871" w:type="dxa"/>
          </w:tcPr>
          <w:p w14:paraId="179FD358" w14:textId="77777777" w:rsidR="00891D8F" w:rsidRPr="00E52BE0" w:rsidRDefault="00891D8F" w:rsidP="001C0ED1">
            <w:pPr>
              <w:pStyle w:val="TableSideHeading"/>
              <w:keepLines w:val="0"/>
              <w:rPr>
                <w:sz w:val="26"/>
              </w:rPr>
            </w:pPr>
          </w:p>
        </w:tc>
        <w:tc>
          <w:tcPr>
            <w:tcW w:w="624" w:type="dxa"/>
          </w:tcPr>
          <w:p w14:paraId="697B8EF0" w14:textId="77777777" w:rsidR="00891D8F" w:rsidRPr="00E52BE0" w:rsidRDefault="00891D8F" w:rsidP="001C0ED1">
            <w:pPr>
              <w:pStyle w:val="TableText"/>
              <w:keepLines w:val="0"/>
              <w:rPr>
                <w:sz w:val="26"/>
              </w:rPr>
            </w:pPr>
          </w:p>
        </w:tc>
        <w:tc>
          <w:tcPr>
            <w:tcW w:w="1872" w:type="dxa"/>
            <w:gridSpan w:val="3"/>
          </w:tcPr>
          <w:p w14:paraId="44278154" w14:textId="77777777" w:rsidR="00891D8F" w:rsidRPr="00E52BE0" w:rsidRDefault="00891D8F" w:rsidP="001C0ED1">
            <w:pPr>
              <w:pStyle w:val="TableInnerSideHeading"/>
              <w:rPr>
                <w:sz w:val="26"/>
              </w:rPr>
            </w:pPr>
            <w:r w:rsidRPr="00E52BE0">
              <w:rPr>
                <w:sz w:val="26"/>
                <w:rtl/>
              </w:rPr>
              <w:t>"</w:t>
            </w:r>
            <w:r w:rsidRPr="00E52BE0">
              <w:rPr>
                <w:rFonts w:hint="cs"/>
                <w:sz w:val="26"/>
                <w:rtl/>
              </w:rPr>
              <w:t>סמכויות</w:t>
            </w:r>
            <w:r w:rsidRPr="00E52BE0">
              <w:rPr>
                <w:sz w:val="26"/>
                <w:rtl/>
              </w:rPr>
              <w:t xml:space="preserve"> השר ביחס ל</w:t>
            </w:r>
            <w:r w:rsidRPr="00E52BE0">
              <w:rPr>
                <w:rFonts w:hint="cs"/>
                <w:sz w:val="26"/>
                <w:rtl/>
              </w:rPr>
              <w:t>רופא</w:t>
            </w:r>
            <w:r w:rsidRPr="00E52BE0">
              <w:rPr>
                <w:sz w:val="26"/>
                <w:rtl/>
              </w:rPr>
              <w:t xml:space="preserve"> שהורשע בעבירת מין</w:t>
            </w:r>
          </w:p>
        </w:tc>
        <w:tc>
          <w:tcPr>
            <w:tcW w:w="624" w:type="dxa"/>
          </w:tcPr>
          <w:p w14:paraId="3A993BD2" w14:textId="77777777" w:rsidR="00891D8F" w:rsidRPr="00E52BE0" w:rsidRDefault="00891D8F" w:rsidP="001C0ED1">
            <w:pPr>
              <w:pStyle w:val="TableText"/>
              <w:rPr>
                <w:sz w:val="26"/>
              </w:rPr>
            </w:pPr>
            <w:r w:rsidRPr="00E52BE0">
              <w:rPr>
                <w:rFonts w:hint="cs"/>
                <w:sz w:val="26"/>
                <w:rtl/>
              </w:rPr>
              <w:t>41א.</w:t>
            </w:r>
          </w:p>
        </w:tc>
        <w:tc>
          <w:tcPr>
            <w:tcW w:w="4647" w:type="dxa"/>
          </w:tcPr>
          <w:p w14:paraId="2398CBFF" w14:textId="77777777" w:rsidR="00891D8F" w:rsidRPr="00E52BE0" w:rsidRDefault="00891D8F" w:rsidP="0028147F">
            <w:pPr>
              <w:pStyle w:val="TableBlock"/>
              <w:rPr>
                <w:sz w:val="26"/>
              </w:rPr>
            </w:pPr>
            <w:r w:rsidRPr="00E52BE0">
              <w:rPr>
                <w:rFonts w:hint="cs"/>
                <w:sz w:val="26"/>
                <w:rtl/>
              </w:rPr>
              <w:t xml:space="preserve">(א) </w:t>
            </w:r>
            <w:r w:rsidRPr="00E52BE0">
              <w:rPr>
                <w:sz w:val="26"/>
                <w:rtl/>
              </w:rPr>
              <w:tab/>
              <w:t>על אף האמור בסעיף 41, ראה השר על יסוד הודעה של רשם בית המשפט לפי סעיף 56, שרופא מורשה הורשע בעבירת מין כהגדרתה בחוק למניעת העסקה של עברייני מין במוסדות</w:t>
            </w:r>
            <w:r w:rsidRPr="00E52BE0">
              <w:rPr>
                <w:rFonts w:hint="cs"/>
                <w:sz w:val="26"/>
                <w:rtl/>
              </w:rPr>
              <w:t xml:space="preserve"> </w:t>
            </w:r>
            <w:r w:rsidRPr="00E52BE0">
              <w:rPr>
                <w:sz w:val="26"/>
                <w:rtl/>
              </w:rPr>
              <w:t xml:space="preserve">מסוימים, </w:t>
            </w:r>
            <w:r w:rsidRPr="00E52BE0">
              <w:rPr>
                <w:rFonts w:hint="cs"/>
                <w:sz w:val="26"/>
                <w:rtl/>
              </w:rPr>
              <w:t>התשס</w:t>
            </w:r>
            <w:r w:rsidRPr="00E52BE0">
              <w:rPr>
                <w:sz w:val="26"/>
                <w:rtl/>
              </w:rPr>
              <w:t>"א</w:t>
            </w:r>
            <w:r w:rsidRPr="00E52BE0">
              <w:rPr>
                <w:rFonts w:hint="eastAsia"/>
                <w:sz w:val="26"/>
                <w:rtl/>
              </w:rPr>
              <w:t>–</w:t>
            </w:r>
            <w:r w:rsidRPr="00E52BE0">
              <w:rPr>
                <w:sz w:val="26"/>
                <w:rtl/>
              </w:rPr>
              <w:t>2001</w:t>
            </w:r>
            <w:r w:rsidRPr="0028147F">
              <w:rPr>
                <w:rFonts w:ascii="David" w:hAnsi="David"/>
                <w:sz w:val="26"/>
                <w:vertAlign w:val="superscript"/>
                <w:rtl/>
              </w:rPr>
              <w:footnoteReference w:id="3"/>
            </w:r>
            <w:r w:rsidRPr="00E52BE0">
              <w:rPr>
                <w:sz w:val="26"/>
                <w:rtl/>
              </w:rPr>
              <w:t>, יתלה השר את רישיונו בצו חתום בידו עד לה</w:t>
            </w:r>
            <w:r w:rsidRPr="00E52BE0">
              <w:rPr>
                <w:rFonts w:hint="cs"/>
                <w:sz w:val="26"/>
                <w:rtl/>
              </w:rPr>
              <w:t>מלצת</w:t>
            </w:r>
            <w:r w:rsidRPr="00E52BE0">
              <w:rPr>
                <w:sz w:val="26"/>
                <w:rtl/>
              </w:rPr>
              <w:t xml:space="preserve"> ועדה מיוחדת; חברי הוועדה המיוחדת יהיו</w:t>
            </w:r>
            <w:r w:rsidRPr="00E52BE0">
              <w:rPr>
                <w:rFonts w:hint="cs"/>
                <w:sz w:val="26"/>
                <w:rtl/>
              </w:rPr>
              <w:t>:</w:t>
            </w:r>
            <w:r w:rsidRPr="00E52BE0">
              <w:rPr>
                <w:sz w:val="26"/>
                <w:rtl/>
              </w:rPr>
              <w:t xml:space="preserve"> רופא שמינה המנהל, והוא יהיה </w:t>
            </w:r>
            <w:r w:rsidRPr="00E52BE0">
              <w:rPr>
                <w:rFonts w:hint="cs"/>
                <w:sz w:val="26"/>
                <w:rtl/>
              </w:rPr>
              <w:t>היושב</w:t>
            </w:r>
            <w:r w:rsidRPr="00E52BE0">
              <w:rPr>
                <w:sz w:val="26"/>
                <w:rtl/>
              </w:rPr>
              <w:t xml:space="preserve"> ראש, רופא שמינה המנהל מתוך רשימה שהגישה לו ההסתדרות הרפואית בישראל, ונציג היועץ המשפטי לממשלה.</w:t>
            </w:r>
          </w:p>
        </w:tc>
      </w:tr>
      <w:tr w:rsidR="00891D8F" w:rsidRPr="00E52BE0" w14:paraId="100A0ABA" w14:textId="77777777" w:rsidTr="0028147F">
        <w:trPr>
          <w:cantSplit/>
        </w:trPr>
        <w:tc>
          <w:tcPr>
            <w:tcW w:w="1871" w:type="dxa"/>
          </w:tcPr>
          <w:p w14:paraId="41DA86EE" w14:textId="77777777" w:rsidR="00891D8F" w:rsidRPr="00E52BE0" w:rsidRDefault="00891D8F" w:rsidP="001C0ED1">
            <w:pPr>
              <w:pStyle w:val="TableSideHeading"/>
              <w:rPr>
                <w:sz w:val="26"/>
              </w:rPr>
            </w:pPr>
          </w:p>
        </w:tc>
        <w:tc>
          <w:tcPr>
            <w:tcW w:w="624" w:type="dxa"/>
          </w:tcPr>
          <w:p w14:paraId="777736A5" w14:textId="77777777" w:rsidR="00891D8F" w:rsidRPr="00E52BE0" w:rsidRDefault="00891D8F" w:rsidP="001C0ED1">
            <w:pPr>
              <w:pStyle w:val="TableText"/>
              <w:rPr>
                <w:sz w:val="26"/>
              </w:rPr>
            </w:pPr>
          </w:p>
        </w:tc>
        <w:tc>
          <w:tcPr>
            <w:tcW w:w="624" w:type="dxa"/>
          </w:tcPr>
          <w:p w14:paraId="33783E25" w14:textId="77777777" w:rsidR="00891D8F" w:rsidRPr="00E52BE0" w:rsidRDefault="00891D8F" w:rsidP="001C0ED1">
            <w:pPr>
              <w:pStyle w:val="TableText"/>
              <w:rPr>
                <w:sz w:val="26"/>
              </w:rPr>
            </w:pPr>
          </w:p>
        </w:tc>
        <w:tc>
          <w:tcPr>
            <w:tcW w:w="624" w:type="dxa"/>
          </w:tcPr>
          <w:p w14:paraId="26F4E1FE" w14:textId="77777777" w:rsidR="00891D8F" w:rsidRPr="00E52BE0" w:rsidRDefault="00891D8F" w:rsidP="001C0ED1">
            <w:pPr>
              <w:pStyle w:val="TableText"/>
              <w:rPr>
                <w:sz w:val="26"/>
              </w:rPr>
            </w:pPr>
          </w:p>
        </w:tc>
        <w:tc>
          <w:tcPr>
            <w:tcW w:w="624" w:type="dxa"/>
          </w:tcPr>
          <w:p w14:paraId="1B8E8ADE" w14:textId="77777777" w:rsidR="00891D8F" w:rsidRPr="00E52BE0" w:rsidRDefault="00891D8F" w:rsidP="001C0ED1">
            <w:pPr>
              <w:pStyle w:val="TableText"/>
              <w:rPr>
                <w:sz w:val="26"/>
              </w:rPr>
            </w:pPr>
          </w:p>
        </w:tc>
        <w:tc>
          <w:tcPr>
            <w:tcW w:w="624" w:type="dxa"/>
          </w:tcPr>
          <w:p w14:paraId="467225F6" w14:textId="77777777" w:rsidR="00891D8F" w:rsidRPr="00E52BE0" w:rsidRDefault="00891D8F" w:rsidP="001C0ED1">
            <w:pPr>
              <w:pStyle w:val="TableText"/>
              <w:rPr>
                <w:sz w:val="26"/>
              </w:rPr>
            </w:pPr>
          </w:p>
        </w:tc>
        <w:tc>
          <w:tcPr>
            <w:tcW w:w="4647" w:type="dxa"/>
          </w:tcPr>
          <w:p w14:paraId="24273ADE" w14:textId="77777777" w:rsidR="00891D8F" w:rsidRPr="00E52BE0" w:rsidRDefault="00891D8F" w:rsidP="0028147F">
            <w:pPr>
              <w:pStyle w:val="TableBlock"/>
              <w:rPr>
                <w:sz w:val="26"/>
              </w:rPr>
            </w:pPr>
            <w:r w:rsidRPr="00E52BE0">
              <w:rPr>
                <w:rFonts w:hint="cs"/>
                <w:sz w:val="26"/>
                <w:rtl/>
              </w:rPr>
              <w:t>(</w:t>
            </w:r>
            <w:r w:rsidRPr="00E52BE0">
              <w:rPr>
                <w:sz w:val="26"/>
                <w:rtl/>
              </w:rPr>
              <w:t>ב)</w:t>
            </w:r>
            <w:r w:rsidRPr="00E52BE0">
              <w:rPr>
                <w:rFonts w:cs="Times New Roman"/>
                <w:sz w:val="26"/>
                <w:rtl/>
              </w:rPr>
              <w:tab/>
            </w:r>
            <w:r w:rsidRPr="00E52BE0">
              <w:rPr>
                <w:rFonts w:hint="cs"/>
                <w:sz w:val="26"/>
                <w:rtl/>
              </w:rPr>
              <w:t>ועדה</w:t>
            </w:r>
            <w:r w:rsidRPr="00E52BE0">
              <w:rPr>
                <w:sz w:val="26"/>
                <w:rtl/>
              </w:rPr>
              <w:t xml:space="preserve"> מיוחדת </w:t>
            </w:r>
            <w:r w:rsidRPr="00E52BE0">
              <w:rPr>
                <w:rFonts w:hint="cs"/>
                <w:sz w:val="26"/>
                <w:rtl/>
              </w:rPr>
              <w:t>כאמור</w:t>
            </w:r>
            <w:r w:rsidRPr="00E52BE0">
              <w:rPr>
                <w:sz w:val="26"/>
                <w:rtl/>
              </w:rPr>
              <w:t xml:space="preserve"> בסעיף קטן (א) </w:t>
            </w:r>
            <w:r w:rsidRPr="00E52BE0">
              <w:rPr>
                <w:rFonts w:hint="cs"/>
                <w:sz w:val="26"/>
                <w:rtl/>
              </w:rPr>
              <w:t>תגיש</w:t>
            </w:r>
            <w:r w:rsidRPr="00E52BE0">
              <w:rPr>
                <w:sz w:val="26"/>
                <w:rtl/>
              </w:rPr>
              <w:t xml:space="preserve"> את המלצתה ל</w:t>
            </w:r>
            <w:r w:rsidRPr="00E52BE0">
              <w:rPr>
                <w:rFonts w:hint="cs"/>
                <w:sz w:val="26"/>
                <w:rtl/>
              </w:rPr>
              <w:t>שר</w:t>
            </w:r>
            <w:r w:rsidRPr="00E52BE0">
              <w:rPr>
                <w:sz w:val="26"/>
                <w:rtl/>
              </w:rPr>
              <w:t xml:space="preserve"> לא יאוחר מארבעה עשר ימים מיום מינויה, ובלבד שנתנה לרופא הזדמנות נאותה להשמיע </w:t>
            </w:r>
            <w:r w:rsidRPr="00E52BE0">
              <w:rPr>
                <w:rFonts w:hint="cs"/>
                <w:sz w:val="26"/>
                <w:rtl/>
              </w:rPr>
              <w:t>את</w:t>
            </w:r>
            <w:r w:rsidRPr="00E52BE0">
              <w:rPr>
                <w:sz w:val="26"/>
                <w:rtl/>
              </w:rPr>
              <w:t xml:space="preserve"> </w:t>
            </w:r>
            <w:r w:rsidRPr="00E52BE0">
              <w:rPr>
                <w:rFonts w:hint="cs"/>
                <w:sz w:val="26"/>
                <w:rtl/>
              </w:rPr>
              <w:t>טענותיו</w:t>
            </w:r>
            <w:r w:rsidRPr="00E52BE0">
              <w:rPr>
                <w:sz w:val="26"/>
                <w:rtl/>
              </w:rPr>
              <w:t xml:space="preserve"> ושהתקבלה </w:t>
            </w:r>
            <w:r w:rsidRPr="00E52BE0">
              <w:rPr>
                <w:rFonts w:hint="cs"/>
                <w:sz w:val="26"/>
                <w:rtl/>
              </w:rPr>
              <w:t>בעניינו</w:t>
            </w:r>
            <w:r w:rsidRPr="00E52BE0">
              <w:rPr>
                <w:sz w:val="26"/>
                <w:rtl/>
              </w:rPr>
              <w:t xml:space="preserve"> </w:t>
            </w:r>
            <w:r w:rsidRPr="00E52BE0">
              <w:rPr>
                <w:rFonts w:hint="cs"/>
                <w:sz w:val="26"/>
                <w:rtl/>
              </w:rPr>
              <w:t>הערכת</w:t>
            </w:r>
            <w:r w:rsidRPr="00E52BE0">
              <w:rPr>
                <w:sz w:val="26"/>
                <w:rtl/>
              </w:rPr>
              <w:t xml:space="preserve"> מסוכנות כהגדרתה בחוק הגנה על הציבור מפני ביצוע עבירות מין, התשס"ו–2006</w:t>
            </w:r>
            <w:r w:rsidRPr="0028147F">
              <w:rPr>
                <w:rStyle w:val="a6"/>
                <w:rFonts w:ascii="David" w:hAnsi="David"/>
                <w:sz w:val="26"/>
                <w:rtl/>
              </w:rPr>
              <w:footnoteReference w:id="4"/>
            </w:r>
            <w:r w:rsidRPr="00E52BE0">
              <w:rPr>
                <w:rFonts w:hint="cs"/>
                <w:sz w:val="26"/>
                <w:rtl/>
              </w:rPr>
              <w:t xml:space="preserve">; </w:t>
            </w:r>
            <w:r w:rsidRPr="00E52BE0">
              <w:rPr>
                <w:sz w:val="26"/>
                <w:rtl/>
              </w:rPr>
              <w:t>בנסיבות מיוחדות רשאי ה</w:t>
            </w:r>
            <w:r w:rsidRPr="00E52BE0">
              <w:rPr>
                <w:rFonts w:hint="cs"/>
                <w:sz w:val="26"/>
                <w:rtl/>
              </w:rPr>
              <w:t>שר</w:t>
            </w:r>
            <w:r w:rsidRPr="00E52BE0">
              <w:rPr>
                <w:sz w:val="26"/>
                <w:rtl/>
              </w:rPr>
              <w:t>, לפי בקשת הו</w:t>
            </w:r>
            <w:r w:rsidRPr="00E52BE0">
              <w:rPr>
                <w:rFonts w:hint="cs"/>
                <w:sz w:val="26"/>
                <w:rtl/>
              </w:rPr>
              <w:t>ועדה</w:t>
            </w:r>
            <w:r w:rsidRPr="00E52BE0">
              <w:rPr>
                <w:sz w:val="26"/>
                <w:rtl/>
              </w:rPr>
              <w:t xml:space="preserve">, להאריך את התקופה האמורה לתקופה נוספת </w:t>
            </w:r>
            <w:r w:rsidRPr="00E52BE0">
              <w:rPr>
                <w:rFonts w:hint="cs"/>
                <w:sz w:val="26"/>
                <w:rtl/>
              </w:rPr>
              <w:t>אחת</w:t>
            </w:r>
            <w:r w:rsidRPr="00E52BE0">
              <w:rPr>
                <w:sz w:val="26"/>
                <w:rtl/>
              </w:rPr>
              <w:t xml:space="preserve"> בלבד </w:t>
            </w:r>
            <w:r w:rsidRPr="00E52BE0">
              <w:rPr>
                <w:rFonts w:hint="cs"/>
                <w:sz w:val="26"/>
                <w:rtl/>
              </w:rPr>
              <w:t>שלא</w:t>
            </w:r>
            <w:r w:rsidRPr="00E52BE0">
              <w:rPr>
                <w:sz w:val="26"/>
                <w:rtl/>
              </w:rPr>
              <w:t xml:space="preserve"> תעלה על שלושים ימים.</w:t>
            </w:r>
          </w:p>
        </w:tc>
      </w:tr>
      <w:tr w:rsidR="00891D8F" w:rsidRPr="00E52BE0" w14:paraId="7740BB7B" w14:textId="77777777" w:rsidTr="0028147F">
        <w:trPr>
          <w:cantSplit/>
        </w:trPr>
        <w:tc>
          <w:tcPr>
            <w:tcW w:w="1871" w:type="dxa"/>
          </w:tcPr>
          <w:p w14:paraId="6C4A3E43" w14:textId="77777777" w:rsidR="00891D8F" w:rsidRPr="00E52BE0" w:rsidRDefault="00891D8F" w:rsidP="001C0ED1">
            <w:pPr>
              <w:pStyle w:val="TableSideHeading"/>
              <w:rPr>
                <w:sz w:val="26"/>
              </w:rPr>
            </w:pPr>
          </w:p>
        </w:tc>
        <w:tc>
          <w:tcPr>
            <w:tcW w:w="624" w:type="dxa"/>
          </w:tcPr>
          <w:p w14:paraId="77436F1F" w14:textId="77777777" w:rsidR="00891D8F" w:rsidRPr="00E52BE0" w:rsidRDefault="00891D8F" w:rsidP="001C0ED1">
            <w:pPr>
              <w:pStyle w:val="TableText"/>
              <w:rPr>
                <w:sz w:val="26"/>
              </w:rPr>
            </w:pPr>
          </w:p>
        </w:tc>
        <w:tc>
          <w:tcPr>
            <w:tcW w:w="624" w:type="dxa"/>
          </w:tcPr>
          <w:p w14:paraId="710AEFEB" w14:textId="77777777" w:rsidR="00891D8F" w:rsidRPr="00E52BE0" w:rsidRDefault="00891D8F" w:rsidP="001C0ED1">
            <w:pPr>
              <w:pStyle w:val="TableText"/>
              <w:rPr>
                <w:sz w:val="26"/>
              </w:rPr>
            </w:pPr>
          </w:p>
        </w:tc>
        <w:tc>
          <w:tcPr>
            <w:tcW w:w="624" w:type="dxa"/>
          </w:tcPr>
          <w:p w14:paraId="4BA30DB8" w14:textId="77777777" w:rsidR="00891D8F" w:rsidRPr="00E52BE0" w:rsidRDefault="00891D8F" w:rsidP="001C0ED1">
            <w:pPr>
              <w:pStyle w:val="TableText"/>
              <w:rPr>
                <w:sz w:val="26"/>
              </w:rPr>
            </w:pPr>
          </w:p>
        </w:tc>
        <w:tc>
          <w:tcPr>
            <w:tcW w:w="624" w:type="dxa"/>
          </w:tcPr>
          <w:p w14:paraId="495235B8" w14:textId="77777777" w:rsidR="00891D8F" w:rsidRPr="00E52BE0" w:rsidRDefault="00891D8F" w:rsidP="001C0ED1">
            <w:pPr>
              <w:pStyle w:val="TableText"/>
              <w:rPr>
                <w:sz w:val="26"/>
              </w:rPr>
            </w:pPr>
          </w:p>
        </w:tc>
        <w:tc>
          <w:tcPr>
            <w:tcW w:w="624" w:type="dxa"/>
          </w:tcPr>
          <w:p w14:paraId="71E3A091" w14:textId="77777777" w:rsidR="00891D8F" w:rsidRPr="00E52BE0" w:rsidRDefault="00891D8F" w:rsidP="001C0ED1">
            <w:pPr>
              <w:pStyle w:val="TableText"/>
              <w:rPr>
                <w:sz w:val="26"/>
              </w:rPr>
            </w:pPr>
          </w:p>
        </w:tc>
        <w:tc>
          <w:tcPr>
            <w:tcW w:w="4647" w:type="dxa"/>
          </w:tcPr>
          <w:p w14:paraId="4493DAE1" w14:textId="77777777" w:rsidR="00891D8F" w:rsidRPr="00E52BE0" w:rsidRDefault="00891D8F" w:rsidP="0028147F">
            <w:pPr>
              <w:pStyle w:val="TableBlock"/>
              <w:rPr>
                <w:sz w:val="26"/>
                <w:rtl/>
              </w:rPr>
            </w:pPr>
            <w:r w:rsidRPr="00E52BE0">
              <w:rPr>
                <w:rFonts w:hint="cs"/>
                <w:sz w:val="26"/>
                <w:rtl/>
              </w:rPr>
              <w:t>(</w:t>
            </w:r>
            <w:r w:rsidRPr="00E52BE0">
              <w:rPr>
                <w:sz w:val="26"/>
                <w:rtl/>
              </w:rPr>
              <w:t>ג)</w:t>
            </w:r>
            <w:r w:rsidRPr="00E52BE0">
              <w:rPr>
                <w:rFonts w:hint="cs"/>
                <w:sz w:val="26"/>
                <w:rtl/>
              </w:rPr>
              <w:tab/>
            </w:r>
            <w:r w:rsidRPr="00E52BE0">
              <w:rPr>
                <w:sz w:val="26"/>
                <w:rtl/>
              </w:rPr>
              <w:t>לאחר קבלת המלצת הוועדה המיוחדת, יחליט השר אם לבטל את הרישיון של הרופא, להורו</w:t>
            </w:r>
            <w:r w:rsidRPr="00E52BE0">
              <w:rPr>
                <w:rFonts w:hint="cs"/>
                <w:sz w:val="26"/>
                <w:rtl/>
              </w:rPr>
              <w:t>ת</w:t>
            </w:r>
            <w:r w:rsidRPr="00E52BE0">
              <w:rPr>
                <w:sz w:val="26"/>
                <w:rtl/>
              </w:rPr>
              <w:t xml:space="preserve"> שהרישיון יותלה לתקופה נוספת ש</w:t>
            </w:r>
            <w:r w:rsidRPr="00E52BE0">
              <w:rPr>
                <w:rFonts w:hint="cs"/>
                <w:sz w:val="26"/>
                <w:rtl/>
              </w:rPr>
              <w:t>יקבע</w:t>
            </w:r>
            <w:r w:rsidRPr="00E52BE0">
              <w:rPr>
                <w:sz w:val="26"/>
                <w:rtl/>
              </w:rPr>
              <w:t xml:space="preserve">, </w:t>
            </w:r>
            <w:r w:rsidRPr="00E52BE0">
              <w:rPr>
                <w:rFonts w:hint="cs"/>
                <w:sz w:val="26"/>
                <w:rtl/>
              </w:rPr>
              <w:t>לתת</w:t>
            </w:r>
            <w:r w:rsidRPr="00E52BE0">
              <w:rPr>
                <w:sz w:val="26"/>
                <w:rtl/>
              </w:rPr>
              <w:t xml:space="preserve"> לרופא נזיפה או התראה, </w:t>
            </w:r>
            <w:r w:rsidRPr="00E52BE0">
              <w:rPr>
                <w:rFonts w:hint="cs"/>
                <w:sz w:val="26"/>
                <w:rtl/>
              </w:rPr>
              <w:t>או</w:t>
            </w:r>
            <w:r w:rsidRPr="00E52BE0">
              <w:rPr>
                <w:sz w:val="26"/>
                <w:rtl/>
              </w:rPr>
              <w:t xml:space="preserve"> ל</w:t>
            </w:r>
            <w:r w:rsidRPr="00E52BE0">
              <w:rPr>
                <w:rFonts w:hint="cs"/>
                <w:sz w:val="26"/>
                <w:rtl/>
              </w:rPr>
              <w:t>הגביל</w:t>
            </w:r>
            <w:r w:rsidRPr="00E52BE0">
              <w:rPr>
                <w:sz w:val="26"/>
                <w:rtl/>
              </w:rPr>
              <w:t xml:space="preserve"> את תחומי עיסוקו לתקופה שי</w:t>
            </w:r>
            <w:r w:rsidRPr="00E52BE0">
              <w:rPr>
                <w:rFonts w:hint="cs"/>
                <w:sz w:val="26"/>
                <w:rtl/>
              </w:rPr>
              <w:t>קבע</w:t>
            </w:r>
            <w:r w:rsidRPr="00E52BE0">
              <w:rPr>
                <w:sz w:val="26"/>
                <w:rtl/>
              </w:rPr>
              <w:t>.</w:t>
            </w:r>
          </w:p>
        </w:tc>
      </w:tr>
      <w:tr w:rsidR="00891D8F" w:rsidRPr="00E52BE0" w14:paraId="6AA82F14" w14:textId="77777777" w:rsidTr="0028147F">
        <w:trPr>
          <w:cantSplit/>
        </w:trPr>
        <w:tc>
          <w:tcPr>
            <w:tcW w:w="1871" w:type="dxa"/>
          </w:tcPr>
          <w:p w14:paraId="09656469" w14:textId="77777777" w:rsidR="00891D8F" w:rsidRPr="00E52BE0" w:rsidRDefault="00891D8F" w:rsidP="001C0ED1">
            <w:pPr>
              <w:pStyle w:val="TableSideHeading"/>
              <w:rPr>
                <w:sz w:val="26"/>
              </w:rPr>
            </w:pPr>
          </w:p>
        </w:tc>
        <w:tc>
          <w:tcPr>
            <w:tcW w:w="624" w:type="dxa"/>
          </w:tcPr>
          <w:p w14:paraId="11C9B40A" w14:textId="77777777" w:rsidR="00891D8F" w:rsidRPr="00E52BE0" w:rsidRDefault="00891D8F" w:rsidP="001C0ED1">
            <w:pPr>
              <w:pStyle w:val="TableText"/>
              <w:rPr>
                <w:sz w:val="26"/>
              </w:rPr>
            </w:pPr>
          </w:p>
        </w:tc>
        <w:tc>
          <w:tcPr>
            <w:tcW w:w="624" w:type="dxa"/>
          </w:tcPr>
          <w:p w14:paraId="020C9756" w14:textId="77777777" w:rsidR="00891D8F" w:rsidRPr="00E52BE0" w:rsidRDefault="00891D8F" w:rsidP="001C0ED1">
            <w:pPr>
              <w:pStyle w:val="TableText"/>
              <w:rPr>
                <w:sz w:val="26"/>
              </w:rPr>
            </w:pPr>
          </w:p>
        </w:tc>
        <w:tc>
          <w:tcPr>
            <w:tcW w:w="624" w:type="dxa"/>
          </w:tcPr>
          <w:p w14:paraId="38167E75" w14:textId="77777777" w:rsidR="00891D8F" w:rsidRPr="00E52BE0" w:rsidRDefault="00891D8F" w:rsidP="001C0ED1">
            <w:pPr>
              <w:pStyle w:val="TableText"/>
              <w:rPr>
                <w:sz w:val="26"/>
              </w:rPr>
            </w:pPr>
          </w:p>
        </w:tc>
        <w:tc>
          <w:tcPr>
            <w:tcW w:w="624" w:type="dxa"/>
          </w:tcPr>
          <w:p w14:paraId="51FE1B88" w14:textId="77777777" w:rsidR="00891D8F" w:rsidRPr="00E52BE0" w:rsidRDefault="00891D8F" w:rsidP="001C0ED1">
            <w:pPr>
              <w:pStyle w:val="TableText"/>
              <w:rPr>
                <w:sz w:val="26"/>
              </w:rPr>
            </w:pPr>
          </w:p>
        </w:tc>
        <w:tc>
          <w:tcPr>
            <w:tcW w:w="624" w:type="dxa"/>
          </w:tcPr>
          <w:p w14:paraId="1C7316C3" w14:textId="77777777" w:rsidR="00891D8F" w:rsidRPr="00E52BE0" w:rsidRDefault="00891D8F" w:rsidP="001C0ED1">
            <w:pPr>
              <w:pStyle w:val="TableText"/>
              <w:rPr>
                <w:sz w:val="26"/>
              </w:rPr>
            </w:pPr>
          </w:p>
        </w:tc>
        <w:tc>
          <w:tcPr>
            <w:tcW w:w="4647" w:type="dxa"/>
          </w:tcPr>
          <w:p w14:paraId="063CEEF7" w14:textId="77777777" w:rsidR="00891D8F" w:rsidRPr="00E52BE0" w:rsidRDefault="00891D8F" w:rsidP="0028147F">
            <w:pPr>
              <w:pStyle w:val="TableBlock"/>
              <w:rPr>
                <w:sz w:val="26"/>
                <w:rtl/>
              </w:rPr>
            </w:pPr>
            <w:r w:rsidRPr="00E52BE0">
              <w:rPr>
                <w:rFonts w:hint="cs"/>
                <w:sz w:val="26"/>
                <w:rtl/>
              </w:rPr>
              <w:t>(ד)</w:t>
            </w:r>
            <w:r w:rsidRPr="00E52BE0">
              <w:rPr>
                <w:sz w:val="26"/>
                <w:rtl/>
              </w:rPr>
              <w:tab/>
              <w:t>הוועדה תגיש דין וחשבון בכתב לשר על אופן פעולתה."</w:t>
            </w:r>
          </w:p>
        </w:tc>
      </w:tr>
      <w:tr w:rsidR="00891D8F" w:rsidRPr="00E52BE0" w14:paraId="3CA69231" w14:textId="77777777" w:rsidTr="0028147F">
        <w:trPr>
          <w:cantSplit/>
        </w:trPr>
        <w:tc>
          <w:tcPr>
            <w:tcW w:w="1871" w:type="dxa"/>
          </w:tcPr>
          <w:p w14:paraId="5122F8B1" w14:textId="77777777" w:rsidR="00891D8F" w:rsidRPr="00E52BE0" w:rsidRDefault="00891D8F" w:rsidP="001C0ED1">
            <w:pPr>
              <w:pStyle w:val="TableSideHeading"/>
              <w:rPr>
                <w:sz w:val="26"/>
              </w:rPr>
            </w:pPr>
            <w:r w:rsidRPr="00E52BE0">
              <w:rPr>
                <w:rFonts w:hint="cs"/>
                <w:sz w:val="26"/>
                <w:rtl/>
              </w:rPr>
              <w:t>תיקון סעיף 56</w:t>
            </w:r>
          </w:p>
        </w:tc>
        <w:tc>
          <w:tcPr>
            <w:tcW w:w="624" w:type="dxa"/>
          </w:tcPr>
          <w:p w14:paraId="45AB83C1" w14:textId="77777777" w:rsidR="00891D8F" w:rsidRPr="00E52BE0" w:rsidRDefault="00891D8F" w:rsidP="001C0ED1">
            <w:pPr>
              <w:pStyle w:val="TableText"/>
              <w:rPr>
                <w:sz w:val="26"/>
              </w:rPr>
            </w:pPr>
            <w:r w:rsidRPr="00E52BE0">
              <w:rPr>
                <w:rFonts w:hint="cs"/>
                <w:sz w:val="26"/>
                <w:rtl/>
              </w:rPr>
              <w:t>2.</w:t>
            </w:r>
          </w:p>
        </w:tc>
        <w:tc>
          <w:tcPr>
            <w:tcW w:w="7143" w:type="dxa"/>
            <w:gridSpan w:val="5"/>
          </w:tcPr>
          <w:p w14:paraId="5FEA5AB4" w14:textId="77777777" w:rsidR="00891D8F" w:rsidRPr="00E52BE0" w:rsidRDefault="00891D8F" w:rsidP="0028147F">
            <w:pPr>
              <w:pStyle w:val="TableBlock"/>
              <w:rPr>
                <w:sz w:val="26"/>
              </w:rPr>
            </w:pPr>
            <w:r w:rsidRPr="00E52BE0">
              <w:rPr>
                <w:rFonts w:hint="cs"/>
                <w:sz w:val="26"/>
                <w:rtl/>
              </w:rPr>
              <w:t>בסעיף</w:t>
            </w:r>
            <w:r w:rsidRPr="00E52BE0">
              <w:rPr>
                <w:sz w:val="26"/>
                <w:rtl/>
              </w:rPr>
              <w:t xml:space="preserve"> 56(א) לחוק העיקרי, בסופו יבוא "ולעניין הרשעה בעבירת מין כ</w:t>
            </w:r>
            <w:r w:rsidRPr="00E52BE0">
              <w:rPr>
                <w:rFonts w:hint="cs"/>
                <w:sz w:val="26"/>
                <w:rtl/>
              </w:rPr>
              <w:t>משמעותה</w:t>
            </w:r>
            <w:r w:rsidRPr="00E52BE0">
              <w:rPr>
                <w:sz w:val="26"/>
                <w:rtl/>
              </w:rPr>
              <w:t xml:space="preserve"> </w:t>
            </w:r>
            <w:r w:rsidRPr="00E52BE0">
              <w:rPr>
                <w:rFonts w:hint="cs"/>
                <w:sz w:val="26"/>
                <w:rtl/>
              </w:rPr>
              <w:t>בסעיף</w:t>
            </w:r>
            <w:r w:rsidRPr="00E52BE0">
              <w:rPr>
                <w:sz w:val="26"/>
                <w:rtl/>
              </w:rPr>
              <w:t xml:space="preserve"> 41א(א), יודיע רשם בית המשפט על הרשעה כאמור גם לשר.".</w:t>
            </w:r>
          </w:p>
        </w:tc>
      </w:tr>
    </w:tbl>
    <w:p w14:paraId="7F6961CA" w14:textId="77777777" w:rsidR="002D1EE3" w:rsidRDefault="002D1EE3" w:rsidP="002D1EE3">
      <w:pPr>
        <w:pStyle w:val="HeadDivreiHesber"/>
        <w:rPr>
          <w:rtl/>
        </w:rPr>
      </w:pPr>
      <w:r w:rsidRPr="0027450A">
        <w:rPr>
          <w:rFonts w:hint="cs"/>
          <w:rtl/>
        </w:rPr>
        <w:t>דברי הסבר</w:t>
      </w:r>
    </w:p>
    <w:p w14:paraId="216337BF" w14:textId="77777777" w:rsidR="00891D8F" w:rsidRPr="00363EA3" w:rsidRDefault="00891D8F" w:rsidP="0028147F">
      <w:pPr>
        <w:pStyle w:val="Hesber"/>
        <w:spacing w:line="276" w:lineRule="auto"/>
        <w:rPr>
          <w:rtl/>
        </w:rPr>
      </w:pPr>
      <w:r w:rsidRPr="00363EA3">
        <w:rPr>
          <w:rFonts w:hint="cs"/>
          <w:rtl/>
        </w:rPr>
        <w:t>החוק</w:t>
      </w:r>
      <w:r w:rsidRPr="00363EA3">
        <w:rPr>
          <w:rtl/>
        </w:rPr>
        <w:t xml:space="preserve"> למניעת העסקה של עברייני מין במוסדות מסוימים, התשס"א–2001, קובע איסור על מעסיק לקבל לעבודה או להעסיק אדם שהורשע בעבירת מין במוסדות המפורטים בחוק האמור. הוראות חוק זה חלות, בין היתר, על בתי חולים ומרפאות</w:t>
      </w:r>
      <w:r w:rsidRPr="00363EA3">
        <w:rPr>
          <w:rFonts w:hint="cs"/>
          <w:rtl/>
        </w:rPr>
        <w:t xml:space="preserve"> לילדים ומחלקות ילדים בבתי חולים,</w:t>
      </w:r>
      <w:r w:rsidRPr="00363EA3">
        <w:rPr>
          <w:rtl/>
        </w:rPr>
        <w:t xml:space="preserve"> אולם </w:t>
      </w:r>
      <w:r w:rsidRPr="00363EA3">
        <w:rPr>
          <w:rFonts w:hint="cs"/>
          <w:rtl/>
        </w:rPr>
        <w:t>לא</w:t>
      </w:r>
      <w:r w:rsidRPr="00363EA3">
        <w:rPr>
          <w:rtl/>
        </w:rPr>
        <w:t xml:space="preserve"> מגבילות רופא שהורשע בעבירה כאמור לעבוד </w:t>
      </w:r>
      <w:r w:rsidRPr="00363EA3">
        <w:rPr>
          <w:rFonts w:hint="cs"/>
          <w:rtl/>
        </w:rPr>
        <w:t>במקומות אחרים, שהחוק לא חל לגביהם</w:t>
      </w:r>
      <w:r w:rsidRPr="00363EA3">
        <w:rPr>
          <w:rtl/>
        </w:rPr>
        <w:t xml:space="preserve">. </w:t>
      </w:r>
    </w:p>
    <w:p w14:paraId="765E5A99" w14:textId="77777777" w:rsidR="00891D8F" w:rsidRPr="00363EA3" w:rsidRDefault="00891D8F" w:rsidP="0028147F">
      <w:pPr>
        <w:pStyle w:val="Hesber"/>
        <w:spacing w:line="276" w:lineRule="auto"/>
        <w:rPr>
          <w:rtl/>
        </w:rPr>
      </w:pPr>
      <w:r w:rsidRPr="00363EA3">
        <w:rPr>
          <w:rFonts w:hint="cs"/>
          <w:rtl/>
        </w:rPr>
        <w:t>במצב</w:t>
      </w:r>
      <w:r w:rsidRPr="00363EA3">
        <w:rPr>
          <w:rtl/>
        </w:rPr>
        <w:t xml:space="preserve"> זה, </w:t>
      </w:r>
      <w:r w:rsidRPr="00363EA3">
        <w:rPr>
          <w:rFonts w:hint="cs"/>
          <w:rtl/>
        </w:rPr>
        <w:t>רופא</w:t>
      </w:r>
      <w:r w:rsidRPr="00363EA3">
        <w:rPr>
          <w:rtl/>
        </w:rPr>
        <w:t xml:space="preserve"> אשר הורשע בעבירת מין יכול להמשיך ולעסוק ברפואה ובכלל זה ל</w:t>
      </w:r>
      <w:r w:rsidRPr="00363EA3">
        <w:rPr>
          <w:rFonts w:hint="cs"/>
          <w:rtl/>
        </w:rPr>
        <w:t>בוא</w:t>
      </w:r>
      <w:r w:rsidRPr="00363EA3">
        <w:rPr>
          <w:rtl/>
        </w:rPr>
        <w:t xml:space="preserve"> במגע עם חסרי ישע, קטינים ואנשים עם מוגבלויות במסגרת הטיפול בהם, ללא בקרה או השגחה, </w:t>
      </w:r>
      <w:r w:rsidRPr="00363EA3">
        <w:rPr>
          <w:rFonts w:hint="cs"/>
          <w:rtl/>
        </w:rPr>
        <w:t>ובלי</w:t>
      </w:r>
      <w:r w:rsidRPr="00363EA3">
        <w:rPr>
          <w:rtl/>
        </w:rPr>
        <w:t xml:space="preserve"> שהם יודעים שהוא הורשע. </w:t>
      </w:r>
    </w:p>
    <w:p w14:paraId="1CC692F9" w14:textId="77777777" w:rsidR="00891D8F" w:rsidRPr="00363EA3" w:rsidRDefault="00891D8F" w:rsidP="0028147F">
      <w:pPr>
        <w:pStyle w:val="Hesber"/>
        <w:spacing w:line="276" w:lineRule="auto"/>
        <w:rPr>
          <w:rtl/>
        </w:rPr>
      </w:pPr>
      <w:r w:rsidRPr="00363EA3">
        <w:rPr>
          <w:rFonts w:hint="cs"/>
          <w:rtl/>
        </w:rPr>
        <w:t>סעיף</w:t>
      </w:r>
      <w:r w:rsidRPr="00363EA3">
        <w:rPr>
          <w:rtl/>
        </w:rPr>
        <w:t xml:space="preserve"> 41 לפקודת הרופאים [נוסח חדש], התשל"ז–1976 (להלן – הפקודה), קובע כי שלילה או התלייה של רישיון של רופא שהורשע </w:t>
      </w:r>
      <w:r w:rsidRPr="00363EA3">
        <w:rPr>
          <w:rFonts w:hint="cs"/>
          <w:rtl/>
        </w:rPr>
        <w:t>בעבירה</w:t>
      </w:r>
      <w:r w:rsidRPr="00363EA3">
        <w:rPr>
          <w:rtl/>
        </w:rPr>
        <w:t xml:space="preserve"> פלילית שלא לפי הפקודה תלוי</w:t>
      </w:r>
      <w:r w:rsidRPr="00363EA3">
        <w:rPr>
          <w:rFonts w:hint="cs"/>
          <w:rtl/>
        </w:rPr>
        <w:t>ה</w:t>
      </w:r>
      <w:r w:rsidRPr="00363EA3">
        <w:rPr>
          <w:rtl/>
        </w:rPr>
        <w:t xml:space="preserve"> בכך שהוגשה קובלנה של המנהל או של אדם שנפגע מאותו רופא וכן שניתנה לרופא הזדמנות להשמיע את טענותיו בפני ועדה. </w:t>
      </w:r>
      <w:r w:rsidRPr="00363EA3">
        <w:rPr>
          <w:rFonts w:hint="cs"/>
          <w:rtl/>
        </w:rPr>
        <w:t>התהליך</w:t>
      </w:r>
      <w:r w:rsidRPr="00363EA3">
        <w:rPr>
          <w:rtl/>
        </w:rPr>
        <w:t xml:space="preserve"> האמור </w:t>
      </w:r>
      <w:r w:rsidRPr="00363EA3">
        <w:rPr>
          <w:rFonts w:hint="cs"/>
          <w:rtl/>
        </w:rPr>
        <w:t>עשוי</w:t>
      </w:r>
      <w:r w:rsidRPr="00363EA3">
        <w:rPr>
          <w:rtl/>
        </w:rPr>
        <w:t xml:space="preserve"> להימשך תקופה ארוכה, שבמהלכה הרופא ממשיך לעבוד.</w:t>
      </w:r>
    </w:p>
    <w:p w14:paraId="090129CF" w14:textId="77777777" w:rsidR="00891D8F" w:rsidRPr="00363EA3" w:rsidRDefault="00891D8F" w:rsidP="0028147F">
      <w:pPr>
        <w:pStyle w:val="Hesber"/>
        <w:spacing w:line="276" w:lineRule="auto"/>
        <w:rPr>
          <w:rtl/>
        </w:rPr>
      </w:pPr>
      <w:r w:rsidRPr="00363EA3">
        <w:rPr>
          <w:rFonts w:hint="cs"/>
          <w:rtl/>
        </w:rPr>
        <w:t>לפיכך</w:t>
      </w:r>
      <w:r w:rsidRPr="00363EA3">
        <w:rPr>
          <w:rtl/>
        </w:rPr>
        <w:t xml:space="preserve">, מוצע שהשר יתלה את רישיונו של רופא שהורשע בעבירת מין, מיד עם קבלת הודעה על </w:t>
      </w:r>
      <w:r w:rsidRPr="00363EA3">
        <w:rPr>
          <w:rFonts w:hint="cs"/>
          <w:rtl/>
        </w:rPr>
        <w:t>ההרשעה</w:t>
      </w:r>
      <w:r w:rsidRPr="00363EA3">
        <w:rPr>
          <w:rtl/>
        </w:rPr>
        <w:t xml:space="preserve"> מרשם בית המשפט. התלייה זו תעמוד בתוקף עד שתתקבל המלצתה של ועדה מיוחדת (להלן – הוועדה) שימנה ה</w:t>
      </w:r>
      <w:r w:rsidRPr="00363EA3">
        <w:rPr>
          <w:rFonts w:hint="cs"/>
          <w:rtl/>
        </w:rPr>
        <w:t>מנהל</w:t>
      </w:r>
      <w:r w:rsidRPr="00363EA3">
        <w:rPr>
          <w:rtl/>
        </w:rPr>
        <w:t xml:space="preserve"> לעניין זה. לאחר קבלת המלצת הוועדה יחליט השר אם לבטל את רישיונו של </w:t>
      </w:r>
      <w:r w:rsidRPr="00363EA3">
        <w:rPr>
          <w:rFonts w:hint="cs"/>
          <w:rtl/>
        </w:rPr>
        <w:t>הרופא</w:t>
      </w:r>
      <w:r w:rsidRPr="00363EA3">
        <w:rPr>
          <w:rtl/>
        </w:rPr>
        <w:t xml:space="preserve">, להתלותו לתקופה נוספת שיקבע, לתת לרופא נזיפה או התראה או </w:t>
      </w:r>
      <w:r w:rsidRPr="00363EA3">
        <w:rPr>
          <w:rFonts w:hint="cs"/>
          <w:rtl/>
        </w:rPr>
        <w:t>להגביל</w:t>
      </w:r>
      <w:r w:rsidRPr="00363EA3">
        <w:rPr>
          <w:rtl/>
        </w:rPr>
        <w:t xml:space="preserve"> את תחומי עיסוקו לתקופה שי</w:t>
      </w:r>
      <w:r w:rsidRPr="00363EA3">
        <w:rPr>
          <w:rFonts w:hint="cs"/>
          <w:rtl/>
        </w:rPr>
        <w:t>קבע</w:t>
      </w:r>
      <w:r w:rsidRPr="00363EA3">
        <w:rPr>
          <w:rtl/>
        </w:rPr>
        <w:t xml:space="preserve">. </w:t>
      </w:r>
      <w:r w:rsidRPr="00363EA3">
        <w:rPr>
          <w:rFonts w:hint="cs"/>
          <w:rtl/>
        </w:rPr>
        <w:t>הוועדה</w:t>
      </w:r>
      <w:r w:rsidRPr="00363EA3">
        <w:rPr>
          <w:rtl/>
        </w:rPr>
        <w:t xml:space="preserve"> תהיה מחויבת לתת לרופא הזדמנות נאותה להשמיע את טענותיו וכן תהיה מחויבת לקבל הערכת מסוכנות בעניינו</w:t>
      </w:r>
      <w:r w:rsidRPr="00363EA3">
        <w:rPr>
          <w:rFonts w:hint="cs"/>
          <w:rtl/>
        </w:rPr>
        <w:t xml:space="preserve">, </w:t>
      </w:r>
      <w:r w:rsidRPr="00363EA3">
        <w:rPr>
          <w:rtl/>
        </w:rPr>
        <w:t xml:space="preserve">כדי שתוכל לשקול את הסיכוי לעבריינות מין חוזרת מצד </w:t>
      </w:r>
      <w:r w:rsidRPr="00363EA3">
        <w:rPr>
          <w:rFonts w:hint="cs"/>
          <w:rtl/>
        </w:rPr>
        <w:t>הרופא</w:t>
      </w:r>
      <w:r w:rsidRPr="00363EA3">
        <w:rPr>
          <w:rtl/>
        </w:rPr>
        <w:t>.</w:t>
      </w:r>
    </w:p>
    <w:p w14:paraId="0CADAB64" w14:textId="77777777" w:rsidR="00891D8F" w:rsidRPr="00363EA3" w:rsidRDefault="00891D8F" w:rsidP="0028147F">
      <w:pPr>
        <w:pStyle w:val="Hesber"/>
        <w:spacing w:line="276" w:lineRule="auto"/>
        <w:rPr>
          <w:rtl/>
        </w:rPr>
      </w:pPr>
      <w:r w:rsidRPr="00363EA3">
        <w:rPr>
          <w:rFonts w:hint="cs"/>
          <w:rtl/>
        </w:rPr>
        <w:t xml:space="preserve">ההצעה נוסחה בסיוע איגוד מרכזי הסיוע לנפגעות ולנפגעי תקיפה מינית. </w:t>
      </w:r>
    </w:p>
    <w:p w14:paraId="7D94CFD9" w14:textId="3DC35529" w:rsidR="00891D8F" w:rsidRPr="00363EA3" w:rsidRDefault="00891D8F" w:rsidP="0028147F">
      <w:pPr>
        <w:pStyle w:val="Hesber"/>
        <w:spacing w:line="276" w:lineRule="auto"/>
        <w:rPr>
          <w:rtl/>
        </w:rPr>
      </w:pPr>
      <w:r w:rsidRPr="00363EA3">
        <w:rPr>
          <w:rFonts w:hint="cs"/>
          <w:rtl/>
        </w:rPr>
        <w:t>הצע</w:t>
      </w:r>
      <w:r w:rsidR="00B977C4">
        <w:rPr>
          <w:rFonts w:hint="cs"/>
          <w:rtl/>
        </w:rPr>
        <w:t>ו</w:t>
      </w:r>
      <w:r w:rsidRPr="00363EA3">
        <w:rPr>
          <w:rFonts w:hint="cs"/>
          <w:rtl/>
        </w:rPr>
        <w:t>ת חוק זה</w:t>
      </w:r>
      <w:r w:rsidR="00B977C4">
        <w:rPr>
          <w:rFonts w:hint="cs"/>
          <w:rtl/>
        </w:rPr>
        <w:t>ות</w:t>
      </w:r>
      <w:r w:rsidRPr="00363EA3">
        <w:rPr>
          <w:rFonts w:hint="cs"/>
          <w:rtl/>
        </w:rPr>
        <w:t xml:space="preserve"> הונח</w:t>
      </w:r>
      <w:r w:rsidR="00B977C4">
        <w:rPr>
          <w:rFonts w:hint="cs"/>
          <w:rtl/>
        </w:rPr>
        <w:t>ו</w:t>
      </w:r>
      <w:r w:rsidRPr="00363EA3">
        <w:rPr>
          <w:rFonts w:hint="cs"/>
          <w:rtl/>
        </w:rPr>
        <w:t xml:space="preserve"> על שול</w:t>
      </w:r>
      <w:bookmarkStart w:id="8" w:name="_GoBack"/>
      <w:bookmarkEnd w:id="8"/>
      <w:r w:rsidRPr="00363EA3">
        <w:rPr>
          <w:rFonts w:hint="cs"/>
          <w:rtl/>
        </w:rPr>
        <w:t xml:space="preserve">חן הכנסת העשרים ושלוש על ידי חברת הכנסת אורנה ברביבאי וקבוצת חברי הכנסת (פ/1593/23) ועל שולחן הכנסת העשרים וארבע על ידי </w:t>
      </w:r>
      <w:r w:rsidR="00363EA3">
        <w:rPr>
          <w:rFonts w:hint="cs"/>
          <w:rtl/>
        </w:rPr>
        <w:t>חבר הכנסת יוראי להב הרצנו</w:t>
      </w:r>
      <w:r w:rsidRPr="00363EA3">
        <w:rPr>
          <w:rFonts w:hint="cs"/>
          <w:rtl/>
        </w:rPr>
        <w:t xml:space="preserve"> (פ/69/24).</w:t>
      </w:r>
    </w:p>
    <w:p w14:paraId="4768B788" w14:textId="36B6D86D" w:rsidR="00363EA3" w:rsidRDefault="00363EA3" w:rsidP="0028147F">
      <w:pPr>
        <w:pStyle w:val="Hesber"/>
        <w:spacing w:line="276" w:lineRule="auto"/>
        <w:rPr>
          <w:rtl/>
        </w:rPr>
      </w:pPr>
      <w:r>
        <w:rPr>
          <w:rFonts w:hint="cs"/>
          <w:rtl/>
        </w:rPr>
        <w:t xml:space="preserve">הצעת </w:t>
      </w:r>
      <w:r w:rsidR="0028147F">
        <w:rPr>
          <w:rFonts w:hint="cs"/>
          <w:rtl/>
        </w:rPr>
        <w:t>החוק זהה לפ/1593/23 ולפיכך</w:t>
      </w:r>
      <w:r>
        <w:rPr>
          <w:rFonts w:hint="cs"/>
          <w:rtl/>
        </w:rPr>
        <w:t xml:space="preserve"> לא נבדקה מחדש על ידי הלשכה המשפטית של הכנסת. </w:t>
      </w:r>
    </w:p>
    <w:p w14:paraId="7F6961CB" w14:textId="77777777" w:rsidR="00E13C27" w:rsidRDefault="00E13C27" w:rsidP="0028147F">
      <w:pPr>
        <w:pStyle w:val="Hesber"/>
        <w:spacing w:line="276" w:lineRule="auto"/>
        <w:rPr>
          <w:rtl/>
        </w:rPr>
      </w:pPr>
    </w:p>
    <w:p w14:paraId="26883635" w14:textId="77777777" w:rsidR="00C30828" w:rsidRDefault="0028147F" w:rsidP="0028147F">
      <w:pPr>
        <w:spacing w:line="276" w:lineRule="auto"/>
        <w:jc w:val="left"/>
      </w:pPr>
      <w:bookmarkStart w:id="9" w:name="selectedDocDateB"/>
      <w:bookmarkEnd w:id="9"/>
      <w:r>
        <w:rPr>
          <w:rFonts w:eastAsia="David" w:hint="cs"/>
          <w:sz w:val="26"/>
          <w:szCs w:val="26"/>
          <w:rtl/>
        </w:rPr>
        <w:t>---------------</w:t>
      </w:r>
      <w:r>
        <w:rPr>
          <w:rFonts w:eastAsia="David" w:hint="cs"/>
          <w:sz w:val="26"/>
          <w:szCs w:val="26"/>
          <w:rtl/>
        </w:rPr>
        <w:t>-----------------</w:t>
      </w:r>
    </w:p>
    <w:p w14:paraId="529445E0" w14:textId="77777777" w:rsidR="00C30828" w:rsidRDefault="0028147F" w:rsidP="0028147F">
      <w:pPr>
        <w:spacing w:line="276" w:lineRule="auto"/>
        <w:jc w:val="left"/>
      </w:pPr>
      <w:r>
        <w:rPr>
          <w:rFonts w:eastAsia="David" w:hint="cs"/>
          <w:sz w:val="26"/>
          <w:szCs w:val="26"/>
          <w:rtl/>
        </w:rPr>
        <w:t>הוגשה ליו"ר הכנסת והסגנים</w:t>
      </w:r>
    </w:p>
    <w:p w14:paraId="1D498C2D" w14:textId="77777777" w:rsidR="00C30828" w:rsidRDefault="0028147F" w:rsidP="0028147F">
      <w:pPr>
        <w:spacing w:line="276" w:lineRule="auto"/>
        <w:jc w:val="left"/>
      </w:pPr>
      <w:r>
        <w:rPr>
          <w:rFonts w:eastAsia="David" w:hint="cs"/>
          <w:sz w:val="26"/>
          <w:szCs w:val="26"/>
          <w:rtl/>
        </w:rPr>
        <w:t>והונחה על שולחן הכנסת ביום</w:t>
      </w:r>
    </w:p>
    <w:p w14:paraId="2993601C" w14:textId="77777777" w:rsidR="00C30828" w:rsidRDefault="0028147F" w:rsidP="0028147F">
      <w:pPr>
        <w:spacing w:line="276" w:lineRule="auto"/>
        <w:jc w:val="left"/>
      </w:pPr>
      <w:r>
        <w:rPr>
          <w:rFonts w:eastAsia="David" w:hint="cs"/>
          <w:sz w:val="26"/>
          <w:szCs w:val="26"/>
          <w:rtl/>
        </w:rPr>
        <w:t xml:space="preserve">י"א בכסלו התשפ"ב (15.11.2021) </w:t>
      </w:r>
    </w:p>
    <w:p w14:paraId="0E45CAF8" w14:textId="77777777" w:rsidR="00C30828" w:rsidRDefault="00C30828">
      <w:pPr>
        <w:spacing w:line="276" w:lineRule="auto"/>
        <w:jc w:val="left"/>
      </w:pPr>
    </w:p>
    <w:sectPr w:rsidR="00C30828" w:rsidSect="0028147F">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28147F">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28147F">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5D4343BB" w14:textId="77777777" w:rsidR="00891D8F" w:rsidRDefault="00891D8F" w:rsidP="00891D8F">
      <w:pPr>
        <w:pStyle w:val="a4"/>
        <w:rPr>
          <w:rtl/>
        </w:rPr>
      </w:pPr>
      <w:r>
        <w:rPr>
          <w:rStyle w:val="a6"/>
        </w:rPr>
        <w:footnoteRef/>
      </w:r>
      <w:r>
        <w:rPr>
          <w:rtl/>
        </w:rPr>
        <w:t xml:space="preserve"> </w:t>
      </w:r>
      <w:r w:rsidRPr="002C2A85">
        <w:rPr>
          <w:rFonts w:hint="cs"/>
          <w:rtl/>
        </w:rPr>
        <w:t>דיני</w:t>
      </w:r>
      <w:r w:rsidRPr="002C2A85">
        <w:rPr>
          <w:rtl/>
        </w:rPr>
        <w:t xml:space="preserve"> מדינת ישראל, נוסח חדש 30, עמ' 594.</w:t>
      </w:r>
    </w:p>
  </w:footnote>
  <w:footnote w:id="3">
    <w:p w14:paraId="788A4648" w14:textId="77777777" w:rsidR="00891D8F" w:rsidRDefault="00891D8F" w:rsidP="00891D8F">
      <w:pPr>
        <w:pStyle w:val="a4"/>
      </w:pPr>
      <w:r>
        <w:rPr>
          <w:rStyle w:val="a6"/>
        </w:rPr>
        <w:footnoteRef/>
      </w:r>
      <w:r>
        <w:rPr>
          <w:rtl/>
        </w:rPr>
        <w:t xml:space="preserve"> ס"ח התשס"א, עמ' 509.</w:t>
      </w:r>
    </w:p>
  </w:footnote>
  <w:footnote w:id="4">
    <w:p w14:paraId="6BB720D4" w14:textId="77777777" w:rsidR="00891D8F" w:rsidRDefault="00891D8F" w:rsidP="00891D8F">
      <w:pPr>
        <w:pStyle w:val="a4"/>
      </w:pPr>
      <w:r>
        <w:rPr>
          <w:rStyle w:val="a6"/>
        </w:rPr>
        <w:footnoteRef/>
      </w:r>
      <w:r>
        <w:rPr>
          <w:rtl/>
        </w:rPr>
        <w:t xml:space="preserve"> ס"ח התשס"ו, עמ'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8147F"/>
    <w:rsid w:val="00292712"/>
    <w:rsid w:val="002A487D"/>
    <w:rsid w:val="002C2E29"/>
    <w:rsid w:val="002C3041"/>
    <w:rsid w:val="002D1EE3"/>
    <w:rsid w:val="002F1D80"/>
    <w:rsid w:val="003232A2"/>
    <w:rsid w:val="00325C14"/>
    <w:rsid w:val="00363EA3"/>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1D8F"/>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46D80"/>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977C4"/>
    <w:rsid w:val="00BC45FB"/>
    <w:rsid w:val="00BF148D"/>
    <w:rsid w:val="00C23B1A"/>
    <w:rsid w:val="00C30828"/>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9314A672-A27E-4789-9F94-89295B8D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7F"/>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28147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8147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8147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8147F"/>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8147F"/>
    <w:pPr>
      <w:spacing w:line="259" w:lineRule="auto"/>
      <w:outlineLvl w:val="4"/>
    </w:pPr>
    <w:rPr>
      <w:color w:val="000000" w:themeColor="text1"/>
    </w:rPr>
  </w:style>
  <w:style w:type="character" w:default="1" w:styleId="a0">
    <w:name w:val="Default Paragraph Font"/>
    <w:uiPriority w:val="1"/>
    <w:semiHidden/>
    <w:unhideWhenUsed/>
    <w:rsid w:val="0028147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8147F"/>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28147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8147F"/>
    <w:rPr>
      <w:sz w:val="36"/>
      <w:szCs w:val="52"/>
    </w:rPr>
  </w:style>
  <w:style w:type="paragraph" w:customStyle="1" w:styleId="Cover3-Haknesset">
    <w:name w:val="Cover 3-Haknesset"/>
    <w:basedOn w:val="Cover1-Reshumot"/>
    <w:rsid w:val="0028147F"/>
    <w:rPr>
      <w:b/>
      <w:bCs/>
      <w:spacing w:val="60"/>
    </w:rPr>
  </w:style>
  <w:style w:type="paragraph" w:customStyle="1" w:styleId="Cover4-Date">
    <w:name w:val="Cover 4-Date"/>
    <w:basedOn w:val="a"/>
    <w:rsid w:val="0028147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28147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8147F"/>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28147F"/>
    <w:pPr>
      <w:spacing w:before="120" w:after="120"/>
    </w:pPr>
    <w:rPr>
      <w:color w:val="FF0000"/>
      <w:w w:val="80"/>
    </w:rPr>
  </w:style>
  <w:style w:type="paragraph" w:styleId="a3">
    <w:name w:val="endnote text"/>
    <w:basedOn w:val="a"/>
    <w:semiHidden/>
    <w:rsid w:val="0028147F"/>
    <w:pPr>
      <w:ind w:left="227" w:hanging="227"/>
    </w:pPr>
    <w:rPr>
      <w:sz w:val="14"/>
      <w:szCs w:val="22"/>
    </w:rPr>
  </w:style>
  <w:style w:type="paragraph" w:customStyle="1" w:styleId="TableText">
    <w:name w:val="Table Text"/>
    <w:basedOn w:val="a"/>
    <w:rsid w:val="0028147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8147F"/>
    <w:pPr>
      <w:outlineLvl w:val="2"/>
    </w:pPr>
  </w:style>
  <w:style w:type="paragraph" w:customStyle="1" w:styleId="TableBlock">
    <w:name w:val="Table Block"/>
    <w:basedOn w:val="TableText"/>
    <w:rsid w:val="0028147F"/>
    <w:pPr>
      <w:jc w:val="both"/>
    </w:pPr>
  </w:style>
  <w:style w:type="paragraph" w:customStyle="1" w:styleId="TableHead">
    <w:name w:val="Table Head"/>
    <w:basedOn w:val="TableText"/>
    <w:rsid w:val="0028147F"/>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28147F"/>
    <w:pPr>
      <w:outlineLvl w:val="9"/>
    </w:pPr>
  </w:style>
  <w:style w:type="paragraph" w:customStyle="1" w:styleId="Hesber">
    <w:name w:val="Hesber"/>
    <w:basedOn w:val="a"/>
    <w:rsid w:val="0028147F"/>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28147F"/>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28147F"/>
    <w:rPr>
      <w:vertAlign w:val="superscript"/>
    </w:rPr>
  </w:style>
  <w:style w:type="paragraph" w:customStyle="1" w:styleId="HesberHeading">
    <w:name w:val="Hesber Heading"/>
    <w:basedOn w:val="Hesber"/>
    <w:rsid w:val="0028147F"/>
    <w:pPr>
      <w:tabs>
        <w:tab w:val="left" w:pos="624"/>
        <w:tab w:val="left" w:pos="1247"/>
      </w:tabs>
    </w:pPr>
    <w:rPr>
      <w:b/>
      <w:bCs/>
    </w:rPr>
  </w:style>
  <w:style w:type="paragraph" w:customStyle="1" w:styleId="HesberWriters">
    <w:name w:val="Hesber Writers"/>
    <w:basedOn w:val="Hesber"/>
    <w:rsid w:val="0028147F"/>
    <w:pPr>
      <w:spacing w:before="120" w:after="120"/>
      <w:ind w:left="1418"/>
      <w:jc w:val="right"/>
    </w:pPr>
    <w:rPr>
      <w:b/>
      <w:bCs/>
    </w:rPr>
  </w:style>
  <w:style w:type="paragraph" w:customStyle="1" w:styleId="Hesber1st">
    <w:name w:val="Hesber 1st"/>
    <w:basedOn w:val="Hesber"/>
    <w:rsid w:val="0028147F"/>
    <w:pPr>
      <w:tabs>
        <w:tab w:val="left" w:pos="680"/>
        <w:tab w:val="left" w:pos="1020"/>
      </w:tabs>
      <w:ind w:firstLine="0"/>
    </w:pPr>
  </w:style>
  <w:style w:type="character" w:styleId="a7">
    <w:name w:val="endnote reference"/>
    <w:basedOn w:val="a0"/>
    <w:semiHidden/>
    <w:rsid w:val="0028147F"/>
    <w:rPr>
      <w:vertAlign w:val="superscript"/>
    </w:rPr>
  </w:style>
  <w:style w:type="paragraph" w:customStyle="1" w:styleId="TableBlockOutdent">
    <w:name w:val="Table BlockOutdent"/>
    <w:basedOn w:val="TableBlock"/>
    <w:rsid w:val="0028147F"/>
    <w:pPr>
      <w:ind w:left="624" w:hanging="624"/>
    </w:pPr>
  </w:style>
  <w:style w:type="paragraph" w:styleId="a8">
    <w:name w:val="header"/>
    <w:basedOn w:val="a"/>
    <w:rsid w:val="0028147F"/>
    <w:pPr>
      <w:tabs>
        <w:tab w:val="center" w:pos="4153"/>
        <w:tab w:val="right" w:pos="8306"/>
      </w:tabs>
    </w:pPr>
  </w:style>
  <w:style w:type="paragraph" w:styleId="a9">
    <w:name w:val="footer"/>
    <w:basedOn w:val="a"/>
    <w:rsid w:val="0028147F"/>
    <w:pPr>
      <w:tabs>
        <w:tab w:val="center" w:pos="4153"/>
        <w:tab w:val="right" w:pos="8306"/>
      </w:tabs>
    </w:pPr>
  </w:style>
  <w:style w:type="paragraph" w:customStyle="1" w:styleId="HeadDivreiHesber">
    <w:name w:val="Head DivreiHesber"/>
    <w:basedOn w:val="a"/>
    <w:rsid w:val="0028147F"/>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28147F"/>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28147F"/>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locked/>
    <w:rsid w:val="00891D8F"/>
    <w:rPr>
      <w:rFonts w:ascii="Arial" w:eastAsia="Arial Unicode MS" w:hAnsi="Arial" w:cs="David"/>
      <w:snapToGrid w:val="0"/>
      <w:sz w:val="14"/>
    </w:rPr>
  </w:style>
  <w:style w:type="character" w:customStyle="1" w:styleId="10">
    <w:name w:val="כותרת 1 תו"/>
    <w:basedOn w:val="a0"/>
    <w:link w:val="1"/>
    <w:uiPriority w:val="9"/>
    <w:rsid w:val="0028147F"/>
    <w:rPr>
      <w:rFonts w:asciiTheme="majorHAnsi" w:eastAsiaTheme="majorEastAsia" w:hAnsiTheme="majorHAnsi" w:cs="David"/>
      <w:bCs/>
      <w:sz w:val="32"/>
      <w:szCs w:val="36"/>
    </w:rPr>
  </w:style>
  <w:style w:type="character" w:customStyle="1" w:styleId="20">
    <w:name w:val="כותרת 2 תו"/>
    <w:basedOn w:val="a0"/>
    <w:link w:val="2"/>
    <w:rsid w:val="0028147F"/>
    <w:rPr>
      <w:rFonts w:asciiTheme="majorHAnsi" w:eastAsiaTheme="majorEastAsia" w:hAnsiTheme="majorHAnsi" w:cs="David"/>
      <w:bCs/>
      <w:sz w:val="26"/>
      <w:szCs w:val="36"/>
      <w:u w:val="single"/>
    </w:rPr>
  </w:style>
  <w:style w:type="character" w:customStyle="1" w:styleId="30">
    <w:name w:val="כותרת 3 תו"/>
    <w:basedOn w:val="a0"/>
    <w:link w:val="3"/>
    <w:rsid w:val="0028147F"/>
    <w:rPr>
      <w:rFonts w:asciiTheme="majorHAnsi" w:eastAsiaTheme="majorEastAsia" w:hAnsiTheme="majorHAnsi" w:cs="David"/>
      <w:sz w:val="24"/>
      <w:szCs w:val="28"/>
      <w:u w:val="double"/>
    </w:rPr>
  </w:style>
  <w:style w:type="character" w:customStyle="1" w:styleId="40">
    <w:name w:val="כותרת 4 תו"/>
    <w:basedOn w:val="a0"/>
    <w:link w:val="4"/>
    <w:uiPriority w:val="9"/>
    <w:rsid w:val="0028147F"/>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28147F"/>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28147F"/>
    <w:pPr>
      <w:widowControl/>
      <w:spacing w:before="120" w:after="120"/>
      <w:outlineLvl w:val="9"/>
    </w:pPr>
    <w:rPr>
      <w:rtl/>
      <w:cs/>
    </w:rPr>
  </w:style>
  <w:style w:type="paragraph" w:styleId="TOC1">
    <w:name w:val="toc 1"/>
    <w:basedOn w:val="a"/>
    <w:next w:val="a"/>
    <w:autoRedefine/>
    <w:uiPriority w:val="39"/>
    <w:unhideWhenUsed/>
    <w:rsid w:val="0028147F"/>
    <w:pPr>
      <w:tabs>
        <w:tab w:val="right" w:leader="dot" w:pos="9629"/>
      </w:tabs>
      <w:spacing w:after="100"/>
    </w:pPr>
    <w:rPr>
      <w:bCs/>
      <w:szCs w:val="22"/>
    </w:rPr>
  </w:style>
  <w:style w:type="paragraph" w:styleId="TOC2">
    <w:name w:val="toc 2"/>
    <w:basedOn w:val="a"/>
    <w:next w:val="a"/>
    <w:uiPriority w:val="39"/>
    <w:unhideWhenUsed/>
    <w:rsid w:val="0028147F"/>
    <w:pPr>
      <w:tabs>
        <w:tab w:val="right" w:leader="dot" w:pos="9628"/>
      </w:tabs>
      <w:spacing w:after="100"/>
    </w:pPr>
    <w:rPr>
      <w:szCs w:val="22"/>
    </w:rPr>
  </w:style>
  <w:style w:type="character" w:styleId="Hyperlink">
    <w:name w:val="Hyperlink"/>
    <w:basedOn w:val="a0"/>
    <w:uiPriority w:val="99"/>
    <w:unhideWhenUsed/>
    <w:rsid w:val="0028147F"/>
    <w:rPr>
      <w:color w:val="0000FF" w:themeColor="hyperlink"/>
      <w:u w:val="single"/>
    </w:rPr>
  </w:style>
  <w:style w:type="paragraph" w:styleId="TOC3">
    <w:name w:val="toc 3"/>
    <w:basedOn w:val="a"/>
    <w:next w:val="a"/>
    <w:uiPriority w:val="39"/>
    <w:unhideWhenUsed/>
    <w:rsid w:val="0028147F"/>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28147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8147F"/>
    <w:pPr>
      <w:tabs>
        <w:tab w:val="right" w:leader="dot" w:pos="9628"/>
      </w:tabs>
      <w:spacing w:after="100"/>
      <w:ind w:left="567"/>
    </w:pPr>
    <w:rPr>
      <w:szCs w:val="22"/>
    </w:rPr>
  </w:style>
  <w:style w:type="paragraph" w:styleId="TOC6">
    <w:name w:val="toc 6"/>
    <w:basedOn w:val="a"/>
    <w:next w:val="a"/>
    <w:autoRedefine/>
    <w:semiHidden/>
    <w:unhideWhenUsed/>
    <w:rsid w:val="0028147F"/>
    <w:pPr>
      <w:spacing w:after="100"/>
      <w:ind w:left="850"/>
    </w:pPr>
  </w:style>
  <w:style w:type="paragraph" w:styleId="TOC7">
    <w:name w:val="toc 7"/>
    <w:basedOn w:val="a"/>
    <w:next w:val="a"/>
    <w:autoRedefine/>
    <w:semiHidden/>
    <w:unhideWhenUsed/>
    <w:rsid w:val="0028147F"/>
    <w:pPr>
      <w:spacing w:after="100"/>
      <w:ind w:left="1020"/>
    </w:pPr>
  </w:style>
  <w:style w:type="paragraph" w:styleId="TOC8">
    <w:name w:val="toc 8"/>
    <w:basedOn w:val="a"/>
    <w:next w:val="a"/>
    <w:autoRedefine/>
    <w:semiHidden/>
    <w:unhideWhenUsed/>
    <w:rsid w:val="0028147F"/>
    <w:pPr>
      <w:spacing w:after="100"/>
      <w:ind w:left="1190"/>
    </w:pPr>
  </w:style>
  <w:style w:type="paragraph" w:styleId="TOC9">
    <w:name w:val="toc 9"/>
    <w:basedOn w:val="a"/>
    <w:next w:val="a"/>
    <w:autoRedefine/>
    <w:semiHidden/>
    <w:unhideWhenUsed/>
    <w:rsid w:val="0028147F"/>
    <w:pPr>
      <w:spacing w:after="100"/>
      <w:ind w:left="1360"/>
    </w:pPr>
  </w:style>
  <w:style w:type="paragraph" w:customStyle="1" w:styleId="TableHead2">
    <w:name w:val="Table Head2"/>
    <w:basedOn w:val="TableHead"/>
    <w:qFormat/>
    <w:rsid w:val="0028147F"/>
    <w:pPr>
      <w:outlineLvl w:val="9"/>
    </w:pPr>
  </w:style>
  <w:style w:type="paragraph" w:customStyle="1" w:styleId="TableSideHeading2">
    <w:name w:val="Table SideHeading2"/>
    <w:basedOn w:val="TableSideHeading"/>
    <w:autoRedefine/>
    <w:qFormat/>
    <w:rsid w:val="0028147F"/>
    <w:pPr>
      <w:keepLines w:val="0"/>
      <w:outlineLvl w:val="9"/>
    </w:pPr>
  </w:style>
  <w:style w:type="paragraph" w:customStyle="1" w:styleId="0">
    <w:name w:val="סגנון שורה ראשונה:  0  ס''מ"/>
    <w:basedOn w:val="2"/>
    <w:rsid w:val="0028147F"/>
    <w:rPr>
      <w:rFonts w:eastAsia="Times New Roman"/>
    </w:rPr>
  </w:style>
  <w:style w:type="paragraph" w:styleId="af">
    <w:name w:val="List Paragraph"/>
    <w:basedOn w:val="a"/>
    <w:uiPriority w:val="34"/>
    <w:qFormat/>
    <w:rsid w:val="0028147F"/>
    <w:pPr>
      <w:widowControl/>
      <w:spacing w:line="259" w:lineRule="auto"/>
    </w:pPr>
    <w:rPr>
      <w:rFonts w:asciiTheme="minorHAnsi" w:hAnsiTheme="minorHAnsi"/>
      <w:sz w:val="22"/>
    </w:rPr>
  </w:style>
  <w:style w:type="table" w:styleId="af0">
    <w:name w:val="Table Grid"/>
    <w:basedOn w:val="a1"/>
    <w:rsid w:val="0028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814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814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8147F"/>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8147F"/>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B0A6-7833-4214-A0C5-76AFBC15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290d5b49-c690-4c6f-bbb9-1e50dab33ee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E2F7B29-EF24-424D-B445-F1EAD153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495</Words>
  <Characters>2826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ווייס עמר</cp:lastModifiedBy>
  <cp:revision>7</cp:revision>
  <cp:lastPrinted>2013-07-04T08:25:00Z</cp:lastPrinted>
  <dcterms:created xsi:type="dcterms:W3CDTF">2015-04-20T09:58:00Z</dcterms:created>
  <dcterms:modified xsi:type="dcterms:W3CDTF">2021-11-11T10:40:00Z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2163363</vt:r8>
  </property>
</Properties>
</file>