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6F689" w14:textId="77777777" w:rsidR="00E90F32" w:rsidRPr="00E635A2" w:rsidRDefault="00E90F32" w:rsidP="00E90F3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2163680</w:t>
      </w:r>
      <w:bookmarkEnd w:id="0"/>
    </w:p>
    <w:p w14:paraId="419CD749" w14:textId="77777777" w:rsidR="00E90F32" w:rsidRPr="00DB7060" w:rsidRDefault="00E90F32" w:rsidP="00E90F32">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38FBEC8D" w14:textId="77777777" w:rsidR="00E90F32" w:rsidRPr="00F67051" w:rsidRDefault="00E90F32" w:rsidP="00E90F32">
      <w:pPr>
        <w:rPr>
          <w:rFonts w:cs="David"/>
          <w:b/>
          <w:bCs/>
          <w:sz w:val="26"/>
          <w:szCs w:val="26"/>
          <w:rtl/>
        </w:rPr>
      </w:pPr>
    </w:p>
    <w:p w14:paraId="51FC439C" w14:textId="66F7A457" w:rsidR="00E90F32" w:rsidRPr="00CF1AA2" w:rsidRDefault="00E90F32" w:rsidP="009D7D52">
      <w:pPr>
        <w:pStyle w:val="David"/>
        <w:spacing w:line="360" w:lineRule="auto"/>
        <w:ind w:left="3544"/>
        <w:rPr>
          <w:b/>
          <w:bCs/>
          <w:sz w:val="16"/>
          <w:szCs w:val="16"/>
          <w:rtl/>
        </w:rPr>
      </w:pPr>
      <w:bookmarkStart w:id="2" w:name="LGS_Initiators_List"/>
      <w:r>
        <w:rPr>
          <w:b/>
          <w:bCs/>
          <w:rtl/>
        </w:rPr>
        <w:t>יוזמת:</w:t>
      </w:r>
      <w:r>
        <w:tab/>
      </w:r>
      <w:r>
        <w:rPr>
          <w:b/>
          <w:bCs/>
          <w:rtl/>
        </w:rPr>
        <w:t xml:space="preserve">      חברת הכנסת</w:t>
      </w:r>
      <w:bookmarkEnd w:id="2"/>
      <w:r w:rsidRPr="00F67051">
        <w:rPr>
          <w:b/>
          <w:bCs/>
        </w:rPr>
        <w:tab/>
      </w:r>
      <w:bookmarkStart w:id="3" w:name="LGS_PM_Names"/>
      <w:r>
        <w:rPr>
          <w:rFonts w:hint="cs"/>
          <w:b/>
          <w:bCs/>
          <w:rtl/>
        </w:rPr>
        <w:t xml:space="preserve">מיכל שיר </w:t>
      </w:r>
      <w:proofErr w:type="spellStart"/>
      <w:r>
        <w:rPr>
          <w:rFonts w:hint="cs"/>
          <w:b/>
          <w:bCs/>
          <w:rtl/>
        </w:rPr>
        <w:t>סגמן</w:t>
      </w:r>
      <w:bookmarkStart w:id="4" w:name="LGS_Join_List"/>
      <w:bookmarkEnd w:id="3"/>
      <w:proofErr w:type="spellEnd"/>
      <w:r>
        <w:rPr>
          <w:rtl/>
        </w:rPr>
        <w:t xml:space="preserve"> </w:t>
      </w:r>
      <w:bookmarkEnd w:id="4"/>
      <w:r w:rsidRPr="00CF1AA2">
        <w:rPr>
          <w:rFonts w:hint="cs"/>
          <w:rtl/>
        </w:rPr>
        <w:tab/>
      </w:r>
      <w:bookmarkStart w:id="5" w:name="LGS_PM_NamesJoin"/>
      <w:r>
        <w:rPr>
          <w:rFonts w:hint="cs"/>
          <w:rtl/>
        </w:rPr>
        <w:t xml:space="preserve"> </w:t>
      </w:r>
      <w:bookmarkEnd w:id="5"/>
    </w:p>
    <w:p w14:paraId="55BAA9DD" w14:textId="77777777" w:rsidR="00E90F32" w:rsidRPr="00904591" w:rsidRDefault="00E90F32" w:rsidP="00E90F32">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7513563A" w14:textId="7EE93360" w:rsidR="00E90F32" w:rsidRPr="00E06736" w:rsidRDefault="00E90F32" w:rsidP="009D7D52">
      <w:pPr>
        <w:pStyle w:val="David"/>
        <w:spacing w:before="0" w:line="240" w:lineRule="auto"/>
        <w:ind w:left="6424" w:firstLine="56"/>
        <w:rPr>
          <w:rtl/>
        </w:rPr>
      </w:pPr>
      <w:bookmarkStart w:id="6" w:name="Private_Number"/>
      <w:r>
        <w:rPr>
          <w:rFonts w:hint="cs"/>
          <w:rtl/>
        </w:rPr>
        <w:t>פ/2527/24</w:t>
      </w:r>
      <w:bookmarkEnd w:id="6"/>
    </w:p>
    <w:p w14:paraId="075B3D36" w14:textId="77777777" w:rsidR="00E90F32" w:rsidRPr="00F67051" w:rsidRDefault="00E90F32" w:rsidP="00E90F32">
      <w:pPr>
        <w:pStyle w:val="HeadHatzaotHok"/>
        <w:rPr>
          <w:rtl/>
        </w:rPr>
      </w:pPr>
      <w:bookmarkStart w:id="7" w:name="LGS_Subject"/>
      <w:r>
        <w:rPr>
          <w:rFonts w:hint="cs"/>
          <w:rtl/>
        </w:rPr>
        <w:t xml:space="preserve">הצעת חוק אחריות קבלן שיפוצים, </w:t>
      </w:r>
      <w:proofErr w:type="spellStart"/>
      <w:r>
        <w:rPr>
          <w:rFonts w:hint="cs"/>
          <w:rtl/>
        </w:rPr>
        <w:t>התשפ"ב</w:t>
      </w:r>
      <w:proofErr w:type="spellEnd"/>
      <w:r>
        <w:rPr>
          <w:rFonts w:hint="cs"/>
          <w:rtl/>
        </w:rPr>
        <w:t>–202</w:t>
      </w:r>
      <w:bookmarkEnd w:id="7"/>
      <w:r>
        <w:rPr>
          <w:rFonts w:hint="cs"/>
          <w:rtl/>
        </w:rPr>
        <w:t>1</w:t>
      </w:r>
    </w:p>
    <w:p w14:paraId="5247FA50" w14:textId="77777777" w:rsidR="00E90F32" w:rsidRDefault="00E90F32" w:rsidP="00E90F32">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19"/>
      </w:tblGrid>
      <w:tr w:rsidR="00E90F32" w14:paraId="302E4E6F" w14:textId="77777777" w:rsidTr="000328E3">
        <w:tc>
          <w:tcPr>
            <w:tcW w:w="1871" w:type="dxa"/>
          </w:tcPr>
          <w:p w14:paraId="2E5ABAA7" w14:textId="77777777" w:rsidR="00E90F32" w:rsidRDefault="00E90F32" w:rsidP="0071058C">
            <w:pPr>
              <w:pStyle w:val="TableSideHeading"/>
              <w:keepLines w:val="0"/>
              <w:rPr>
                <w:rtl/>
              </w:rPr>
            </w:pPr>
            <w:r>
              <w:rPr>
                <w:rFonts w:hint="cs"/>
                <w:rtl/>
              </w:rPr>
              <w:t>מטרה</w:t>
            </w:r>
          </w:p>
        </w:tc>
        <w:tc>
          <w:tcPr>
            <w:tcW w:w="624" w:type="dxa"/>
          </w:tcPr>
          <w:p w14:paraId="69B75CED" w14:textId="77777777" w:rsidR="00E90F32" w:rsidRPr="00BE527A" w:rsidRDefault="00E90F32" w:rsidP="0071058C">
            <w:pPr>
              <w:pStyle w:val="TableBlock"/>
              <w:rPr>
                <w:rtl/>
              </w:rPr>
            </w:pPr>
            <w:r>
              <w:rPr>
                <w:rFonts w:hint="cs"/>
                <w:rtl/>
              </w:rPr>
              <w:t>1.</w:t>
            </w:r>
          </w:p>
        </w:tc>
        <w:tc>
          <w:tcPr>
            <w:tcW w:w="7143" w:type="dxa"/>
            <w:gridSpan w:val="2"/>
          </w:tcPr>
          <w:p w14:paraId="3A74DC25" w14:textId="28FED9CB" w:rsidR="00E90F32" w:rsidRPr="008B1EF6" w:rsidRDefault="00E90F32" w:rsidP="0071058C">
            <w:pPr>
              <w:pStyle w:val="TableBlock"/>
              <w:rPr>
                <w:rtl/>
              </w:rPr>
            </w:pPr>
            <w:r w:rsidRPr="008B1EF6">
              <w:rPr>
                <w:rFonts w:hint="cs"/>
                <w:rtl/>
              </w:rPr>
              <w:t xml:space="preserve">מטרתו של חוק זה היא להסדיר את </w:t>
            </w:r>
            <w:r>
              <w:rPr>
                <w:rFonts w:hint="cs"/>
                <w:rtl/>
              </w:rPr>
              <w:t>אחריות מבצע עבודת שיפוצים ולהסדיר את היחסים החוזיים בין המבצע לבין המזמין.</w:t>
            </w:r>
          </w:p>
        </w:tc>
      </w:tr>
      <w:tr w:rsidR="00E90F32" w14:paraId="29FB8A54" w14:textId="77777777" w:rsidTr="000328E3">
        <w:tc>
          <w:tcPr>
            <w:tcW w:w="1871" w:type="dxa"/>
          </w:tcPr>
          <w:p w14:paraId="7B83CDBD" w14:textId="77777777" w:rsidR="00E90F32" w:rsidRDefault="00E90F32" w:rsidP="0071058C">
            <w:pPr>
              <w:pStyle w:val="TableSideHeading"/>
              <w:keepLines w:val="0"/>
            </w:pPr>
            <w:r>
              <w:rPr>
                <w:rFonts w:hint="cs"/>
                <w:rtl/>
              </w:rPr>
              <w:t>הגדרות</w:t>
            </w:r>
          </w:p>
        </w:tc>
        <w:tc>
          <w:tcPr>
            <w:tcW w:w="624" w:type="dxa"/>
          </w:tcPr>
          <w:p w14:paraId="0A78CE90" w14:textId="77777777" w:rsidR="00E90F32" w:rsidRPr="00BE527A" w:rsidRDefault="00E90F32" w:rsidP="0071058C">
            <w:pPr>
              <w:pStyle w:val="TableBlock"/>
            </w:pPr>
            <w:r>
              <w:rPr>
                <w:rFonts w:hint="cs"/>
                <w:rtl/>
              </w:rPr>
              <w:t>2.</w:t>
            </w:r>
          </w:p>
        </w:tc>
        <w:tc>
          <w:tcPr>
            <w:tcW w:w="7143" w:type="dxa"/>
            <w:gridSpan w:val="2"/>
          </w:tcPr>
          <w:p w14:paraId="57992A60" w14:textId="77777777" w:rsidR="00E90F32" w:rsidRPr="008B1EF6" w:rsidRDefault="00E90F32" w:rsidP="0071058C">
            <w:pPr>
              <w:pStyle w:val="TableBlock"/>
            </w:pPr>
            <w:r w:rsidRPr="008B1EF6">
              <w:rPr>
                <w:rFonts w:hint="cs"/>
                <w:rtl/>
              </w:rPr>
              <w:t xml:space="preserve">בחוק זה </w:t>
            </w:r>
            <w:r w:rsidRPr="008B1EF6">
              <w:rPr>
                <w:rtl/>
              </w:rPr>
              <w:t>–</w:t>
            </w:r>
            <w:r w:rsidRPr="008B1EF6">
              <w:rPr>
                <w:rFonts w:hint="cs"/>
                <w:rtl/>
              </w:rPr>
              <w:t xml:space="preserve"> </w:t>
            </w:r>
          </w:p>
        </w:tc>
      </w:tr>
      <w:tr w:rsidR="00E90F32" w14:paraId="7464C94B" w14:textId="77777777" w:rsidTr="000328E3">
        <w:tc>
          <w:tcPr>
            <w:tcW w:w="1871" w:type="dxa"/>
          </w:tcPr>
          <w:p w14:paraId="31F6901C" w14:textId="77777777" w:rsidR="00E90F32" w:rsidRDefault="00E90F32" w:rsidP="0071058C">
            <w:pPr>
              <w:pStyle w:val="TableSideHeading"/>
              <w:keepLines w:val="0"/>
              <w:rPr>
                <w:rtl/>
              </w:rPr>
            </w:pPr>
          </w:p>
        </w:tc>
        <w:tc>
          <w:tcPr>
            <w:tcW w:w="624" w:type="dxa"/>
          </w:tcPr>
          <w:p w14:paraId="5B03429C" w14:textId="77777777" w:rsidR="00E90F32" w:rsidRPr="00BE527A" w:rsidRDefault="00E90F32" w:rsidP="0071058C">
            <w:pPr>
              <w:pStyle w:val="TableBlock"/>
            </w:pPr>
          </w:p>
        </w:tc>
        <w:tc>
          <w:tcPr>
            <w:tcW w:w="7143" w:type="dxa"/>
            <w:gridSpan w:val="2"/>
          </w:tcPr>
          <w:p w14:paraId="271F3C9B" w14:textId="77777777" w:rsidR="00E90F32" w:rsidRPr="004A7B8E" w:rsidRDefault="00E90F32" w:rsidP="0071058C">
            <w:pPr>
              <w:pStyle w:val="TableBlockOutdent"/>
              <w:rPr>
                <w:rtl/>
              </w:rPr>
            </w:pPr>
            <w:r w:rsidRPr="004A7B8E">
              <w:rPr>
                <w:rFonts w:hint="cs"/>
                <w:rtl/>
              </w:rPr>
              <w:t xml:space="preserve">"אי התאמה" </w:t>
            </w:r>
            <w:r w:rsidRPr="004A7B8E">
              <w:rPr>
                <w:rtl/>
              </w:rPr>
              <w:t>–</w:t>
            </w:r>
            <w:r w:rsidRPr="004A7B8E">
              <w:rPr>
                <w:rFonts w:hint="cs"/>
                <w:rtl/>
              </w:rPr>
              <w:t xml:space="preserve"> </w:t>
            </w:r>
            <w:r>
              <w:rPr>
                <w:rFonts w:hint="cs"/>
                <w:rtl/>
              </w:rPr>
              <w:t>כל אחד מאלה:</w:t>
            </w:r>
          </w:p>
        </w:tc>
      </w:tr>
      <w:tr w:rsidR="00E90F32" w14:paraId="74A5F9EB" w14:textId="77777777" w:rsidTr="000328E3">
        <w:tc>
          <w:tcPr>
            <w:tcW w:w="1871" w:type="dxa"/>
          </w:tcPr>
          <w:p w14:paraId="598B2AEB" w14:textId="77777777" w:rsidR="00E90F32" w:rsidRDefault="00E90F32" w:rsidP="0071058C">
            <w:pPr>
              <w:pStyle w:val="TableSideHeading"/>
            </w:pPr>
          </w:p>
        </w:tc>
        <w:tc>
          <w:tcPr>
            <w:tcW w:w="624" w:type="dxa"/>
          </w:tcPr>
          <w:p w14:paraId="4AFA7022" w14:textId="77777777" w:rsidR="00E90F32" w:rsidRDefault="00E90F32" w:rsidP="0071058C">
            <w:pPr>
              <w:pStyle w:val="TableText"/>
            </w:pPr>
          </w:p>
        </w:tc>
        <w:tc>
          <w:tcPr>
            <w:tcW w:w="624" w:type="dxa"/>
          </w:tcPr>
          <w:p w14:paraId="04AC9E60" w14:textId="77777777" w:rsidR="00E90F32" w:rsidRDefault="00E90F32" w:rsidP="0071058C">
            <w:pPr>
              <w:pStyle w:val="TableText"/>
            </w:pPr>
          </w:p>
        </w:tc>
        <w:tc>
          <w:tcPr>
            <w:tcW w:w="6519" w:type="dxa"/>
          </w:tcPr>
          <w:p w14:paraId="6D446A11" w14:textId="39483D70" w:rsidR="00E90F32" w:rsidRDefault="00E90F32" w:rsidP="009D7D52">
            <w:pPr>
              <w:pStyle w:val="TableBlock"/>
            </w:pPr>
            <w:r>
              <w:rPr>
                <w:rFonts w:hint="cs"/>
                <w:rtl/>
              </w:rPr>
              <w:t>(1)</w:t>
            </w:r>
            <w:r>
              <w:rPr>
                <w:rtl/>
              </w:rPr>
              <w:tab/>
            </w:r>
            <w:r w:rsidRPr="004A7B8E">
              <w:rPr>
                <w:rFonts w:hint="cs"/>
                <w:rtl/>
              </w:rPr>
              <w:t>ליקוי שנתגלה בעבודות שיפוצים, או עבודות שיפוצים השונות מהמוסכם בין מזמין למבצע עבודות השיפוצים</w:t>
            </w:r>
            <w:r>
              <w:rPr>
                <w:rFonts w:hint="cs"/>
                <w:rtl/>
              </w:rPr>
              <w:t>,</w:t>
            </w:r>
            <w:r w:rsidRPr="004A7B8E">
              <w:rPr>
                <w:rFonts w:hint="cs"/>
                <w:rtl/>
              </w:rPr>
              <w:t xml:space="preserve"> או השונות מהאמור בתקן רשמי כמשמעותו בחוק התקנים, </w:t>
            </w:r>
            <w:proofErr w:type="spellStart"/>
            <w:r w:rsidRPr="004A7B8E">
              <w:rPr>
                <w:rFonts w:hint="cs"/>
                <w:rtl/>
              </w:rPr>
              <w:t>התשי"ג</w:t>
            </w:r>
            <w:proofErr w:type="spellEnd"/>
            <w:r w:rsidR="009D7D52">
              <w:rPr>
                <w:rFonts w:hint="eastAsia"/>
                <w:rtl/>
              </w:rPr>
              <w:t>–</w:t>
            </w:r>
            <w:r w:rsidRPr="004A7B8E">
              <w:rPr>
                <w:rFonts w:hint="cs"/>
                <w:rtl/>
              </w:rPr>
              <w:t>1953</w:t>
            </w:r>
            <w:r>
              <w:rPr>
                <w:rStyle w:val="a5"/>
                <w:rtl/>
              </w:rPr>
              <w:footnoteReference w:id="2"/>
            </w:r>
            <w:r w:rsidRPr="004A7B8E">
              <w:rPr>
                <w:rFonts w:hint="cs"/>
                <w:rtl/>
              </w:rPr>
              <w:t>;</w:t>
            </w:r>
          </w:p>
        </w:tc>
      </w:tr>
      <w:tr w:rsidR="00E90F32" w14:paraId="1015264B" w14:textId="77777777" w:rsidTr="000328E3">
        <w:tc>
          <w:tcPr>
            <w:tcW w:w="1871" w:type="dxa"/>
          </w:tcPr>
          <w:p w14:paraId="1E71B45E" w14:textId="77777777" w:rsidR="00E90F32" w:rsidRDefault="00E90F32" w:rsidP="0071058C">
            <w:pPr>
              <w:pStyle w:val="TableSideHeading"/>
            </w:pPr>
          </w:p>
        </w:tc>
        <w:tc>
          <w:tcPr>
            <w:tcW w:w="624" w:type="dxa"/>
          </w:tcPr>
          <w:p w14:paraId="0B2147B4" w14:textId="77777777" w:rsidR="00E90F32" w:rsidRDefault="00E90F32" w:rsidP="0071058C">
            <w:pPr>
              <w:pStyle w:val="TableText"/>
            </w:pPr>
          </w:p>
        </w:tc>
        <w:tc>
          <w:tcPr>
            <w:tcW w:w="624" w:type="dxa"/>
          </w:tcPr>
          <w:p w14:paraId="16C877CB" w14:textId="77777777" w:rsidR="00E90F32" w:rsidRDefault="00E90F32" w:rsidP="0071058C">
            <w:pPr>
              <w:pStyle w:val="TableText"/>
            </w:pPr>
          </w:p>
        </w:tc>
        <w:tc>
          <w:tcPr>
            <w:tcW w:w="6519" w:type="dxa"/>
          </w:tcPr>
          <w:p w14:paraId="23A87174" w14:textId="2DBEB5D7" w:rsidR="00E90F32" w:rsidRDefault="00E90F32" w:rsidP="009D7D52">
            <w:pPr>
              <w:pStyle w:val="TableBlock"/>
            </w:pPr>
            <w:r>
              <w:rPr>
                <w:rFonts w:hint="cs"/>
                <w:rtl/>
              </w:rPr>
              <w:t>(2)</w:t>
            </w:r>
            <w:r>
              <w:rPr>
                <w:rtl/>
              </w:rPr>
              <w:tab/>
            </w:r>
            <w:r>
              <w:rPr>
                <w:rFonts w:hint="cs"/>
                <w:rtl/>
              </w:rPr>
              <w:t xml:space="preserve">לעניין טובין שסיפק מבצע עבודות שיפוצים והותקנו במבנה שבו בוצעו עבודות השיפוצים </w:t>
            </w:r>
            <w:r>
              <w:rPr>
                <w:rtl/>
              </w:rPr>
              <w:t>–</w:t>
            </w:r>
            <w:r>
              <w:rPr>
                <w:rFonts w:hint="cs"/>
                <w:rtl/>
              </w:rPr>
              <w:t xml:space="preserve"> כמשמעותה בסעיף 11 לחוק המכר, </w:t>
            </w:r>
            <w:proofErr w:type="spellStart"/>
            <w:r>
              <w:rPr>
                <w:rFonts w:hint="cs"/>
                <w:rtl/>
              </w:rPr>
              <w:t>התשכ"ח</w:t>
            </w:r>
            <w:proofErr w:type="spellEnd"/>
            <w:r w:rsidR="009D7D52">
              <w:rPr>
                <w:rFonts w:hint="eastAsia"/>
                <w:rtl/>
              </w:rPr>
              <w:t>–</w:t>
            </w:r>
            <w:r>
              <w:rPr>
                <w:rFonts w:hint="cs"/>
                <w:rtl/>
              </w:rPr>
              <w:t>1968</w:t>
            </w:r>
            <w:r>
              <w:rPr>
                <w:rStyle w:val="a5"/>
                <w:rtl/>
              </w:rPr>
              <w:footnoteReference w:id="3"/>
            </w:r>
            <w:r>
              <w:rPr>
                <w:rFonts w:hint="cs"/>
                <w:rtl/>
              </w:rPr>
              <w:t>;</w:t>
            </w:r>
          </w:p>
        </w:tc>
      </w:tr>
      <w:tr w:rsidR="00E90F32" w14:paraId="7A0C5CC4" w14:textId="77777777" w:rsidTr="000328E3">
        <w:tc>
          <w:tcPr>
            <w:tcW w:w="1871" w:type="dxa"/>
          </w:tcPr>
          <w:p w14:paraId="166AB2BC" w14:textId="77777777" w:rsidR="00E90F32" w:rsidRDefault="00E90F32" w:rsidP="0071058C">
            <w:pPr>
              <w:pStyle w:val="TableSideHeading"/>
              <w:keepLines w:val="0"/>
              <w:rPr>
                <w:rtl/>
              </w:rPr>
            </w:pPr>
          </w:p>
        </w:tc>
        <w:tc>
          <w:tcPr>
            <w:tcW w:w="624" w:type="dxa"/>
          </w:tcPr>
          <w:p w14:paraId="1657A593" w14:textId="77777777" w:rsidR="00E90F32" w:rsidRPr="00BE527A" w:rsidRDefault="00E90F32" w:rsidP="0071058C">
            <w:pPr>
              <w:pStyle w:val="TableBlock"/>
            </w:pPr>
          </w:p>
        </w:tc>
        <w:tc>
          <w:tcPr>
            <w:tcW w:w="7143" w:type="dxa"/>
            <w:gridSpan w:val="2"/>
          </w:tcPr>
          <w:p w14:paraId="3B77B29F" w14:textId="2B20378A" w:rsidR="00E90F32" w:rsidRPr="004A7B8E" w:rsidRDefault="00E90F32" w:rsidP="0071058C">
            <w:pPr>
              <w:pStyle w:val="TableBlockOutdent"/>
              <w:rPr>
                <w:rtl/>
              </w:rPr>
            </w:pPr>
            <w:r w:rsidRPr="004A7B8E">
              <w:rPr>
                <w:rFonts w:hint="cs"/>
                <w:rtl/>
              </w:rPr>
              <w:t xml:space="preserve">"היום הקובע" </w:t>
            </w:r>
            <w:r w:rsidRPr="004A7B8E">
              <w:rPr>
                <w:rtl/>
              </w:rPr>
              <w:t>–</w:t>
            </w:r>
            <w:r>
              <w:rPr>
                <w:rFonts w:hint="cs"/>
                <w:rtl/>
              </w:rPr>
              <w:t xml:space="preserve"> </w:t>
            </w:r>
            <w:r w:rsidRPr="004A7B8E">
              <w:rPr>
                <w:rFonts w:hint="cs"/>
                <w:rtl/>
              </w:rPr>
              <w:t>מועד סיום עבוד</w:t>
            </w:r>
            <w:r>
              <w:rPr>
                <w:rFonts w:hint="cs"/>
                <w:rtl/>
              </w:rPr>
              <w:t>ת השיפוצים</w:t>
            </w:r>
            <w:r w:rsidRPr="004A7B8E">
              <w:rPr>
                <w:rFonts w:hint="cs"/>
                <w:rtl/>
              </w:rPr>
              <w:t xml:space="preserve"> </w:t>
            </w:r>
            <w:r>
              <w:rPr>
                <w:rFonts w:hint="cs"/>
                <w:rtl/>
              </w:rPr>
              <w:t>ולאחר ש</w:t>
            </w:r>
            <w:r w:rsidRPr="004A7B8E">
              <w:rPr>
                <w:rFonts w:hint="cs"/>
                <w:rtl/>
              </w:rPr>
              <w:t>נתן המבצע</w:t>
            </w:r>
            <w:r>
              <w:rPr>
                <w:rFonts w:hint="cs"/>
                <w:rtl/>
              </w:rPr>
              <w:t xml:space="preserve"> למזמין</w:t>
            </w:r>
            <w:r w:rsidRPr="004A7B8E">
              <w:rPr>
                <w:rFonts w:hint="cs"/>
                <w:rtl/>
              </w:rPr>
              <w:t xml:space="preserve"> חשבונית</w:t>
            </w:r>
            <w:r>
              <w:rPr>
                <w:rFonts w:hint="cs"/>
                <w:rtl/>
              </w:rPr>
              <w:t xml:space="preserve"> בשל התשלום האחרון בעבור עבודת השיפוצים</w:t>
            </w:r>
            <w:r w:rsidRPr="004A7B8E">
              <w:rPr>
                <w:rFonts w:hint="cs"/>
                <w:rtl/>
              </w:rPr>
              <w:t>;</w:t>
            </w:r>
          </w:p>
        </w:tc>
      </w:tr>
      <w:tr w:rsidR="00E90F32" w14:paraId="23873FC7" w14:textId="77777777" w:rsidTr="000328E3">
        <w:tc>
          <w:tcPr>
            <w:tcW w:w="1871" w:type="dxa"/>
          </w:tcPr>
          <w:p w14:paraId="474FD7B2" w14:textId="77777777" w:rsidR="00E90F32" w:rsidRDefault="00E90F32" w:rsidP="0071058C">
            <w:pPr>
              <w:pStyle w:val="TableSideHeading"/>
              <w:keepLines w:val="0"/>
              <w:rPr>
                <w:rtl/>
              </w:rPr>
            </w:pPr>
          </w:p>
        </w:tc>
        <w:tc>
          <w:tcPr>
            <w:tcW w:w="624" w:type="dxa"/>
          </w:tcPr>
          <w:p w14:paraId="5D129151" w14:textId="77777777" w:rsidR="00E90F32" w:rsidRPr="00BE527A" w:rsidRDefault="00E90F32" w:rsidP="0071058C">
            <w:pPr>
              <w:pStyle w:val="TableBlock"/>
            </w:pPr>
          </w:p>
        </w:tc>
        <w:tc>
          <w:tcPr>
            <w:tcW w:w="7143" w:type="dxa"/>
            <w:gridSpan w:val="2"/>
          </w:tcPr>
          <w:p w14:paraId="2C5DBF79" w14:textId="77777777" w:rsidR="00E90F32" w:rsidRPr="004A7B8E" w:rsidRDefault="00E90F32" w:rsidP="0071058C">
            <w:pPr>
              <w:pStyle w:val="TableBlockOutdent"/>
              <w:rPr>
                <w:rtl/>
              </w:rPr>
            </w:pPr>
            <w:r w:rsidRPr="004A7B8E">
              <w:rPr>
                <w:rFonts w:hint="cs"/>
                <w:rtl/>
              </w:rPr>
              <w:t xml:space="preserve">"מבנה" </w:t>
            </w:r>
            <w:r w:rsidRPr="004A7B8E">
              <w:rPr>
                <w:rtl/>
              </w:rPr>
              <w:t>–</w:t>
            </w:r>
            <w:r w:rsidRPr="004A7B8E">
              <w:rPr>
                <w:rFonts w:hint="cs"/>
                <w:rtl/>
              </w:rPr>
              <w:t xml:space="preserve"> מבנה קיים הנמצא בבעלות או בחזקתו של מזמין העבודה;</w:t>
            </w:r>
          </w:p>
        </w:tc>
      </w:tr>
      <w:tr w:rsidR="00E90F32" w14:paraId="40D9E26C" w14:textId="77777777" w:rsidTr="000328E3">
        <w:tc>
          <w:tcPr>
            <w:tcW w:w="1871" w:type="dxa"/>
          </w:tcPr>
          <w:p w14:paraId="50945499" w14:textId="77777777" w:rsidR="00E90F32" w:rsidRPr="00884B6E" w:rsidRDefault="00E90F32" w:rsidP="0071058C">
            <w:pPr>
              <w:pStyle w:val="TableSideHeading"/>
              <w:keepLines w:val="0"/>
              <w:rPr>
                <w:rtl/>
              </w:rPr>
            </w:pPr>
          </w:p>
        </w:tc>
        <w:tc>
          <w:tcPr>
            <w:tcW w:w="624" w:type="dxa"/>
          </w:tcPr>
          <w:p w14:paraId="657E4A38" w14:textId="77777777" w:rsidR="00E90F32" w:rsidRPr="00BE527A" w:rsidRDefault="00E90F32" w:rsidP="0071058C">
            <w:pPr>
              <w:pStyle w:val="TableBlock"/>
            </w:pPr>
          </w:p>
        </w:tc>
        <w:tc>
          <w:tcPr>
            <w:tcW w:w="7143" w:type="dxa"/>
            <w:gridSpan w:val="2"/>
          </w:tcPr>
          <w:p w14:paraId="38F241FA" w14:textId="77777777" w:rsidR="00E90F32" w:rsidRPr="004A7B8E" w:rsidRDefault="00E90F32" w:rsidP="0071058C">
            <w:pPr>
              <w:pStyle w:val="TableBlockOutdent"/>
              <w:rPr>
                <w:rtl/>
              </w:rPr>
            </w:pPr>
            <w:r w:rsidRPr="004A7B8E">
              <w:rPr>
                <w:rFonts w:hint="cs"/>
                <w:rtl/>
              </w:rPr>
              <w:t xml:space="preserve">"מבצע" </w:t>
            </w:r>
            <w:r w:rsidRPr="004A7B8E">
              <w:rPr>
                <w:rtl/>
              </w:rPr>
              <w:t>–</w:t>
            </w:r>
            <w:r w:rsidRPr="004A7B8E">
              <w:rPr>
                <w:rFonts w:hint="cs"/>
                <w:rtl/>
              </w:rPr>
              <w:t xml:space="preserve"> מי שהתקשר עם מזמין העבודה בהסכם לביצוע עבודות שיפוצים;</w:t>
            </w:r>
          </w:p>
        </w:tc>
      </w:tr>
      <w:tr w:rsidR="00E90F32" w14:paraId="40403A53" w14:textId="77777777" w:rsidTr="000328E3">
        <w:tc>
          <w:tcPr>
            <w:tcW w:w="1871" w:type="dxa"/>
          </w:tcPr>
          <w:p w14:paraId="01D01178" w14:textId="77777777" w:rsidR="00E90F32" w:rsidRDefault="00E90F32" w:rsidP="0071058C">
            <w:pPr>
              <w:pStyle w:val="TableSideHeading"/>
              <w:keepLines w:val="0"/>
              <w:rPr>
                <w:rtl/>
              </w:rPr>
            </w:pPr>
          </w:p>
        </w:tc>
        <w:tc>
          <w:tcPr>
            <w:tcW w:w="624" w:type="dxa"/>
          </w:tcPr>
          <w:p w14:paraId="263ADFF8" w14:textId="77777777" w:rsidR="00E90F32" w:rsidRPr="00BE527A" w:rsidRDefault="00E90F32" w:rsidP="0071058C">
            <w:pPr>
              <w:pStyle w:val="TableBlock"/>
            </w:pPr>
          </w:p>
        </w:tc>
        <w:tc>
          <w:tcPr>
            <w:tcW w:w="7143" w:type="dxa"/>
            <w:gridSpan w:val="2"/>
          </w:tcPr>
          <w:p w14:paraId="3BAEE97D" w14:textId="3BFEDF0D" w:rsidR="00E90F32" w:rsidRPr="004A7B8E" w:rsidRDefault="00E90F32" w:rsidP="0071058C">
            <w:pPr>
              <w:pStyle w:val="TableBlockOutdent"/>
              <w:rPr>
                <w:rtl/>
              </w:rPr>
            </w:pPr>
            <w:r w:rsidRPr="004A7B8E">
              <w:rPr>
                <w:rFonts w:hint="cs"/>
                <w:rtl/>
              </w:rPr>
              <w:t xml:space="preserve">"מזמין" </w:t>
            </w:r>
            <w:r w:rsidRPr="004A7B8E">
              <w:rPr>
                <w:rtl/>
              </w:rPr>
              <w:t>–</w:t>
            </w:r>
            <w:r w:rsidRPr="004A7B8E">
              <w:rPr>
                <w:rFonts w:hint="cs"/>
                <w:rtl/>
              </w:rPr>
              <w:t xml:space="preserve"> אדם </w:t>
            </w:r>
            <w:r>
              <w:rPr>
                <w:rFonts w:hint="cs"/>
                <w:rtl/>
              </w:rPr>
              <w:t>המזמין</w:t>
            </w:r>
            <w:r w:rsidRPr="004A7B8E">
              <w:rPr>
                <w:rFonts w:hint="cs"/>
                <w:rtl/>
              </w:rPr>
              <w:t xml:space="preserve"> עבודות שיפוצים; </w:t>
            </w:r>
          </w:p>
        </w:tc>
      </w:tr>
      <w:tr w:rsidR="00E90F32" w14:paraId="5ADA340F" w14:textId="77777777" w:rsidTr="000328E3">
        <w:tc>
          <w:tcPr>
            <w:tcW w:w="1871" w:type="dxa"/>
          </w:tcPr>
          <w:p w14:paraId="7B0A5ACA" w14:textId="77777777" w:rsidR="00E90F32" w:rsidRDefault="00E90F32" w:rsidP="0071058C">
            <w:pPr>
              <w:pStyle w:val="TableSideHeading"/>
              <w:keepLines w:val="0"/>
              <w:rPr>
                <w:rtl/>
              </w:rPr>
            </w:pPr>
          </w:p>
        </w:tc>
        <w:tc>
          <w:tcPr>
            <w:tcW w:w="624" w:type="dxa"/>
          </w:tcPr>
          <w:p w14:paraId="5749F303" w14:textId="77777777" w:rsidR="00E90F32" w:rsidRPr="00BE527A" w:rsidRDefault="00E90F32" w:rsidP="0071058C">
            <w:pPr>
              <w:pStyle w:val="TableBlock"/>
            </w:pPr>
          </w:p>
        </w:tc>
        <w:tc>
          <w:tcPr>
            <w:tcW w:w="7143" w:type="dxa"/>
            <w:gridSpan w:val="2"/>
          </w:tcPr>
          <w:p w14:paraId="4AFCAF34" w14:textId="21B82E16" w:rsidR="00E90F32" w:rsidRPr="004A7B8E" w:rsidRDefault="00E90F32" w:rsidP="0071058C">
            <w:pPr>
              <w:pStyle w:val="TableBlockOutdent"/>
              <w:rPr>
                <w:rtl/>
              </w:rPr>
            </w:pPr>
            <w:r w:rsidRPr="004A7B8E">
              <w:rPr>
                <w:rFonts w:hint="cs"/>
                <w:rtl/>
              </w:rPr>
              <w:t xml:space="preserve">"עבודות שיפוצים" </w:t>
            </w:r>
            <w:r w:rsidRPr="004A7B8E">
              <w:rPr>
                <w:rtl/>
              </w:rPr>
              <w:t>–</w:t>
            </w:r>
            <w:r w:rsidRPr="004A7B8E">
              <w:rPr>
                <w:rFonts w:hint="cs"/>
                <w:rtl/>
              </w:rPr>
              <w:t xml:space="preserve"> עבודות הנדסה בנאיות כהגדרתן בחוק רישום קבלנים לעבודות הנדסה בנאיות,</w:t>
            </w:r>
            <w:r>
              <w:rPr>
                <w:rFonts w:hint="cs"/>
                <w:rtl/>
              </w:rPr>
              <w:t xml:space="preserve"> </w:t>
            </w:r>
            <w:proofErr w:type="spellStart"/>
            <w:r w:rsidRPr="004A7B8E">
              <w:rPr>
                <w:rFonts w:hint="cs"/>
                <w:rtl/>
              </w:rPr>
              <w:t>התשכ"ט</w:t>
            </w:r>
            <w:proofErr w:type="spellEnd"/>
            <w:r w:rsidRPr="004A7B8E">
              <w:rPr>
                <w:rFonts w:hint="eastAsia"/>
                <w:rtl/>
              </w:rPr>
              <w:t>–</w:t>
            </w:r>
            <w:r w:rsidRPr="004A7B8E">
              <w:rPr>
                <w:rFonts w:hint="cs"/>
                <w:rtl/>
              </w:rPr>
              <w:t>1969</w:t>
            </w:r>
            <w:r>
              <w:rPr>
                <w:rStyle w:val="a5"/>
                <w:rtl/>
              </w:rPr>
              <w:footnoteReference w:id="4"/>
            </w:r>
            <w:r w:rsidRPr="004A7B8E">
              <w:rPr>
                <w:rFonts w:hint="cs"/>
                <w:rtl/>
              </w:rPr>
              <w:t>,</w:t>
            </w:r>
            <w:r>
              <w:rPr>
                <w:rFonts w:hint="cs"/>
                <w:rtl/>
              </w:rPr>
              <w:t xml:space="preserve"> </w:t>
            </w:r>
            <w:r w:rsidRPr="004A7B8E">
              <w:rPr>
                <w:rFonts w:hint="cs"/>
                <w:rtl/>
              </w:rPr>
              <w:t>במבנה קיים ובלבד שהיקפן הכספי הוא לפחות 20,000 שקלים חדשים</w:t>
            </w:r>
            <w:r>
              <w:rPr>
                <w:rFonts w:hint="cs"/>
                <w:rtl/>
              </w:rPr>
              <w:t>,</w:t>
            </w:r>
            <w:r w:rsidRPr="004A7B8E">
              <w:rPr>
                <w:rFonts w:hint="cs"/>
                <w:rtl/>
              </w:rPr>
              <w:t xml:space="preserve"> לרבות הרחבת מבנה ולמעט </w:t>
            </w:r>
            <w:r w:rsidRPr="004A7B8E">
              <w:rPr>
                <w:rFonts w:hint="cs"/>
                <w:rtl/>
              </w:rPr>
              <w:lastRenderedPageBreak/>
              <w:t>עבודות אשר נדרש בהן ביצוע עבודות קונסטרוקציה או שלד, עבודות הריסת מבנה ובניית מבנה חדש;</w:t>
            </w:r>
          </w:p>
        </w:tc>
      </w:tr>
      <w:tr w:rsidR="00E90F32" w14:paraId="30FEDFEC" w14:textId="77777777" w:rsidTr="000328E3">
        <w:tc>
          <w:tcPr>
            <w:tcW w:w="1871" w:type="dxa"/>
          </w:tcPr>
          <w:p w14:paraId="000BF8F2" w14:textId="77777777" w:rsidR="00E90F32" w:rsidRDefault="00E90F32" w:rsidP="0071058C">
            <w:pPr>
              <w:pStyle w:val="TableSideHeading"/>
              <w:keepLines w:val="0"/>
              <w:rPr>
                <w:rtl/>
              </w:rPr>
            </w:pPr>
          </w:p>
        </w:tc>
        <w:tc>
          <w:tcPr>
            <w:tcW w:w="624" w:type="dxa"/>
          </w:tcPr>
          <w:p w14:paraId="665A190E" w14:textId="77777777" w:rsidR="00E90F32" w:rsidRPr="00BE527A" w:rsidRDefault="00E90F32" w:rsidP="0071058C">
            <w:pPr>
              <w:pStyle w:val="TableBlock"/>
            </w:pPr>
          </w:p>
        </w:tc>
        <w:tc>
          <w:tcPr>
            <w:tcW w:w="7143" w:type="dxa"/>
            <w:gridSpan w:val="2"/>
          </w:tcPr>
          <w:p w14:paraId="29801052" w14:textId="071CA479" w:rsidR="00E90F32" w:rsidRPr="004A7B8E" w:rsidRDefault="00E90F32" w:rsidP="0071058C">
            <w:pPr>
              <w:pStyle w:val="TableBlockOutdent"/>
              <w:rPr>
                <w:rtl/>
              </w:rPr>
            </w:pPr>
            <w:r w:rsidRPr="004A7B8E">
              <w:rPr>
                <w:rFonts w:hint="cs"/>
                <w:rtl/>
              </w:rPr>
              <w:t xml:space="preserve">"תקופת </w:t>
            </w:r>
            <w:r>
              <w:rPr>
                <w:rFonts w:hint="cs"/>
                <w:rtl/>
              </w:rPr>
              <w:t>ה</w:t>
            </w:r>
            <w:r w:rsidRPr="004A7B8E">
              <w:rPr>
                <w:rFonts w:hint="cs"/>
                <w:rtl/>
              </w:rPr>
              <w:t xml:space="preserve">אחריות" </w:t>
            </w:r>
            <w:r w:rsidRPr="004A7B8E">
              <w:rPr>
                <w:rtl/>
              </w:rPr>
              <w:t>–</w:t>
            </w:r>
            <w:r w:rsidRPr="004A7B8E">
              <w:rPr>
                <w:rFonts w:hint="cs"/>
                <w:rtl/>
              </w:rPr>
              <w:t xml:space="preserve"> תקופה </w:t>
            </w:r>
            <w:r>
              <w:rPr>
                <w:rFonts w:hint="cs"/>
                <w:rtl/>
              </w:rPr>
              <w:t xml:space="preserve">של שנה </w:t>
            </w:r>
            <w:r w:rsidRPr="004A7B8E">
              <w:rPr>
                <w:rFonts w:hint="cs"/>
                <w:rtl/>
              </w:rPr>
              <w:t xml:space="preserve">שתחילתה </w:t>
            </w:r>
            <w:r>
              <w:rPr>
                <w:rFonts w:hint="cs"/>
                <w:rtl/>
              </w:rPr>
              <w:t>ב</w:t>
            </w:r>
            <w:r w:rsidRPr="004A7B8E">
              <w:rPr>
                <w:rFonts w:hint="cs"/>
                <w:rtl/>
              </w:rPr>
              <w:t>יום הקובע</w:t>
            </w:r>
            <w:r>
              <w:rPr>
                <w:rFonts w:hint="cs"/>
                <w:rtl/>
              </w:rPr>
              <w:t>, או תקופה  ארוכה יותר שנקבעה לפי סעיף 4.</w:t>
            </w:r>
            <w:r w:rsidRPr="004A7B8E">
              <w:rPr>
                <w:rFonts w:hint="cs"/>
                <w:rtl/>
              </w:rPr>
              <w:t xml:space="preserve"> </w:t>
            </w:r>
          </w:p>
        </w:tc>
      </w:tr>
      <w:tr w:rsidR="00E90F32" w14:paraId="41E1BA18" w14:textId="77777777" w:rsidTr="000328E3">
        <w:tc>
          <w:tcPr>
            <w:tcW w:w="1871" w:type="dxa"/>
          </w:tcPr>
          <w:p w14:paraId="3CE13B2C" w14:textId="77777777" w:rsidR="00E90F32" w:rsidRPr="00D901E6" w:rsidRDefault="00E90F32" w:rsidP="0071058C">
            <w:pPr>
              <w:pStyle w:val="TableSideHeading"/>
              <w:keepLines w:val="0"/>
            </w:pPr>
            <w:r>
              <w:rPr>
                <w:rFonts w:hint="cs"/>
                <w:rtl/>
              </w:rPr>
              <w:t>אחריות המבצע</w:t>
            </w:r>
          </w:p>
        </w:tc>
        <w:tc>
          <w:tcPr>
            <w:tcW w:w="624" w:type="dxa"/>
          </w:tcPr>
          <w:p w14:paraId="27A7EA0B" w14:textId="77777777" w:rsidR="00E90F32" w:rsidRPr="00BE527A" w:rsidRDefault="00E90F32" w:rsidP="0071058C">
            <w:pPr>
              <w:pStyle w:val="TableBlock"/>
            </w:pPr>
            <w:r>
              <w:rPr>
                <w:rFonts w:hint="cs"/>
                <w:rtl/>
              </w:rPr>
              <w:t>3.</w:t>
            </w:r>
          </w:p>
        </w:tc>
        <w:tc>
          <w:tcPr>
            <w:tcW w:w="7143" w:type="dxa"/>
            <w:gridSpan w:val="2"/>
          </w:tcPr>
          <w:p w14:paraId="6FCA606A" w14:textId="7FEFCC96" w:rsidR="00E90F32" w:rsidRPr="00C34DE2" w:rsidRDefault="00E90F32" w:rsidP="0071058C">
            <w:pPr>
              <w:pStyle w:val="TableBlock"/>
            </w:pPr>
            <w:r>
              <w:rPr>
                <w:rFonts w:hint="cs"/>
                <w:rtl/>
              </w:rPr>
              <w:t>(א)</w:t>
            </w:r>
            <w:r>
              <w:rPr>
                <w:rtl/>
              </w:rPr>
              <w:tab/>
            </w:r>
            <w:r>
              <w:rPr>
                <w:rFonts w:hint="cs"/>
                <w:rtl/>
              </w:rPr>
              <w:t>התקשר מזמין עם מבצע בהסכם לביצוע עבודות שיפוצים בתשלום, יהיה המבצע אחראי בתקופת האחריות, לאי התאמות ונזקים שנגרמו עקב עבודתו שביצע לפי הסכם לביצוע עבודות שיפוצים.</w:t>
            </w:r>
          </w:p>
        </w:tc>
      </w:tr>
      <w:tr w:rsidR="00E90F32" w14:paraId="067ABFDA" w14:textId="77777777" w:rsidTr="000328E3">
        <w:tc>
          <w:tcPr>
            <w:tcW w:w="1871" w:type="dxa"/>
          </w:tcPr>
          <w:p w14:paraId="0BAD00AA" w14:textId="77777777" w:rsidR="00E90F32" w:rsidRDefault="00E90F32" w:rsidP="0071058C">
            <w:pPr>
              <w:pStyle w:val="TableSideHeading"/>
              <w:keepLines w:val="0"/>
              <w:rPr>
                <w:rtl/>
              </w:rPr>
            </w:pPr>
          </w:p>
        </w:tc>
        <w:tc>
          <w:tcPr>
            <w:tcW w:w="624" w:type="dxa"/>
          </w:tcPr>
          <w:p w14:paraId="06FF3A5A" w14:textId="77777777" w:rsidR="00E90F32" w:rsidRDefault="00E90F32" w:rsidP="0071058C">
            <w:pPr>
              <w:pStyle w:val="TableText"/>
              <w:rPr>
                <w:rtl/>
              </w:rPr>
            </w:pPr>
          </w:p>
        </w:tc>
        <w:tc>
          <w:tcPr>
            <w:tcW w:w="7143" w:type="dxa"/>
            <w:gridSpan w:val="2"/>
          </w:tcPr>
          <w:p w14:paraId="086E31D7" w14:textId="32297D30" w:rsidR="00E90F32" w:rsidRDefault="00E90F32" w:rsidP="00E90F32">
            <w:pPr>
              <w:pStyle w:val="TableBlock"/>
              <w:rPr>
                <w:rtl/>
              </w:rPr>
            </w:pPr>
            <w:r>
              <w:rPr>
                <w:rFonts w:hint="cs"/>
                <w:rtl/>
              </w:rPr>
              <w:t>(ב)</w:t>
            </w:r>
            <w:r>
              <w:rPr>
                <w:rtl/>
              </w:rPr>
              <w:tab/>
            </w:r>
            <w:r>
              <w:rPr>
                <w:rFonts w:hint="cs"/>
                <w:rtl/>
              </w:rPr>
              <w:t xml:space="preserve">התגלתה בתקופת האחריות, אי התאמה או נגרם נזק שנכלל באחריות המבצע הניתנים לתיקון, ייתן המזמין למבצע הזדמנות נאותה לתקנה, והמבצע יתקנם </w:t>
            </w:r>
            <w:r w:rsidR="00884B6E">
              <w:rPr>
                <w:rFonts w:hint="cs"/>
                <w:rtl/>
              </w:rPr>
              <w:t>בלא תמורה ו</w:t>
            </w:r>
            <w:r>
              <w:rPr>
                <w:rFonts w:hint="cs"/>
                <w:rtl/>
              </w:rPr>
              <w:t>בתוך זמן סביר.</w:t>
            </w:r>
          </w:p>
        </w:tc>
      </w:tr>
      <w:tr w:rsidR="00E90F32" w14:paraId="22DA8E36" w14:textId="77777777" w:rsidTr="000328E3">
        <w:tc>
          <w:tcPr>
            <w:tcW w:w="1871" w:type="dxa"/>
          </w:tcPr>
          <w:p w14:paraId="2E1ED142" w14:textId="2D8887DC" w:rsidR="00E90F32" w:rsidRDefault="00E90F32" w:rsidP="0071058C">
            <w:pPr>
              <w:pStyle w:val="TableSideHeading"/>
              <w:keepLines w:val="0"/>
            </w:pPr>
            <w:r>
              <w:rPr>
                <w:rFonts w:hint="cs"/>
                <w:rtl/>
              </w:rPr>
              <w:t>הסכם לביצוע עבודות שיפוצים</w:t>
            </w:r>
          </w:p>
        </w:tc>
        <w:tc>
          <w:tcPr>
            <w:tcW w:w="624" w:type="dxa"/>
          </w:tcPr>
          <w:p w14:paraId="6F4E9A41" w14:textId="77777777" w:rsidR="00E90F32" w:rsidRPr="00BE527A" w:rsidRDefault="00E90F32" w:rsidP="0071058C">
            <w:pPr>
              <w:pStyle w:val="TableBlock"/>
            </w:pPr>
            <w:r>
              <w:rPr>
                <w:rFonts w:hint="cs"/>
                <w:rtl/>
              </w:rPr>
              <w:t>4.</w:t>
            </w:r>
          </w:p>
        </w:tc>
        <w:tc>
          <w:tcPr>
            <w:tcW w:w="7143" w:type="dxa"/>
            <w:gridSpan w:val="2"/>
          </w:tcPr>
          <w:p w14:paraId="3580A22E" w14:textId="3595A544" w:rsidR="00E90F32" w:rsidRDefault="00E90F32" w:rsidP="0071058C">
            <w:pPr>
              <w:pStyle w:val="TableBlock"/>
            </w:pPr>
            <w:r>
              <w:rPr>
                <w:rFonts w:hint="cs"/>
                <w:rtl/>
              </w:rPr>
              <w:t xml:space="preserve">הסכם לביצוע עבודות שיפוצים ייערך בכתב וייחתם בידי המבצע והמזמין; בהסכם האמור רשאים המזמין והמבצע לקבוע תקופת אחריות המבצע שונה, ובלבד שלא תפחת משנה. </w:t>
            </w:r>
          </w:p>
        </w:tc>
      </w:tr>
      <w:tr w:rsidR="00E90F32" w14:paraId="05977BE5" w14:textId="77777777" w:rsidTr="000328E3">
        <w:tc>
          <w:tcPr>
            <w:tcW w:w="1871" w:type="dxa"/>
          </w:tcPr>
          <w:p w14:paraId="358E7CBE" w14:textId="48F1F972" w:rsidR="00E90F32" w:rsidRDefault="00E90F32" w:rsidP="0071058C">
            <w:pPr>
              <w:pStyle w:val="TableSideHeading"/>
              <w:keepLines w:val="0"/>
            </w:pPr>
            <w:r>
              <w:rPr>
                <w:rFonts w:hint="cs"/>
                <w:rtl/>
              </w:rPr>
              <w:t xml:space="preserve">התניה </w:t>
            </w:r>
            <w:r>
              <w:rPr>
                <w:rtl/>
              </w:rPr>
              <w:t>–</w:t>
            </w:r>
            <w:r>
              <w:rPr>
                <w:rFonts w:hint="cs"/>
                <w:rtl/>
              </w:rPr>
              <w:t xml:space="preserve"> לטובת המזמין</w:t>
            </w:r>
          </w:p>
        </w:tc>
        <w:tc>
          <w:tcPr>
            <w:tcW w:w="624" w:type="dxa"/>
          </w:tcPr>
          <w:p w14:paraId="365457AC" w14:textId="77777777" w:rsidR="00E90F32" w:rsidRPr="00BE527A" w:rsidRDefault="00E90F32" w:rsidP="0071058C">
            <w:pPr>
              <w:pStyle w:val="TableBlock"/>
            </w:pPr>
            <w:r>
              <w:rPr>
                <w:rFonts w:hint="cs"/>
                <w:rtl/>
              </w:rPr>
              <w:t>5.</w:t>
            </w:r>
          </w:p>
        </w:tc>
        <w:tc>
          <w:tcPr>
            <w:tcW w:w="7143" w:type="dxa"/>
            <w:gridSpan w:val="2"/>
          </w:tcPr>
          <w:p w14:paraId="5CB4225F" w14:textId="4AA3F7A3" w:rsidR="00E90F32" w:rsidRDefault="00E90F32" w:rsidP="0071058C">
            <w:pPr>
              <w:pStyle w:val="TableBlock"/>
            </w:pPr>
            <w:r>
              <w:rPr>
                <w:rFonts w:hint="cs"/>
                <w:rtl/>
              </w:rPr>
              <w:t xml:space="preserve">מבלי לגרוע מהוראות סעיף 4, אין להתנות על הוראות חוק זה אלא לטובת המזמין. </w:t>
            </w:r>
          </w:p>
        </w:tc>
      </w:tr>
      <w:tr w:rsidR="00E90F32" w14:paraId="442CCD26" w14:textId="77777777" w:rsidTr="000328E3">
        <w:tc>
          <w:tcPr>
            <w:tcW w:w="1871" w:type="dxa"/>
          </w:tcPr>
          <w:p w14:paraId="1F78AA74" w14:textId="77777777" w:rsidR="00E90F32" w:rsidRDefault="00E90F32" w:rsidP="0071058C">
            <w:pPr>
              <w:pStyle w:val="TableSideHeading"/>
              <w:keepLines w:val="0"/>
              <w:rPr>
                <w:rtl/>
              </w:rPr>
            </w:pPr>
            <w:r>
              <w:rPr>
                <w:rFonts w:hint="cs"/>
                <w:rtl/>
              </w:rPr>
              <w:t>ביצוע</w:t>
            </w:r>
          </w:p>
        </w:tc>
        <w:tc>
          <w:tcPr>
            <w:tcW w:w="624" w:type="dxa"/>
          </w:tcPr>
          <w:p w14:paraId="732FE8B2" w14:textId="77777777" w:rsidR="00E90F32" w:rsidRPr="00BE527A" w:rsidRDefault="00E90F32" w:rsidP="0071058C">
            <w:pPr>
              <w:pStyle w:val="TableBlock"/>
            </w:pPr>
            <w:r>
              <w:rPr>
                <w:rFonts w:hint="cs"/>
                <w:rtl/>
              </w:rPr>
              <w:t>6.</w:t>
            </w:r>
          </w:p>
        </w:tc>
        <w:tc>
          <w:tcPr>
            <w:tcW w:w="7143" w:type="dxa"/>
            <w:gridSpan w:val="2"/>
          </w:tcPr>
          <w:p w14:paraId="0FFEFC96" w14:textId="77777777" w:rsidR="00E90F32" w:rsidRDefault="00E90F32" w:rsidP="0071058C">
            <w:pPr>
              <w:pStyle w:val="TableBlock"/>
              <w:rPr>
                <w:rtl/>
              </w:rPr>
            </w:pPr>
            <w:r>
              <w:rPr>
                <w:rFonts w:hint="cs"/>
                <w:rtl/>
              </w:rPr>
              <w:t>שר הבינוי והשיכון ממונה על ביצוע הוראות חוק זה, והוא רשאי להתקין תקנות בכל עניין הנוגע לביצועו.</w:t>
            </w:r>
          </w:p>
        </w:tc>
      </w:tr>
      <w:tr w:rsidR="00E90F32" w14:paraId="638248A1" w14:textId="77777777" w:rsidTr="000328E3">
        <w:tc>
          <w:tcPr>
            <w:tcW w:w="1871" w:type="dxa"/>
          </w:tcPr>
          <w:p w14:paraId="05C70FA9" w14:textId="77777777" w:rsidR="00E90F32" w:rsidRDefault="00E90F32" w:rsidP="0071058C">
            <w:pPr>
              <w:pStyle w:val="TableSideHeading"/>
              <w:keepLines w:val="0"/>
              <w:rPr>
                <w:rtl/>
              </w:rPr>
            </w:pPr>
            <w:r>
              <w:rPr>
                <w:rFonts w:hint="cs"/>
                <w:rtl/>
              </w:rPr>
              <w:t>תחולה ותחילה</w:t>
            </w:r>
          </w:p>
        </w:tc>
        <w:tc>
          <w:tcPr>
            <w:tcW w:w="624" w:type="dxa"/>
          </w:tcPr>
          <w:p w14:paraId="40B08C9A" w14:textId="77777777" w:rsidR="00E90F32" w:rsidRPr="00BE527A" w:rsidRDefault="00E90F32" w:rsidP="0071058C">
            <w:pPr>
              <w:pStyle w:val="TableBlock"/>
            </w:pPr>
            <w:r>
              <w:rPr>
                <w:rFonts w:hint="cs"/>
                <w:rtl/>
              </w:rPr>
              <w:t>7</w:t>
            </w:r>
          </w:p>
        </w:tc>
        <w:tc>
          <w:tcPr>
            <w:tcW w:w="7143" w:type="dxa"/>
            <w:gridSpan w:val="2"/>
          </w:tcPr>
          <w:p w14:paraId="500ED15A" w14:textId="0F6009DA" w:rsidR="00E90F32" w:rsidRDefault="00E90F32" w:rsidP="0071058C">
            <w:pPr>
              <w:pStyle w:val="TableBlock"/>
              <w:rPr>
                <w:rtl/>
              </w:rPr>
            </w:pPr>
            <w:r>
              <w:rPr>
                <w:rFonts w:hint="cs"/>
                <w:rtl/>
              </w:rPr>
              <w:t xml:space="preserve">תחילתו של חוק זה שלושה חודשים מיום פרסומו (להלן </w:t>
            </w:r>
            <w:r>
              <w:rPr>
                <w:rtl/>
              </w:rPr>
              <w:t>–</w:t>
            </w:r>
            <w:r>
              <w:rPr>
                <w:rFonts w:hint="cs"/>
                <w:rtl/>
              </w:rPr>
              <w:t xml:space="preserve"> יום התחילה) והוא יחול על התקשרות לביצוע עבודות שיפוצים שנעשתה מיום התחילה ואילך.</w:t>
            </w:r>
          </w:p>
        </w:tc>
      </w:tr>
    </w:tbl>
    <w:p w14:paraId="182927A6" w14:textId="77777777" w:rsidR="00E90F32" w:rsidRDefault="00E90F32" w:rsidP="00E90F32">
      <w:pPr>
        <w:pStyle w:val="HeadDivreiHesber"/>
        <w:rPr>
          <w:rtl/>
        </w:rPr>
      </w:pPr>
      <w:r w:rsidRPr="0027450A">
        <w:rPr>
          <w:rFonts w:hint="cs"/>
          <w:rtl/>
        </w:rPr>
        <w:t>דברי הסבר</w:t>
      </w:r>
    </w:p>
    <w:p w14:paraId="7DE2D900" w14:textId="77777777" w:rsidR="00E90F32" w:rsidRPr="00564D07" w:rsidRDefault="00E90F32" w:rsidP="000328E3">
      <w:pPr>
        <w:pStyle w:val="Hesber"/>
        <w:rPr>
          <w:rtl/>
        </w:rPr>
      </w:pPr>
      <w:r w:rsidRPr="00564D07">
        <w:rPr>
          <w:rFonts w:hint="cs"/>
          <w:rtl/>
        </w:rPr>
        <w:t xml:space="preserve">במדינת ישראל לא קיימת חובת אחריות </w:t>
      </w:r>
      <w:r w:rsidRPr="000328E3">
        <w:rPr>
          <w:rFonts w:hint="cs"/>
          <w:rtl/>
        </w:rPr>
        <w:t>על</w:t>
      </w:r>
      <w:r w:rsidRPr="00564D07">
        <w:rPr>
          <w:rFonts w:hint="cs"/>
          <w:rtl/>
        </w:rPr>
        <w:t xml:space="preserve"> ביצוע עבודה על ידי קבלנים לעבודות הנדסה בנאיות (להלן </w:t>
      </w:r>
      <w:r w:rsidRPr="00564D07">
        <w:rPr>
          <w:rtl/>
        </w:rPr>
        <w:t>–</w:t>
      </w:r>
      <w:r w:rsidRPr="00564D07">
        <w:rPr>
          <w:rFonts w:hint="cs"/>
          <w:rtl/>
        </w:rPr>
        <w:t xml:space="preserve"> קבלני שיפוצים). בשל כך, אזרחים רבים הנעזרים בשירות זה נופלים קורבן לעבודות רשלניות, שלעתים מתגלות כעבור חודשים רבים ממועד השיפוץ ולא מקימות עילת תביעה. כמו כן, מאחר שאין הוראה בדין המחייבת כי חוזה שיפוצים ייעשה בכתב, התקשרויות בענף זה מתבצעות על ידי הצדדים בעל פה.</w:t>
      </w:r>
    </w:p>
    <w:p w14:paraId="02ABE311" w14:textId="7CB456FA" w:rsidR="00E90F32" w:rsidRPr="00F75C5B" w:rsidRDefault="00E90F32" w:rsidP="00E90F32">
      <w:pPr>
        <w:pStyle w:val="Hesber"/>
        <w:rPr>
          <w:rtl/>
        </w:rPr>
      </w:pPr>
      <w:r w:rsidRPr="00F75C5B">
        <w:rPr>
          <w:rFonts w:hint="cs"/>
          <w:rtl/>
        </w:rPr>
        <w:t xml:space="preserve">עבודות שיפוץ רבות כרוכות בעלויות משמעותיות עבור משפחה בעלת הכנסה ממוצעת במשק. משקי בית נוהגים לשפץ את ביתם אחת לעשור. מדוח נתוני "דן אנד </w:t>
      </w:r>
      <w:proofErr w:type="spellStart"/>
      <w:r w:rsidRPr="00F75C5B">
        <w:rPr>
          <w:rFonts w:hint="cs"/>
          <w:rtl/>
        </w:rPr>
        <w:t>ברדסטריט</w:t>
      </w:r>
      <w:proofErr w:type="spellEnd"/>
      <w:r w:rsidRPr="00F75C5B">
        <w:rPr>
          <w:rFonts w:hint="cs"/>
          <w:rtl/>
        </w:rPr>
        <w:t xml:space="preserve">" לשנת 2009 עולה כי כ-220 אלף בתי אב בישראל עורכים שיפוצים נרחבים בביתם, </w:t>
      </w:r>
      <w:r>
        <w:rPr>
          <w:rFonts w:hint="cs"/>
          <w:rtl/>
        </w:rPr>
        <w:t>ו</w:t>
      </w:r>
      <w:r w:rsidRPr="00F75C5B">
        <w:rPr>
          <w:rFonts w:hint="cs"/>
          <w:rtl/>
        </w:rPr>
        <w:t>כ-600 אלף נוספים עורכים מדי שנה שיפוצים קטנים בהיקפם.</w:t>
      </w:r>
    </w:p>
    <w:p w14:paraId="1732C5A4" w14:textId="77777777" w:rsidR="00E90F32" w:rsidRPr="00F75C5B" w:rsidRDefault="00E90F32" w:rsidP="00E90F32">
      <w:pPr>
        <w:pStyle w:val="Hesber"/>
        <w:rPr>
          <w:rtl/>
        </w:rPr>
      </w:pPr>
      <w:r w:rsidRPr="00F75C5B">
        <w:rPr>
          <w:rFonts w:hint="cs"/>
          <w:rtl/>
        </w:rPr>
        <w:t xml:space="preserve">עלותו של שיפוץ ממוצע נעה בין 45,000 שקלים חדשים ל-100,000 שקלים חדשים, ועלותו של שיפוץ נרחב, הכולל הוספת חדרים לדירה, עשויה להגיע ל-200,000 שקלים חדשים ומעלה. כחלק מעליית הוצאות משקי הבית הגידול בהוצאות על שיפוצים גדל בעשרות אחוזים ותוספת עלויות תיקון עלולה </w:t>
      </w:r>
      <w:r w:rsidRPr="00F75C5B">
        <w:rPr>
          <w:rFonts w:hint="cs"/>
          <w:rtl/>
        </w:rPr>
        <w:lastRenderedPageBreak/>
        <w:t>לגרור משפחה להוצאות כבדות ובלתי מתוכננות תוך פרק זמן קצר.</w:t>
      </w:r>
    </w:p>
    <w:p w14:paraId="11D4DC7B" w14:textId="77777777" w:rsidR="00E90F32" w:rsidRPr="00F75C5B" w:rsidRDefault="00E90F32" w:rsidP="00E90F32">
      <w:pPr>
        <w:pStyle w:val="Hesber"/>
        <w:rPr>
          <w:rtl/>
        </w:rPr>
      </w:pPr>
      <w:r w:rsidRPr="00F75C5B">
        <w:rPr>
          <w:rFonts w:hint="cs"/>
          <w:rtl/>
        </w:rPr>
        <w:t>כדי לתת מענה לקשיים אלה, מוצע לקבוע כי חוזה שיפוצים יהיה בכתב ובחתימת הצדדים. כמו כן, מוצע לעגן את אחריותו של קבלן השיפוצים לעבודה במשך שנה לפחות בפני מזמין העבודה. כך תובטח איכות השירות שניתן על ידי קבלני שיפוצים רשומים לצרכנים תוך יצירת הסדר ברור לפיצוי במקרה שבו נפל פגם בביצוע עבודה או שירות קבלנות.</w:t>
      </w:r>
      <w:r>
        <w:rPr>
          <w:rFonts w:hint="cs"/>
          <w:rtl/>
        </w:rPr>
        <w:t xml:space="preserve"> </w:t>
      </w:r>
    </w:p>
    <w:p w14:paraId="2E1B1222" w14:textId="10743DA6" w:rsidR="00E90F32" w:rsidRDefault="00E90F32" w:rsidP="000328E3">
      <w:pPr>
        <w:pStyle w:val="Hesber"/>
        <w:rPr>
          <w:rtl/>
        </w:rPr>
      </w:pPr>
      <w:r>
        <w:rPr>
          <w:rFonts w:hint="cs"/>
          <w:rtl/>
        </w:rPr>
        <w:t>הצעת חוק דומה בעיקרה הו</w:t>
      </w:r>
      <w:r w:rsidR="000328E3">
        <w:rPr>
          <w:rFonts w:hint="cs"/>
          <w:rtl/>
        </w:rPr>
        <w:t>נחה</w:t>
      </w:r>
      <w:r>
        <w:rPr>
          <w:rFonts w:hint="cs"/>
          <w:rtl/>
        </w:rPr>
        <w:t xml:space="preserve"> </w:t>
      </w:r>
      <w:r w:rsidR="000328E3">
        <w:rPr>
          <w:rFonts w:hint="cs"/>
          <w:rtl/>
        </w:rPr>
        <w:t>על שולחן ה</w:t>
      </w:r>
      <w:r>
        <w:rPr>
          <w:rFonts w:hint="cs"/>
          <w:rtl/>
        </w:rPr>
        <w:t xml:space="preserve">כנסת העשרים על ידי חבר הכנסת רועי </w:t>
      </w:r>
      <w:proofErr w:type="spellStart"/>
      <w:r>
        <w:rPr>
          <w:rFonts w:hint="cs"/>
          <w:rtl/>
        </w:rPr>
        <w:t>פולקמן</w:t>
      </w:r>
      <w:proofErr w:type="spellEnd"/>
      <w:r>
        <w:rPr>
          <w:rFonts w:hint="cs"/>
          <w:rtl/>
        </w:rPr>
        <w:t xml:space="preserve"> וקבוצת חברי הכנסת (פ/4333/20; </w:t>
      </w:r>
      <w:bookmarkStart w:id="8" w:name="_GoBack"/>
      <w:bookmarkEnd w:id="8"/>
      <w:r>
        <w:rPr>
          <w:rFonts w:hint="cs"/>
          <w:rtl/>
        </w:rPr>
        <w:t xml:space="preserve">הוסרה מסדר היום ביום ט' בטבת </w:t>
      </w:r>
      <w:proofErr w:type="spellStart"/>
      <w:r>
        <w:rPr>
          <w:rFonts w:hint="cs"/>
          <w:rtl/>
        </w:rPr>
        <w:t>התשע"ט</w:t>
      </w:r>
      <w:proofErr w:type="spellEnd"/>
      <w:r>
        <w:rPr>
          <w:rFonts w:hint="cs"/>
          <w:rtl/>
        </w:rPr>
        <w:t xml:space="preserve"> (17 בדצמבר 2018)). </w:t>
      </w:r>
    </w:p>
    <w:p w14:paraId="7F6961CB" w14:textId="15261D19" w:rsidR="00E13C27" w:rsidRPr="00E90F32" w:rsidRDefault="00E13C27" w:rsidP="00E90F32">
      <w:pPr>
        <w:rPr>
          <w:rtl/>
        </w:rPr>
      </w:pPr>
    </w:p>
    <w:p w14:paraId="1D8451CD" w14:textId="77777777" w:rsidR="006F2486" w:rsidRDefault="000328E3">
      <w:pPr>
        <w:spacing w:before="0" w:line="360" w:lineRule="auto"/>
        <w:jc w:val="left"/>
      </w:pPr>
      <w:bookmarkStart w:id="9" w:name="selectedDocDateB"/>
      <w:bookmarkEnd w:id="9"/>
      <w:r>
        <w:rPr>
          <w:rFonts w:ascii="David" w:eastAsia="David" w:hAnsi="David" w:cs="David" w:hint="cs"/>
          <w:sz w:val="26"/>
          <w:szCs w:val="26"/>
          <w:rtl/>
        </w:rPr>
        <w:t>--------------------------------</w:t>
      </w:r>
    </w:p>
    <w:p w14:paraId="7842DF3D" w14:textId="77777777" w:rsidR="006F2486" w:rsidRDefault="000328E3">
      <w:pPr>
        <w:spacing w:before="0" w:line="360" w:lineRule="auto"/>
        <w:jc w:val="left"/>
      </w:pPr>
      <w:r>
        <w:rPr>
          <w:rFonts w:ascii="David" w:eastAsia="David" w:hAnsi="David" w:cs="David" w:hint="cs"/>
          <w:sz w:val="26"/>
          <w:szCs w:val="26"/>
          <w:rtl/>
        </w:rPr>
        <w:t>הוגשה ליו"ר הכנסת והסגנים</w:t>
      </w:r>
    </w:p>
    <w:p w14:paraId="387B2916" w14:textId="77777777" w:rsidR="006F2486" w:rsidRDefault="000328E3">
      <w:pPr>
        <w:spacing w:before="0" w:line="360" w:lineRule="auto"/>
        <w:jc w:val="left"/>
      </w:pPr>
      <w:r>
        <w:rPr>
          <w:rFonts w:ascii="David" w:eastAsia="David" w:hAnsi="David" w:cs="David" w:hint="cs"/>
          <w:sz w:val="26"/>
          <w:szCs w:val="26"/>
          <w:rtl/>
        </w:rPr>
        <w:t>והונחה על שולחן הכנסת ביום</w:t>
      </w:r>
    </w:p>
    <w:p w14:paraId="67E409A1" w14:textId="77777777" w:rsidR="006F2486" w:rsidRDefault="000328E3">
      <w:pPr>
        <w:spacing w:before="0" w:line="360" w:lineRule="auto"/>
        <w:jc w:val="left"/>
      </w:pPr>
      <w:r>
        <w:rPr>
          <w:rFonts w:ascii="David" w:eastAsia="David" w:hAnsi="David" w:cs="David" w:hint="cs"/>
          <w:sz w:val="26"/>
          <w:szCs w:val="26"/>
          <w:rtl/>
        </w:rPr>
        <w:t xml:space="preserve">י"א בכסלו </w:t>
      </w:r>
      <w:proofErr w:type="spellStart"/>
      <w:r>
        <w:rPr>
          <w:rFonts w:ascii="David" w:eastAsia="David" w:hAnsi="David" w:cs="David" w:hint="cs"/>
          <w:sz w:val="26"/>
          <w:szCs w:val="26"/>
          <w:rtl/>
        </w:rPr>
        <w:t>התשפ"ב</w:t>
      </w:r>
      <w:proofErr w:type="spellEnd"/>
      <w:r>
        <w:rPr>
          <w:rFonts w:ascii="David" w:eastAsia="David" w:hAnsi="David" w:cs="David" w:hint="cs"/>
          <w:sz w:val="26"/>
          <w:szCs w:val="26"/>
          <w:rtl/>
        </w:rPr>
        <w:t xml:space="preserve"> (15.11.2021) </w:t>
      </w:r>
    </w:p>
    <w:p w14:paraId="5ED7F2A3" w14:textId="77777777" w:rsidR="006F2486" w:rsidRDefault="006F2486">
      <w:pPr>
        <w:spacing w:before="0" w:line="276" w:lineRule="auto"/>
        <w:jc w:val="left"/>
      </w:pPr>
    </w:p>
    <w:sectPr w:rsidR="006F2486" w:rsidSect="008B1EF6">
      <w:footerReference w:type="even" r:id="rId11"/>
      <w:footerReference w:type="default" r:id="rId12"/>
      <w:pgSz w:w="11907" w:h="16840" w:code="9"/>
      <w:pgMar w:top="1701" w:right="1134" w:bottom="1417"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0328E3">
      <w:rPr>
        <w:rStyle w:val="aa"/>
        <w:noProof/>
        <w:rtl/>
      </w:rPr>
      <w:t>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8B1EF6">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4B1DC45" w14:textId="77777777" w:rsidR="00E90F32" w:rsidRDefault="00E90F32" w:rsidP="00E90F32">
      <w:pPr>
        <w:pStyle w:val="a4"/>
      </w:pPr>
      <w:r>
        <w:rPr>
          <w:rStyle w:val="a5"/>
        </w:rPr>
        <w:footnoteRef/>
      </w:r>
      <w:r>
        <w:rPr>
          <w:rtl/>
        </w:rPr>
        <w:t xml:space="preserve"> </w:t>
      </w:r>
      <w:r>
        <w:rPr>
          <w:rFonts w:cs="Arial"/>
          <w:color w:val="2F393C"/>
          <w:sz w:val="18"/>
          <w:szCs w:val="18"/>
          <w:shd w:val="clear" w:color="auto" w:fill="FFFFFF"/>
          <w:rtl/>
        </w:rPr>
        <w:t>ס</w:t>
      </w:r>
      <w:r>
        <w:rPr>
          <w:rFonts w:cs="Arial" w:hint="cs"/>
          <w:color w:val="2F393C"/>
          <w:sz w:val="18"/>
          <w:szCs w:val="18"/>
          <w:shd w:val="clear" w:color="auto" w:fill="FFFFFF"/>
          <w:rtl/>
        </w:rPr>
        <w:t xml:space="preserve">"ח </w:t>
      </w:r>
      <w:proofErr w:type="spellStart"/>
      <w:r>
        <w:rPr>
          <w:rFonts w:cs="Arial" w:hint="cs"/>
          <w:color w:val="2F393C"/>
          <w:sz w:val="18"/>
          <w:szCs w:val="18"/>
          <w:shd w:val="clear" w:color="auto" w:fill="FFFFFF"/>
          <w:rtl/>
        </w:rPr>
        <w:t>התשי"ג</w:t>
      </w:r>
      <w:proofErr w:type="spellEnd"/>
      <w:r>
        <w:rPr>
          <w:rFonts w:cs="Arial" w:hint="cs"/>
          <w:color w:val="2F393C"/>
          <w:sz w:val="18"/>
          <w:szCs w:val="18"/>
          <w:shd w:val="clear" w:color="auto" w:fill="FFFFFF"/>
          <w:rtl/>
        </w:rPr>
        <w:t>,</w:t>
      </w:r>
      <w:r>
        <w:rPr>
          <w:rFonts w:cs="Arial"/>
          <w:color w:val="2F393C"/>
          <w:sz w:val="18"/>
          <w:szCs w:val="18"/>
          <w:shd w:val="clear" w:color="auto" w:fill="FFFFFF"/>
          <w:rtl/>
        </w:rPr>
        <w:t>, עמ' 30</w:t>
      </w:r>
      <w:r>
        <w:rPr>
          <w:rFonts w:cs="Arial" w:hint="cs"/>
          <w:color w:val="2F393C"/>
          <w:sz w:val="18"/>
          <w:szCs w:val="18"/>
          <w:shd w:val="clear" w:color="auto" w:fill="FFFFFF"/>
          <w:rtl/>
        </w:rPr>
        <w:t>.</w:t>
      </w:r>
    </w:p>
  </w:footnote>
  <w:footnote w:id="3">
    <w:p w14:paraId="265C2526" w14:textId="77777777" w:rsidR="00E90F32" w:rsidRDefault="00E90F32" w:rsidP="00E90F32">
      <w:pPr>
        <w:pStyle w:val="a4"/>
      </w:pPr>
      <w:r>
        <w:rPr>
          <w:rStyle w:val="a5"/>
        </w:rPr>
        <w:footnoteRef/>
      </w:r>
      <w:r>
        <w:rPr>
          <w:rtl/>
        </w:rPr>
        <w:t xml:space="preserve"> </w:t>
      </w:r>
      <w:r>
        <w:rPr>
          <w:rFonts w:hint="cs"/>
          <w:rtl/>
        </w:rPr>
        <w:t xml:space="preserve">ס"ח </w:t>
      </w:r>
      <w:proofErr w:type="spellStart"/>
      <w:r>
        <w:rPr>
          <w:rFonts w:hint="cs"/>
          <w:rtl/>
        </w:rPr>
        <w:t>התשכ"ח</w:t>
      </w:r>
      <w:proofErr w:type="spellEnd"/>
      <w:r>
        <w:rPr>
          <w:rFonts w:hint="cs"/>
          <w:rtl/>
        </w:rPr>
        <w:t>, עמ' 98.</w:t>
      </w:r>
    </w:p>
  </w:footnote>
  <w:footnote w:id="4">
    <w:p w14:paraId="3809F3BA" w14:textId="77777777" w:rsidR="00E90F32" w:rsidRDefault="00E90F32" w:rsidP="00E90F32">
      <w:pPr>
        <w:pStyle w:val="a4"/>
      </w:pPr>
      <w:r>
        <w:rPr>
          <w:rStyle w:val="a5"/>
        </w:rPr>
        <w:footnoteRef/>
      </w:r>
      <w:r>
        <w:rPr>
          <w:rtl/>
        </w:rPr>
        <w:t xml:space="preserve"> </w:t>
      </w:r>
      <w:r>
        <w:rPr>
          <w:rFonts w:cs="Arial"/>
          <w:color w:val="2F393C"/>
          <w:sz w:val="18"/>
          <w:szCs w:val="18"/>
          <w:shd w:val="clear" w:color="auto" w:fill="FFFFFF"/>
          <w:rtl/>
        </w:rPr>
        <w:t>ספר החוקים 570, עמ' 218</w:t>
      </w:r>
      <w:r>
        <w:rPr>
          <w:rFonts w:cs="Arial" w:hint="cs"/>
          <w:color w:val="2F393C"/>
          <w:sz w:val="18"/>
          <w:szCs w:val="18"/>
          <w:shd w:val="clear" w:color="auto" w:fill="FFFFFF"/>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02F4"/>
    <w:multiLevelType w:val="hybridMultilevel"/>
    <w:tmpl w:val="AD6A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34A91"/>
    <w:multiLevelType w:val="hybridMultilevel"/>
    <w:tmpl w:val="792AC304"/>
    <w:lvl w:ilvl="0" w:tplc="1B2254E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328E3"/>
    <w:rsid w:val="00063A3E"/>
    <w:rsid w:val="0006760D"/>
    <w:rsid w:val="00072CAC"/>
    <w:rsid w:val="0007681A"/>
    <w:rsid w:val="000A542E"/>
    <w:rsid w:val="000D1391"/>
    <w:rsid w:val="00102B6B"/>
    <w:rsid w:val="001052D4"/>
    <w:rsid w:val="0010644B"/>
    <w:rsid w:val="001207F8"/>
    <w:rsid w:val="00121924"/>
    <w:rsid w:val="00121C6B"/>
    <w:rsid w:val="001279A8"/>
    <w:rsid w:val="0014195F"/>
    <w:rsid w:val="00152609"/>
    <w:rsid w:val="00153E1B"/>
    <w:rsid w:val="00197869"/>
    <w:rsid w:val="001A0623"/>
    <w:rsid w:val="001C23B0"/>
    <w:rsid w:val="001D3DBA"/>
    <w:rsid w:val="001D7AAF"/>
    <w:rsid w:val="00203A7F"/>
    <w:rsid w:val="0021633A"/>
    <w:rsid w:val="002200A1"/>
    <w:rsid w:val="002362BF"/>
    <w:rsid w:val="00241B97"/>
    <w:rsid w:val="002425D1"/>
    <w:rsid w:val="00246756"/>
    <w:rsid w:val="00246826"/>
    <w:rsid w:val="00247600"/>
    <w:rsid w:val="00251E58"/>
    <w:rsid w:val="00254605"/>
    <w:rsid w:val="00266D86"/>
    <w:rsid w:val="002728B4"/>
    <w:rsid w:val="0027600C"/>
    <w:rsid w:val="00292712"/>
    <w:rsid w:val="002A487D"/>
    <w:rsid w:val="002B0E15"/>
    <w:rsid w:val="002C2E29"/>
    <w:rsid w:val="002C3041"/>
    <w:rsid w:val="002D1EE3"/>
    <w:rsid w:val="002F1D80"/>
    <w:rsid w:val="00307A90"/>
    <w:rsid w:val="00313C0C"/>
    <w:rsid w:val="003232A2"/>
    <w:rsid w:val="00325C14"/>
    <w:rsid w:val="0035783B"/>
    <w:rsid w:val="00362CC0"/>
    <w:rsid w:val="0036422C"/>
    <w:rsid w:val="003710F6"/>
    <w:rsid w:val="003810E2"/>
    <w:rsid w:val="00386E88"/>
    <w:rsid w:val="00396585"/>
    <w:rsid w:val="003D6E38"/>
    <w:rsid w:val="003D74A0"/>
    <w:rsid w:val="003E07E9"/>
    <w:rsid w:val="003F144E"/>
    <w:rsid w:val="004033D8"/>
    <w:rsid w:val="004073F0"/>
    <w:rsid w:val="00412A7D"/>
    <w:rsid w:val="00416B4D"/>
    <w:rsid w:val="00417CFC"/>
    <w:rsid w:val="004A06DC"/>
    <w:rsid w:val="004A7B8E"/>
    <w:rsid w:val="004B24ED"/>
    <w:rsid w:val="004B6625"/>
    <w:rsid w:val="004D2D82"/>
    <w:rsid w:val="004D3876"/>
    <w:rsid w:val="004E4552"/>
    <w:rsid w:val="004E6CDF"/>
    <w:rsid w:val="004F1BC5"/>
    <w:rsid w:val="00553C9D"/>
    <w:rsid w:val="00562A66"/>
    <w:rsid w:val="00564D07"/>
    <w:rsid w:val="005B064E"/>
    <w:rsid w:val="005D51AE"/>
    <w:rsid w:val="0062674B"/>
    <w:rsid w:val="006363B2"/>
    <w:rsid w:val="00644940"/>
    <w:rsid w:val="006818A9"/>
    <w:rsid w:val="006A2D81"/>
    <w:rsid w:val="006C1D0D"/>
    <w:rsid w:val="006C1F5E"/>
    <w:rsid w:val="006F2486"/>
    <w:rsid w:val="006F408F"/>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84B6E"/>
    <w:rsid w:val="00892135"/>
    <w:rsid w:val="00895449"/>
    <w:rsid w:val="00897879"/>
    <w:rsid w:val="008A6870"/>
    <w:rsid w:val="008B1EF6"/>
    <w:rsid w:val="008C2DDC"/>
    <w:rsid w:val="008C5214"/>
    <w:rsid w:val="008C7516"/>
    <w:rsid w:val="008D76D2"/>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360D"/>
    <w:rsid w:val="009A7257"/>
    <w:rsid w:val="009D6E0A"/>
    <w:rsid w:val="009D7D52"/>
    <w:rsid w:val="009E1E33"/>
    <w:rsid w:val="00A14672"/>
    <w:rsid w:val="00A26BD6"/>
    <w:rsid w:val="00A443CF"/>
    <w:rsid w:val="00A6611D"/>
    <w:rsid w:val="00A82CB7"/>
    <w:rsid w:val="00A942C1"/>
    <w:rsid w:val="00AA096B"/>
    <w:rsid w:val="00AA2F03"/>
    <w:rsid w:val="00AA4326"/>
    <w:rsid w:val="00AC06DD"/>
    <w:rsid w:val="00AC36F7"/>
    <w:rsid w:val="00AC63A4"/>
    <w:rsid w:val="00AD239E"/>
    <w:rsid w:val="00AE2A98"/>
    <w:rsid w:val="00B10265"/>
    <w:rsid w:val="00B16A99"/>
    <w:rsid w:val="00B17C47"/>
    <w:rsid w:val="00B21211"/>
    <w:rsid w:val="00B35784"/>
    <w:rsid w:val="00B733A7"/>
    <w:rsid w:val="00B75C91"/>
    <w:rsid w:val="00B76A35"/>
    <w:rsid w:val="00B975AD"/>
    <w:rsid w:val="00BA5772"/>
    <w:rsid w:val="00BB7655"/>
    <w:rsid w:val="00BC45FB"/>
    <w:rsid w:val="00BE527A"/>
    <w:rsid w:val="00BF148D"/>
    <w:rsid w:val="00C17BBB"/>
    <w:rsid w:val="00C23B1A"/>
    <w:rsid w:val="00C310D4"/>
    <w:rsid w:val="00C310EB"/>
    <w:rsid w:val="00C9176A"/>
    <w:rsid w:val="00CD72B1"/>
    <w:rsid w:val="00CF1AA2"/>
    <w:rsid w:val="00D142D3"/>
    <w:rsid w:val="00D17774"/>
    <w:rsid w:val="00D2113E"/>
    <w:rsid w:val="00D3151F"/>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5DA3"/>
    <w:rsid w:val="00E665B9"/>
    <w:rsid w:val="00E90F32"/>
    <w:rsid w:val="00EA01E6"/>
    <w:rsid w:val="00EA3DE8"/>
    <w:rsid w:val="00EA758F"/>
    <w:rsid w:val="00ED3E5B"/>
    <w:rsid w:val="00ED4A6F"/>
    <w:rsid w:val="00EF3A3A"/>
    <w:rsid w:val="00F044E9"/>
    <w:rsid w:val="00F415FB"/>
    <w:rsid w:val="00F43D96"/>
    <w:rsid w:val="00F628D6"/>
    <w:rsid w:val="00F67051"/>
    <w:rsid w:val="00F72CDF"/>
    <w:rsid w:val="00F75C5B"/>
    <w:rsid w:val="00F86A1E"/>
    <w:rsid w:val="00FA5E88"/>
    <w:rsid w:val="00FE60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3CF24D0F-8CED-490D-8B7E-C622F13A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ad">
    <w:name w:val="annotation reference"/>
    <w:basedOn w:val="a0"/>
    <w:semiHidden/>
    <w:unhideWhenUsed/>
    <w:rsid w:val="004A7B8E"/>
    <w:rPr>
      <w:sz w:val="16"/>
      <w:szCs w:val="16"/>
    </w:rPr>
  </w:style>
  <w:style w:type="paragraph" w:styleId="ae">
    <w:name w:val="annotation text"/>
    <w:basedOn w:val="a"/>
    <w:link w:val="af"/>
    <w:semiHidden/>
    <w:unhideWhenUsed/>
    <w:rsid w:val="004A7B8E"/>
    <w:pPr>
      <w:spacing w:line="240" w:lineRule="auto"/>
    </w:pPr>
    <w:rPr>
      <w:sz w:val="20"/>
      <w:szCs w:val="20"/>
    </w:rPr>
  </w:style>
  <w:style w:type="character" w:customStyle="1" w:styleId="af">
    <w:name w:val="טקסט הערה תו"/>
    <w:basedOn w:val="a0"/>
    <w:link w:val="ae"/>
    <w:semiHidden/>
    <w:rsid w:val="004A7B8E"/>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4A7B8E"/>
    <w:rPr>
      <w:b/>
      <w:bCs/>
    </w:rPr>
  </w:style>
  <w:style w:type="character" w:customStyle="1" w:styleId="af1">
    <w:name w:val="נושא הערה תו"/>
    <w:basedOn w:val="af"/>
    <w:link w:val="af0"/>
    <w:semiHidden/>
    <w:rsid w:val="004A7B8E"/>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4EC6C44-26B9-41C4-8FEE-27F968732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41DAB64-39D1-4BB5-BCDB-8CD3440C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558</Words>
  <Characters>3183</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36</cp:revision>
  <cp:lastPrinted>2013-07-04T08:25:00Z</cp:lastPrinted>
  <dcterms:created xsi:type="dcterms:W3CDTF">2015-04-20T09:58:00Z</dcterms:created>
  <dcterms:modified xsi:type="dcterms:W3CDTF">2021-11-11T11:07:00Z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2163680</vt:r8>
  </property>
</Properties>
</file>