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2163096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proofErr w:type="spellStart"/>
      <w:r>
        <w:rPr>
          <w:rFonts w:hint="cs"/>
          <w:b/>
          <w:bCs/>
          <w:rtl/>
        </w:rPr>
        <w:t>יוראי</w:t>
      </w:r>
      <w:proofErr w:type="spellEnd"/>
      <w:r>
        <w:rPr>
          <w:rFonts w:hint="cs"/>
          <w:b/>
          <w:bCs/>
          <w:rtl/>
        </w:rPr>
        <w:t xml:space="preserve"> להב הרצנו</w:t>
      </w:r>
      <w:r>
        <w:br/>
      </w:r>
      <w:r>
        <w:rPr>
          <w:rFonts w:hint="cs"/>
          <w:b/>
          <w:bCs/>
          <w:rtl/>
        </w:rPr>
        <w:t xml:space="preserve"> </w:t>
      </w:r>
      <w:r>
        <w:tab/>
      </w:r>
      <w:r>
        <w:tab/>
      </w:r>
      <w:r>
        <w:tab/>
      </w:r>
      <w:r>
        <w:tab/>
      </w:r>
      <w:r>
        <w:rPr>
          <w:rFonts w:hint="cs"/>
          <w:b/>
          <w:bCs/>
          <w:rtl/>
        </w:rPr>
        <w:t>יסמין פרידמן</w:t>
      </w:r>
      <w:r>
        <w:br/>
      </w:r>
      <w:r>
        <w:rPr>
          <w:rFonts w:hint="cs"/>
          <w:b/>
          <w:bCs/>
          <w:rtl/>
        </w:rPr>
        <w:t xml:space="preserve"> </w:t>
      </w:r>
      <w:r>
        <w:tab/>
      </w:r>
      <w:r>
        <w:tab/>
      </w:r>
      <w:r>
        <w:tab/>
      </w:r>
      <w:r>
        <w:tab/>
      </w:r>
      <w:r>
        <w:rPr>
          <w:rFonts w:hint="cs"/>
          <w:b/>
          <w:bCs/>
          <w:rtl/>
        </w:rPr>
        <w:t>גבי לסקי</w:t>
      </w:r>
      <w:r>
        <w:br/>
      </w:r>
      <w:r>
        <w:rPr>
          <w:rFonts w:hint="cs"/>
          <w:b/>
          <w:bCs/>
          <w:rtl/>
        </w:rPr>
        <w:t xml:space="preserve"> </w:t>
      </w:r>
      <w:r>
        <w:tab/>
      </w:r>
      <w:r>
        <w:tab/>
      </w:r>
      <w:r>
        <w:tab/>
      </w:r>
      <w:r>
        <w:tab/>
      </w:r>
      <w:proofErr w:type="spellStart"/>
      <w:r>
        <w:rPr>
          <w:rFonts w:hint="cs"/>
          <w:b/>
          <w:bCs/>
          <w:rtl/>
        </w:rPr>
        <w:t>מוסי</w:t>
      </w:r>
      <w:proofErr w:type="spellEnd"/>
      <w:r>
        <w:rPr>
          <w:rFonts w:hint="cs"/>
          <w:b/>
          <w:bCs/>
          <w:rtl/>
        </w:rPr>
        <w:t xml:space="preserve"> רז</w:t>
      </w:r>
      <w:r>
        <w:br/>
      </w:r>
      <w:r>
        <w:rPr>
          <w:rFonts w:hint="cs"/>
          <w:b/>
          <w:bCs/>
          <w:rtl/>
        </w:rPr>
        <w:t xml:space="preserve"> </w:t>
      </w:r>
      <w:r>
        <w:tab/>
      </w:r>
      <w:r>
        <w:tab/>
      </w:r>
      <w:r>
        <w:tab/>
      </w:r>
      <w:r>
        <w:tab/>
      </w:r>
      <w:r>
        <w:rPr>
          <w:rFonts w:hint="cs"/>
          <w:b/>
          <w:bCs/>
          <w:rtl/>
        </w:rPr>
        <w:t xml:space="preserve">עידית </w:t>
      </w:r>
      <w:proofErr w:type="spellStart"/>
      <w:r>
        <w:rPr>
          <w:rFonts w:hint="cs"/>
          <w:b/>
          <w:bCs/>
          <w:rtl/>
        </w:rPr>
        <w:t>סילמן</w:t>
      </w:r>
      <w:proofErr w:type="spellEnd"/>
      <w:r>
        <w:br/>
      </w:r>
      <w:r>
        <w:rPr>
          <w:rFonts w:hint="cs"/>
          <w:b/>
          <w:bCs/>
          <w:rtl/>
        </w:rPr>
        <w:t xml:space="preserve"> </w:t>
      </w:r>
      <w:r>
        <w:tab/>
      </w:r>
      <w:r>
        <w:tab/>
      </w:r>
      <w:r>
        <w:tab/>
      </w:r>
      <w:r>
        <w:tab/>
      </w:r>
      <w:r>
        <w:rPr>
          <w:rFonts w:hint="cs"/>
          <w:b/>
          <w:bCs/>
          <w:rtl/>
        </w:rPr>
        <w:t>אלון טל</w:t>
      </w:r>
      <w:r>
        <w:br/>
      </w:r>
      <w:r>
        <w:rPr>
          <w:rFonts w:hint="cs"/>
          <w:b/>
          <w:bCs/>
          <w:rtl/>
        </w:rPr>
        <w:t xml:space="preserve"> </w:t>
      </w:r>
      <w:r>
        <w:tab/>
      </w:r>
      <w:r>
        <w:tab/>
      </w:r>
      <w:r>
        <w:tab/>
      </w:r>
      <w:r>
        <w:tab/>
      </w:r>
      <w:r>
        <w:rPr>
          <w:rFonts w:hint="cs"/>
          <w:b/>
          <w:bCs/>
          <w:rtl/>
        </w:rPr>
        <w:t>מאי גולן</w:t>
      </w:r>
      <w:r>
        <w:br/>
      </w:r>
      <w:r>
        <w:rPr>
          <w:rFonts w:hint="cs"/>
          <w:b/>
          <w:bCs/>
          <w:rtl/>
        </w:rPr>
        <w:t xml:space="preserve"> </w:t>
      </w:r>
      <w:r>
        <w:tab/>
      </w:r>
      <w:r>
        <w:tab/>
      </w:r>
      <w:r>
        <w:tab/>
      </w:r>
      <w:r>
        <w:tab/>
      </w:r>
      <w:r>
        <w:rPr>
          <w:rFonts w:hint="cs"/>
          <w:b/>
          <w:bCs/>
          <w:rtl/>
        </w:rPr>
        <w:t>רם שפע</w:t>
      </w:r>
      <w:r>
        <w:br/>
      </w:r>
      <w:r>
        <w:rPr>
          <w:rFonts w:hint="cs"/>
          <w:b/>
          <w:bCs/>
          <w:rtl/>
        </w:rPr>
        <w:t xml:space="preserve"> </w:t>
      </w:r>
      <w:r>
        <w:tab/>
      </w:r>
      <w:r>
        <w:tab/>
      </w:r>
      <w:r>
        <w:tab/>
      </w:r>
      <w:r>
        <w:tab/>
      </w:r>
      <w:r>
        <w:rPr>
          <w:rFonts w:hint="cs"/>
          <w:b/>
          <w:bCs/>
          <w:rtl/>
        </w:rPr>
        <w:t xml:space="preserve">מיכאל </w:t>
      </w:r>
      <w:proofErr w:type="spellStart"/>
      <w:r>
        <w:rPr>
          <w:rFonts w:hint="cs"/>
          <w:b/>
          <w:bCs/>
          <w:rtl/>
        </w:rPr>
        <w:t>מלכיאלי</w:t>
      </w:r>
      <w:proofErr w:type="spellEnd"/>
      <w:r>
        <w:br/>
      </w:r>
      <w:r>
        <w:rPr>
          <w:rFonts w:hint="cs"/>
          <w:b/>
          <w:bCs/>
          <w:rtl/>
        </w:rPr>
        <w:t xml:space="preserve"> </w:t>
      </w:r>
      <w:r>
        <w:tab/>
      </w:r>
      <w:r>
        <w:tab/>
      </w:r>
      <w:r>
        <w:tab/>
      </w:r>
      <w:r>
        <w:tab/>
      </w:r>
      <w:r>
        <w:rPr>
          <w:rFonts w:hint="cs"/>
          <w:b/>
          <w:bCs/>
          <w:rtl/>
        </w:rPr>
        <w:t>גילה גמליאל</w:t>
      </w:r>
      <w:r>
        <w:br/>
      </w:r>
      <w:r>
        <w:rPr>
          <w:rFonts w:hint="cs"/>
          <w:b/>
          <w:bCs/>
          <w:rtl/>
        </w:rPr>
        <w:t xml:space="preserve"> </w:t>
      </w:r>
      <w:r>
        <w:tab/>
      </w:r>
      <w:r>
        <w:tab/>
      </w:r>
      <w:r>
        <w:tab/>
      </w:r>
      <w:r>
        <w:tab/>
      </w:r>
      <w:r>
        <w:rPr>
          <w:rFonts w:hint="cs"/>
          <w:b/>
          <w:bCs/>
          <w:rtl/>
        </w:rPr>
        <w:t>מאיר יצחק-הלוי</w:t>
      </w:r>
      <w:bookmarkEnd w:id="3"/>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036F9050" w:rsidR="00E13C27" w:rsidRDefault="00904591" w:rsidP="002E7198">
      <w:pPr>
        <w:pStyle w:val="David"/>
        <w:spacing w:before="0" w:line="240" w:lineRule="auto"/>
        <w:ind w:left="3544"/>
        <w:rPr>
          <w:rtl/>
        </w:rPr>
      </w:pPr>
      <w:r>
        <w:t xml:space="preserve">                                            </w:t>
      </w:r>
      <w:r w:rsidR="008F1308">
        <w:t xml:space="preserve"> </w:t>
      </w:r>
      <w:bookmarkStart w:id="4" w:name="Private_Number"/>
      <w:r>
        <w:rPr>
          <w:rFonts w:hint="cs"/>
          <w:rtl/>
        </w:rPr>
        <w:t>פ/2542/24</w:t>
      </w:r>
      <w:bookmarkEnd w:id="4"/>
    </w:p>
    <w:p w14:paraId="7F6961AD" w14:textId="77777777" w:rsidR="00E13C27" w:rsidRPr="00F67051" w:rsidRDefault="00A443CF" w:rsidP="0021633A">
      <w:pPr>
        <w:pStyle w:val="HeadHatzaotHok"/>
        <w:rPr>
          <w:rtl/>
        </w:rPr>
      </w:pPr>
      <w:bookmarkStart w:id="5" w:name="LGS_Subject"/>
      <w:r>
        <w:rPr>
          <w:rFonts w:hint="cs"/>
          <w:rtl/>
        </w:rPr>
        <w:t xml:space="preserve">הצעת חוק לתיקון פקודת היערות (הגברת ההגנה על עצים בוגרים), </w:t>
      </w:r>
      <w:proofErr w:type="spellStart"/>
      <w:r>
        <w:rPr>
          <w:rFonts w:hint="cs"/>
          <w:rtl/>
        </w:rPr>
        <w:t>התשפ"ב</w:t>
      </w:r>
      <w:proofErr w:type="spellEnd"/>
      <w:r>
        <w:rPr>
          <w:rFonts w:hint="cs"/>
          <w:rtl/>
        </w:rPr>
        <w:t>–2021</w:t>
      </w:r>
      <w:bookmarkEnd w:id="5"/>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50"/>
      </w:tblGrid>
      <w:tr w:rsidR="002E7198" w14:paraId="517F4055" w14:textId="77777777" w:rsidTr="0049211D">
        <w:trPr>
          <w:cantSplit/>
          <w:trHeight w:val="60"/>
        </w:trPr>
        <w:tc>
          <w:tcPr>
            <w:tcW w:w="1871" w:type="dxa"/>
          </w:tcPr>
          <w:p w14:paraId="12459E40" w14:textId="77777777" w:rsidR="002E7198" w:rsidRPr="00497380" w:rsidRDefault="002E7198" w:rsidP="0049211D">
            <w:pPr>
              <w:pStyle w:val="TableSideHeading"/>
              <w:keepLines w:val="0"/>
            </w:pPr>
            <w:r w:rsidRPr="006E32D4">
              <w:rPr>
                <w:sz w:val="26"/>
                <w:rtl/>
              </w:rPr>
              <w:t>תיקון סעיף 15</w:t>
            </w:r>
            <w:r>
              <w:rPr>
                <w:rFonts w:hint="cs"/>
                <w:sz w:val="26"/>
                <w:rtl/>
              </w:rPr>
              <w:t xml:space="preserve"> </w:t>
            </w:r>
          </w:p>
        </w:tc>
        <w:tc>
          <w:tcPr>
            <w:tcW w:w="624" w:type="dxa"/>
          </w:tcPr>
          <w:p w14:paraId="13D4AFC1" w14:textId="77777777" w:rsidR="002E7198" w:rsidRDefault="002E7198" w:rsidP="0049211D">
            <w:pPr>
              <w:pStyle w:val="TableText"/>
              <w:keepLines w:val="0"/>
            </w:pPr>
            <w:r>
              <w:rPr>
                <w:rFonts w:hint="cs"/>
                <w:rtl/>
              </w:rPr>
              <w:t>1.</w:t>
            </w:r>
          </w:p>
        </w:tc>
        <w:tc>
          <w:tcPr>
            <w:tcW w:w="7146" w:type="dxa"/>
            <w:gridSpan w:val="5"/>
          </w:tcPr>
          <w:p w14:paraId="616742EC" w14:textId="17C7C55B" w:rsidR="002E7198" w:rsidRPr="007832FA" w:rsidRDefault="002E7198" w:rsidP="009A39D0">
            <w:pPr>
              <w:pStyle w:val="TableBlock"/>
              <w:keepLines w:val="0"/>
              <w:rPr>
                <w:rFonts w:eastAsia="Arial"/>
                <w:sz w:val="26"/>
              </w:rPr>
            </w:pPr>
            <w:r>
              <w:rPr>
                <w:rFonts w:eastAsia="Arial" w:hint="cs"/>
                <w:sz w:val="26"/>
                <w:rtl/>
              </w:rPr>
              <w:t>בפקודת היערות</w:t>
            </w:r>
            <w:r>
              <w:rPr>
                <w:rStyle w:val="a5"/>
                <w:rFonts w:eastAsia="Arial"/>
                <w:sz w:val="26"/>
                <w:rtl/>
              </w:rPr>
              <w:footnoteReference w:id="2"/>
            </w:r>
            <w:r>
              <w:rPr>
                <w:rFonts w:eastAsia="Arial" w:hint="cs"/>
                <w:sz w:val="26"/>
                <w:rtl/>
              </w:rPr>
              <w:t xml:space="preserve"> (להלן </w:t>
            </w:r>
            <w:r>
              <w:rPr>
                <w:rFonts w:eastAsia="Arial" w:hint="eastAsia"/>
                <w:sz w:val="26"/>
                <w:rtl/>
              </w:rPr>
              <w:t>–</w:t>
            </w:r>
            <w:r>
              <w:rPr>
                <w:rFonts w:eastAsia="Arial" w:hint="cs"/>
                <w:sz w:val="26"/>
                <w:rtl/>
              </w:rPr>
              <w:t xml:space="preserve"> הפקודה), בסעיף 15, אחרי סעיף קטן (ב) יבוא:</w:t>
            </w:r>
          </w:p>
        </w:tc>
      </w:tr>
      <w:tr w:rsidR="009A39D0" w14:paraId="33C3A87A" w14:textId="77777777" w:rsidTr="00AB1622">
        <w:trPr>
          <w:cantSplit/>
          <w:trHeight w:val="60"/>
        </w:trPr>
        <w:tc>
          <w:tcPr>
            <w:tcW w:w="1871" w:type="dxa"/>
          </w:tcPr>
          <w:p w14:paraId="19D3EC9A" w14:textId="77777777" w:rsidR="009A39D0" w:rsidRDefault="009A39D0" w:rsidP="009A39D0">
            <w:pPr>
              <w:pStyle w:val="TableSideHeading"/>
              <w:ind w:right="0"/>
            </w:pPr>
          </w:p>
        </w:tc>
        <w:tc>
          <w:tcPr>
            <w:tcW w:w="624" w:type="dxa"/>
          </w:tcPr>
          <w:p w14:paraId="72287CC0" w14:textId="77777777" w:rsidR="009A39D0" w:rsidRDefault="009A39D0" w:rsidP="009A39D0">
            <w:pPr>
              <w:pStyle w:val="TableText"/>
              <w:ind w:right="0"/>
              <w:jc w:val="both"/>
            </w:pPr>
          </w:p>
        </w:tc>
        <w:tc>
          <w:tcPr>
            <w:tcW w:w="7146" w:type="dxa"/>
            <w:gridSpan w:val="5"/>
          </w:tcPr>
          <w:p w14:paraId="1646C36B" w14:textId="27A141B4" w:rsidR="009A39D0" w:rsidRPr="009A39D0" w:rsidRDefault="00AB1622" w:rsidP="009A39D0">
            <w:pPr>
              <w:pStyle w:val="TableBlock"/>
              <w:rPr>
                <w:rFonts w:eastAsia="Arial"/>
                <w:sz w:val="26"/>
              </w:rPr>
            </w:pPr>
            <w:r>
              <w:rPr>
                <w:rFonts w:eastAsia="Arial" w:hint="cs"/>
                <w:sz w:val="26"/>
                <w:rtl/>
              </w:rPr>
              <w:t>"(ב1</w:t>
            </w:r>
            <w:r w:rsidR="009A39D0">
              <w:rPr>
                <w:rFonts w:eastAsia="Arial" w:hint="cs"/>
                <w:sz w:val="26"/>
                <w:rtl/>
              </w:rPr>
              <w:t>)</w:t>
            </w:r>
            <w:r w:rsidR="009A39D0">
              <w:rPr>
                <w:rFonts w:eastAsia="Arial"/>
                <w:sz w:val="26"/>
                <w:rtl/>
              </w:rPr>
              <w:tab/>
            </w:r>
            <w:r w:rsidR="009A39D0" w:rsidRPr="00376D9D">
              <w:rPr>
                <w:rFonts w:eastAsia="Arial" w:hint="cs"/>
                <w:sz w:val="26"/>
                <w:rtl/>
              </w:rPr>
              <w:t>הודעה על החלטות כאמור בסעיף קטן (ב)</w:t>
            </w:r>
            <w:r w:rsidR="009A39D0">
              <w:rPr>
                <w:rFonts w:eastAsia="Arial" w:hint="cs"/>
                <w:sz w:val="26"/>
                <w:rtl/>
              </w:rPr>
              <w:t xml:space="preserve"> תפורסם על חשבון מגיש הבקשה לרישיון, על גבי שלט שיוצב בשטח הציבורי הנגיש הסמוך ביותר, במיקום ובאופן שיקבע פקיד היערות, למשך תקופה של 60 יום לפחות; ההודעה תכלול את פרטי העצים ומבקש הרישיון, את ההחלטה ונימוקיה ואת תנאי הרישיון, וכן את תאריך מתן הרישיון, והמועד האחרון להגשת הערר; העצים המיועדים לכריתה או להעתקה מכוח ההחלטה יסומנו באופן שיקבע שר החקלאות פיתוח הכפר (להלן </w:t>
            </w:r>
            <w:r w:rsidR="009A39D0">
              <w:rPr>
                <w:rFonts w:eastAsia="Arial"/>
                <w:sz w:val="26"/>
                <w:rtl/>
              </w:rPr>
              <w:t>–</w:t>
            </w:r>
            <w:r w:rsidR="009A39D0">
              <w:rPr>
                <w:rFonts w:eastAsia="Arial" w:hint="cs"/>
                <w:sz w:val="26"/>
                <w:rtl/>
              </w:rPr>
              <w:t xml:space="preserve"> השר). </w:t>
            </w:r>
          </w:p>
        </w:tc>
      </w:tr>
      <w:tr w:rsidR="002E7198" w14:paraId="50188749" w14:textId="77777777" w:rsidTr="0049211D">
        <w:trPr>
          <w:cantSplit/>
          <w:trHeight w:val="60"/>
        </w:trPr>
        <w:tc>
          <w:tcPr>
            <w:tcW w:w="1871" w:type="dxa"/>
          </w:tcPr>
          <w:p w14:paraId="74232A88" w14:textId="77777777" w:rsidR="002E7198" w:rsidRDefault="002E7198" w:rsidP="0049211D">
            <w:pPr>
              <w:pStyle w:val="TableSideHeading"/>
              <w:keepLines w:val="0"/>
            </w:pPr>
          </w:p>
        </w:tc>
        <w:tc>
          <w:tcPr>
            <w:tcW w:w="624" w:type="dxa"/>
          </w:tcPr>
          <w:p w14:paraId="042397EC" w14:textId="77777777" w:rsidR="002E7198" w:rsidRDefault="002E7198" w:rsidP="0049211D">
            <w:pPr>
              <w:pStyle w:val="TableText"/>
              <w:keepLines w:val="0"/>
            </w:pPr>
          </w:p>
        </w:tc>
        <w:tc>
          <w:tcPr>
            <w:tcW w:w="7146" w:type="dxa"/>
            <w:gridSpan w:val="5"/>
          </w:tcPr>
          <w:p w14:paraId="6487FD97" w14:textId="70625C39" w:rsidR="002E7198" w:rsidRDefault="002E7198" w:rsidP="00AB1622">
            <w:pPr>
              <w:pStyle w:val="TableBlock"/>
              <w:keepLines w:val="0"/>
              <w:rPr>
                <w:rFonts w:eastAsia="Arial"/>
                <w:sz w:val="26"/>
                <w:rtl/>
              </w:rPr>
            </w:pPr>
            <w:r>
              <w:rPr>
                <w:rFonts w:eastAsia="Arial" w:hint="cs"/>
                <w:sz w:val="26"/>
                <w:rtl/>
              </w:rPr>
              <w:t xml:space="preserve">(ב2)   לא קוימו ההוראות הנוגעות לפרסום לגבי העצים שעליהם חל הרישיון כקבוע בסעיף זה </w:t>
            </w:r>
            <w:r>
              <w:rPr>
                <w:rFonts w:eastAsia="Arial"/>
                <w:sz w:val="26"/>
                <w:rtl/>
              </w:rPr>
              <w:t>–</w:t>
            </w:r>
            <w:r>
              <w:rPr>
                <w:rFonts w:eastAsia="Arial" w:hint="cs"/>
                <w:sz w:val="26"/>
                <w:rtl/>
              </w:rPr>
              <w:t xml:space="preserve"> תיחשב ההחלטה על מתן הרישיון כבטלה. </w:t>
            </w:r>
          </w:p>
        </w:tc>
      </w:tr>
      <w:tr w:rsidR="002E7198" w14:paraId="2009ED4B" w14:textId="77777777" w:rsidTr="0049211D">
        <w:trPr>
          <w:cantSplit/>
          <w:trHeight w:val="60"/>
        </w:trPr>
        <w:tc>
          <w:tcPr>
            <w:tcW w:w="1871" w:type="dxa"/>
          </w:tcPr>
          <w:p w14:paraId="580AD7E8" w14:textId="77777777" w:rsidR="002E7198" w:rsidRDefault="002E7198" w:rsidP="0049211D">
            <w:pPr>
              <w:pStyle w:val="TableSideHeading"/>
              <w:keepLines w:val="0"/>
              <w:rPr>
                <w:rtl/>
              </w:rPr>
            </w:pPr>
          </w:p>
        </w:tc>
        <w:tc>
          <w:tcPr>
            <w:tcW w:w="624" w:type="dxa"/>
          </w:tcPr>
          <w:p w14:paraId="3309B7B3" w14:textId="77777777" w:rsidR="002E7198" w:rsidRDefault="002E7198" w:rsidP="0049211D">
            <w:pPr>
              <w:pStyle w:val="TableText"/>
              <w:keepLines w:val="0"/>
            </w:pPr>
          </w:p>
        </w:tc>
        <w:tc>
          <w:tcPr>
            <w:tcW w:w="7146" w:type="dxa"/>
            <w:gridSpan w:val="5"/>
          </w:tcPr>
          <w:p w14:paraId="16D90E65" w14:textId="0878DBA4" w:rsidR="002E7198" w:rsidRDefault="002E7198" w:rsidP="00AB1622">
            <w:pPr>
              <w:pStyle w:val="TableBlock"/>
              <w:keepLines w:val="0"/>
              <w:rPr>
                <w:rFonts w:eastAsia="Arial"/>
                <w:sz w:val="26"/>
                <w:rtl/>
              </w:rPr>
            </w:pPr>
            <w:r>
              <w:rPr>
                <w:rFonts w:eastAsia="Arial" w:hint="cs"/>
                <w:sz w:val="26"/>
                <w:rtl/>
              </w:rPr>
              <w:t xml:space="preserve">(ב3)   על החלטות כאמור בסעיף קטן (ב) ניתן להגיש ערר </w:t>
            </w:r>
            <w:r w:rsidRPr="003935EF">
              <w:rPr>
                <w:rFonts w:eastAsia="Arial" w:hint="cs"/>
                <w:sz w:val="26"/>
                <w:rtl/>
              </w:rPr>
              <w:t xml:space="preserve">בתוך </w:t>
            </w:r>
            <w:r>
              <w:rPr>
                <w:rFonts w:eastAsia="Arial" w:hint="cs"/>
                <w:sz w:val="26"/>
                <w:rtl/>
              </w:rPr>
              <w:t xml:space="preserve">60 ימים לפקיד היערות הראשי במשרד החקלאות ופיתוח הכפר; במקרה של הגשת ערר ידחה מועד מתן הרישיון עד לאחר מתן החלטה סופית בערר." </w:t>
            </w:r>
          </w:p>
        </w:tc>
      </w:tr>
      <w:tr w:rsidR="002E7198" w14:paraId="4CC00956" w14:textId="77777777" w:rsidTr="0049211D">
        <w:trPr>
          <w:cantSplit/>
          <w:trHeight w:val="60"/>
        </w:trPr>
        <w:tc>
          <w:tcPr>
            <w:tcW w:w="1871" w:type="dxa"/>
          </w:tcPr>
          <w:p w14:paraId="37E11D5B" w14:textId="1F8EC978" w:rsidR="002E7198" w:rsidRDefault="002E7198" w:rsidP="00AB1622">
            <w:pPr>
              <w:pStyle w:val="TableSideHeading"/>
              <w:keepLines w:val="0"/>
              <w:rPr>
                <w:rtl/>
              </w:rPr>
            </w:pPr>
            <w:r w:rsidRPr="006E32D4">
              <w:rPr>
                <w:sz w:val="26"/>
                <w:rtl/>
              </w:rPr>
              <w:t>תיקון סעיף 15</w:t>
            </w:r>
            <w:r>
              <w:rPr>
                <w:rFonts w:hint="cs"/>
                <w:sz w:val="26"/>
                <w:rtl/>
              </w:rPr>
              <w:t xml:space="preserve">א </w:t>
            </w:r>
          </w:p>
        </w:tc>
        <w:tc>
          <w:tcPr>
            <w:tcW w:w="624" w:type="dxa"/>
          </w:tcPr>
          <w:p w14:paraId="522FEDFF" w14:textId="77777777" w:rsidR="002E7198" w:rsidRDefault="002E7198" w:rsidP="0049211D">
            <w:pPr>
              <w:pStyle w:val="TableText"/>
              <w:keepLines w:val="0"/>
            </w:pPr>
            <w:r>
              <w:rPr>
                <w:rFonts w:hint="cs"/>
                <w:rtl/>
              </w:rPr>
              <w:t>2.</w:t>
            </w:r>
          </w:p>
        </w:tc>
        <w:tc>
          <w:tcPr>
            <w:tcW w:w="7146" w:type="dxa"/>
            <w:gridSpan w:val="5"/>
          </w:tcPr>
          <w:p w14:paraId="13CA237C" w14:textId="77777777" w:rsidR="002E7198" w:rsidRDefault="002E7198" w:rsidP="0049211D">
            <w:pPr>
              <w:pStyle w:val="TableBlock"/>
              <w:keepLines w:val="0"/>
              <w:rPr>
                <w:rFonts w:eastAsia="Arial"/>
                <w:sz w:val="26"/>
                <w:rtl/>
              </w:rPr>
            </w:pPr>
            <w:r w:rsidRPr="006E32D4">
              <w:rPr>
                <w:rFonts w:eastAsia="Arial"/>
                <w:sz w:val="26"/>
                <w:rtl/>
              </w:rPr>
              <w:t>בסעיף 15א לפקודה, אחרי סעיף קטן (א) יבוא:</w:t>
            </w:r>
          </w:p>
        </w:tc>
      </w:tr>
      <w:tr w:rsidR="002E7198" w14:paraId="30F10A70" w14:textId="77777777" w:rsidTr="0049211D">
        <w:trPr>
          <w:cantSplit/>
          <w:trHeight w:val="60"/>
        </w:trPr>
        <w:tc>
          <w:tcPr>
            <w:tcW w:w="1871" w:type="dxa"/>
          </w:tcPr>
          <w:p w14:paraId="7E331868" w14:textId="77777777" w:rsidR="002E7198" w:rsidRDefault="002E7198" w:rsidP="0049211D">
            <w:pPr>
              <w:pStyle w:val="TableSideHeading"/>
              <w:keepLines w:val="0"/>
              <w:rPr>
                <w:rtl/>
              </w:rPr>
            </w:pPr>
          </w:p>
        </w:tc>
        <w:tc>
          <w:tcPr>
            <w:tcW w:w="624" w:type="dxa"/>
          </w:tcPr>
          <w:p w14:paraId="093C4AC4" w14:textId="77777777" w:rsidR="002E7198" w:rsidRDefault="002E7198" w:rsidP="0049211D">
            <w:pPr>
              <w:pStyle w:val="TableText"/>
              <w:keepLines w:val="0"/>
            </w:pPr>
          </w:p>
        </w:tc>
        <w:tc>
          <w:tcPr>
            <w:tcW w:w="7146" w:type="dxa"/>
            <w:gridSpan w:val="5"/>
          </w:tcPr>
          <w:p w14:paraId="690CF3C7" w14:textId="1B435C24" w:rsidR="002E7198" w:rsidRDefault="002E7198" w:rsidP="00AB1622">
            <w:pPr>
              <w:pStyle w:val="TableBlock"/>
              <w:keepLines w:val="0"/>
              <w:rPr>
                <w:rFonts w:eastAsia="Arial"/>
                <w:sz w:val="26"/>
                <w:rtl/>
              </w:rPr>
            </w:pPr>
            <w:r w:rsidRPr="006E32D4">
              <w:rPr>
                <w:rFonts w:eastAsia="Arial"/>
                <w:sz w:val="26"/>
                <w:rtl/>
              </w:rPr>
              <w:t>"(א1)</w:t>
            </w:r>
            <w:r w:rsidR="00AB1622">
              <w:rPr>
                <w:rFonts w:eastAsia="Arial"/>
                <w:sz w:val="26"/>
                <w:rtl/>
              </w:rPr>
              <w:tab/>
            </w:r>
            <w:r w:rsidRPr="006E32D4">
              <w:rPr>
                <w:rFonts w:eastAsia="Arial"/>
                <w:sz w:val="26"/>
                <w:rtl/>
              </w:rPr>
              <w:t xml:space="preserve">בזמן ביצוע הכריתה או ההעתקה, יחזיק מקבל הרישיון את הרישיון בחזקתו, ויציגו </w:t>
            </w:r>
            <w:r>
              <w:rPr>
                <w:rFonts w:eastAsia="Arial" w:hint="cs"/>
                <w:sz w:val="26"/>
                <w:rtl/>
              </w:rPr>
              <w:t>לשוטר משטרת ישראל או לפקח עירוני</w:t>
            </w:r>
            <w:r w:rsidRPr="006E32D4">
              <w:rPr>
                <w:rFonts w:eastAsia="Arial"/>
                <w:sz w:val="26"/>
                <w:rtl/>
              </w:rPr>
              <w:t>."</w:t>
            </w:r>
          </w:p>
        </w:tc>
      </w:tr>
      <w:tr w:rsidR="002E7198" w14:paraId="39831F37" w14:textId="77777777" w:rsidTr="0049211D">
        <w:trPr>
          <w:cantSplit/>
          <w:trHeight w:val="60"/>
        </w:trPr>
        <w:tc>
          <w:tcPr>
            <w:tcW w:w="1871" w:type="dxa"/>
          </w:tcPr>
          <w:p w14:paraId="2A2A28CE" w14:textId="77777777" w:rsidR="002E7198" w:rsidRDefault="002E7198" w:rsidP="0049211D">
            <w:pPr>
              <w:pStyle w:val="TableSideHeading"/>
              <w:keepLines w:val="0"/>
              <w:rPr>
                <w:rtl/>
              </w:rPr>
            </w:pPr>
            <w:r>
              <w:rPr>
                <w:rFonts w:hint="cs"/>
                <w:sz w:val="26"/>
                <w:rtl/>
              </w:rPr>
              <w:t>הוספת סעיף 15ב</w:t>
            </w:r>
            <w:r w:rsidDel="007832FA">
              <w:rPr>
                <w:rFonts w:hint="cs"/>
                <w:sz w:val="26"/>
                <w:rtl/>
              </w:rPr>
              <w:t xml:space="preserve"> </w:t>
            </w:r>
          </w:p>
        </w:tc>
        <w:tc>
          <w:tcPr>
            <w:tcW w:w="624" w:type="dxa"/>
          </w:tcPr>
          <w:p w14:paraId="2E6C3091" w14:textId="77777777" w:rsidR="002E7198" w:rsidRDefault="002E7198" w:rsidP="0049211D">
            <w:pPr>
              <w:pStyle w:val="TableText"/>
              <w:keepLines w:val="0"/>
            </w:pPr>
            <w:r>
              <w:rPr>
                <w:rFonts w:hint="cs"/>
                <w:rtl/>
              </w:rPr>
              <w:t>3.</w:t>
            </w:r>
          </w:p>
        </w:tc>
        <w:tc>
          <w:tcPr>
            <w:tcW w:w="7146" w:type="dxa"/>
            <w:gridSpan w:val="5"/>
          </w:tcPr>
          <w:p w14:paraId="078FFA54" w14:textId="77777777" w:rsidR="002E7198" w:rsidRDefault="002E7198" w:rsidP="0049211D">
            <w:pPr>
              <w:pStyle w:val="TableBlock"/>
              <w:keepLines w:val="0"/>
              <w:rPr>
                <w:rFonts w:eastAsia="Arial"/>
                <w:sz w:val="26"/>
                <w:rtl/>
              </w:rPr>
            </w:pPr>
            <w:r>
              <w:rPr>
                <w:rFonts w:eastAsia="Arial" w:hint="cs"/>
                <w:sz w:val="26"/>
                <w:rtl/>
              </w:rPr>
              <w:t>אחרי סעיף 15א לפקודה יבוא:</w:t>
            </w:r>
          </w:p>
        </w:tc>
      </w:tr>
      <w:tr w:rsidR="002E7198" w14:paraId="6FD72A6E" w14:textId="77777777" w:rsidTr="0049211D">
        <w:trPr>
          <w:cantSplit/>
          <w:trHeight w:val="60"/>
        </w:trPr>
        <w:tc>
          <w:tcPr>
            <w:tcW w:w="1871" w:type="dxa"/>
          </w:tcPr>
          <w:p w14:paraId="76514B62" w14:textId="77777777" w:rsidR="002E7198" w:rsidRDefault="002E7198" w:rsidP="0049211D">
            <w:pPr>
              <w:pStyle w:val="TableSideHeading"/>
              <w:keepLines w:val="0"/>
            </w:pPr>
          </w:p>
        </w:tc>
        <w:tc>
          <w:tcPr>
            <w:tcW w:w="624" w:type="dxa"/>
          </w:tcPr>
          <w:p w14:paraId="27C5D69B" w14:textId="77777777" w:rsidR="002E7198" w:rsidRDefault="002E7198" w:rsidP="0049211D">
            <w:pPr>
              <w:pStyle w:val="TableText"/>
              <w:keepLines w:val="0"/>
            </w:pPr>
          </w:p>
        </w:tc>
        <w:tc>
          <w:tcPr>
            <w:tcW w:w="1872" w:type="dxa"/>
            <w:gridSpan w:val="3"/>
          </w:tcPr>
          <w:p w14:paraId="6BC6B047" w14:textId="77777777" w:rsidR="002E7198" w:rsidRDefault="002E7198" w:rsidP="0049211D">
            <w:pPr>
              <w:pStyle w:val="TableInnerSideHeading"/>
            </w:pPr>
            <w:r>
              <w:rPr>
                <w:rFonts w:hint="cs"/>
                <w:rtl/>
              </w:rPr>
              <w:t xml:space="preserve">"הקמת קרן לנטיעת עצים </w:t>
            </w:r>
          </w:p>
        </w:tc>
        <w:tc>
          <w:tcPr>
            <w:tcW w:w="624" w:type="dxa"/>
          </w:tcPr>
          <w:p w14:paraId="406587EF" w14:textId="77777777" w:rsidR="002E7198" w:rsidRDefault="002E7198" w:rsidP="0049211D">
            <w:pPr>
              <w:pStyle w:val="TableText"/>
            </w:pPr>
            <w:r>
              <w:rPr>
                <w:rFonts w:hint="cs"/>
                <w:rtl/>
              </w:rPr>
              <w:t>15ב.</w:t>
            </w:r>
          </w:p>
        </w:tc>
        <w:tc>
          <w:tcPr>
            <w:tcW w:w="4650" w:type="dxa"/>
          </w:tcPr>
          <w:p w14:paraId="121CA448" w14:textId="77777777" w:rsidR="002E7198" w:rsidRDefault="002E7198" w:rsidP="0049211D">
            <w:pPr>
              <w:pStyle w:val="TableBlock"/>
            </w:pPr>
            <w:r>
              <w:rPr>
                <w:rFonts w:hint="cs"/>
                <w:sz w:val="26"/>
                <w:rtl/>
              </w:rPr>
              <w:t>(א)</w:t>
            </w:r>
            <w:r>
              <w:rPr>
                <w:sz w:val="26"/>
                <w:rtl/>
              </w:rPr>
              <w:tab/>
            </w:r>
            <w:r>
              <w:rPr>
                <w:rFonts w:hint="cs"/>
                <w:sz w:val="26"/>
                <w:rtl/>
              </w:rPr>
              <w:t xml:space="preserve"> מוקמת בזה קרן לנטיעת עצים במסגרת המשרד לחקלאות ולפיתוח הכפר (בחוק זה </w:t>
            </w:r>
            <w:r>
              <w:rPr>
                <w:sz w:val="26"/>
                <w:rtl/>
              </w:rPr>
              <w:t>–</w:t>
            </w:r>
            <w:r>
              <w:rPr>
                <w:rFonts w:hint="cs"/>
                <w:sz w:val="26"/>
                <w:rtl/>
              </w:rPr>
              <w:t xml:space="preserve"> הקרן).</w:t>
            </w:r>
          </w:p>
        </w:tc>
      </w:tr>
      <w:tr w:rsidR="002E7198" w14:paraId="78FDBABE" w14:textId="77777777" w:rsidTr="0049211D">
        <w:trPr>
          <w:cantSplit/>
          <w:trHeight w:val="60"/>
        </w:trPr>
        <w:tc>
          <w:tcPr>
            <w:tcW w:w="1871" w:type="dxa"/>
          </w:tcPr>
          <w:p w14:paraId="2C83BAB8" w14:textId="77777777" w:rsidR="002E7198" w:rsidRDefault="002E7198" w:rsidP="0049211D">
            <w:pPr>
              <w:pStyle w:val="TableSideHeading"/>
            </w:pPr>
          </w:p>
        </w:tc>
        <w:tc>
          <w:tcPr>
            <w:tcW w:w="624" w:type="dxa"/>
          </w:tcPr>
          <w:p w14:paraId="549EE8F4" w14:textId="77777777" w:rsidR="002E7198" w:rsidRDefault="002E7198" w:rsidP="0049211D">
            <w:pPr>
              <w:pStyle w:val="TableText"/>
            </w:pPr>
          </w:p>
        </w:tc>
        <w:tc>
          <w:tcPr>
            <w:tcW w:w="624" w:type="dxa"/>
          </w:tcPr>
          <w:p w14:paraId="6F5BB6BF" w14:textId="77777777" w:rsidR="002E7198" w:rsidRDefault="002E7198" w:rsidP="0049211D">
            <w:pPr>
              <w:pStyle w:val="TableText"/>
            </w:pPr>
          </w:p>
        </w:tc>
        <w:tc>
          <w:tcPr>
            <w:tcW w:w="624" w:type="dxa"/>
          </w:tcPr>
          <w:p w14:paraId="2C7EC2FC" w14:textId="77777777" w:rsidR="002E7198" w:rsidRDefault="002E7198" w:rsidP="0049211D">
            <w:pPr>
              <w:pStyle w:val="TableText"/>
            </w:pPr>
          </w:p>
        </w:tc>
        <w:tc>
          <w:tcPr>
            <w:tcW w:w="624" w:type="dxa"/>
          </w:tcPr>
          <w:p w14:paraId="160B124B" w14:textId="77777777" w:rsidR="002E7198" w:rsidRDefault="002E7198" w:rsidP="0049211D">
            <w:pPr>
              <w:pStyle w:val="TableText"/>
            </w:pPr>
          </w:p>
        </w:tc>
        <w:tc>
          <w:tcPr>
            <w:tcW w:w="624" w:type="dxa"/>
          </w:tcPr>
          <w:p w14:paraId="41C98B6E" w14:textId="77777777" w:rsidR="002E7198" w:rsidRDefault="002E7198" w:rsidP="0049211D">
            <w:pPr>
              <w:pStyle w:val="TableText"/>
            </w:pPr>
          </w:p>
        </w:tc>
        <w:tc>
          <w:tcPr>
            <w:tcW w:w="4650" w:type="dxa"/>
          </w:tcPr>
          <w:p w14:paraId="6BF6E009" w14:textId="77777777" w:rsidR="002E7198" w:rsidRDefault="002E7198" w:rsidP="0049211D">
            <w:pPr>
              <w:pStyle w:val="TableBlock"/>
            </w:pPr>
            <w:r>
              <w:rPr>
                <w:rFonts w:hint="cs"/>
                <w:sz w:val="26"/>
                <w:rtl/>
              </w:rPr>
              <w:t>(ב)</w:t>
            </w:r>
            <w:r>
              <w:rPr>
                <w:sz w:val="26"/>
                <w:rtl/>
              </w:rPr>
              <w:tab/>
            </w:r>
            <w:r>
              <w:rPr>
                <w:rFonts w:hint="cs"/>
                <w:sz w:val="26"/>
                <w:rtl/>
              </w:rPr>
              <w:t>מטרת הקרן תהיה לרכז אמצעים כספיים לשם נטיעה של עצים חדשים, שמירה על עצים נטועי</w:t>
            </w:r>
            <w:r>
              <w:rPr>
                <w:rFonts w:hint="eastAsia"/>
                <w:sz w:val="26"/>
                <w:rtl/>
              </w:rPr>
              <w:t>ם</w:t>
            </w:r>
            <w:r>
              <w:rPr>
                <w:rFonts w:hint="cs"/>
                <w:sz w:val="26"/>
                <w:rtl/>
              </w:rPr>
              <w:t xml:space="preserve"> ומניעת פגיעה בהם..</w:t>
            </w:r>
          </w:p>
        </w:tc>
      </w:tr>
      <w:tr w:rsidR="002E7198" w14:paraId="556B843D" w14:textId="77777777" w:rsidTr="0049211D">
        <w:trPr>
          <w:cantSplit/>
          <w:trHeight w:val="60"/>
        </w:trPr>
        <w:tc>
          <w:tcPr>
            <w:tcW w:w="1871" w:type="dxa"/>
          </w:tcPr>
          <w:p w14:paraId="38F2066E" w14:textId="77777777" w:rsidR="002E7198" w:rsidRDefault="002E7198" w:rsidP="0049211D">
            <w:pPr>
              <w:pStyle w:val="TableSideHeading"/>
            </w:pPr>
          </w:p>
        </w:tc>
        <w:tc>
          <w:tcPr>
            <w:tcW w:w="624" w:type="dxa"/>
          </w:tcPr>
          <w:p w14:paraId="37ED8A18" w14:textId="77777777" w:rsidR="002E7198" w:rsidRDefault="002E7198" w:rsidP="0049211D">
            <w:pPr>
              <w:pStyle w:val="TableText"/>
            </w:pPr>
          </w:p>
        </w:tc>
        <w:tc>
          <w:tcPr>
            <w:tcW w:w="624" w:type="dxa"/>
          </w:tcPr>
          <w:p w14:paraId="2ED79648" w14:textId="77777777" w:rsidR="002E7198" w:rsidRDefault="002E7198" w:rsidP="0049211D">
            <w:pPr>
              <w:pStyle w:val="TableText"/>
            </w:pPr>
          </w:p>
        </w:tc>
        <w:tc>
          <w:tcPr>
            <w:tcW w:w="624" w:type="dxa"/>
          </w:tcPr>
          <w:p w14:paraId="1FAD20A6" w14:textId="77777777" w:rsidR="002E7198" w:rsidRDefault="002E7198" w:rsidP="0049211D">
            <w:pPr>
              <w:pStyle w:val="TableText"/>
            </w:pPr>
          </w:p>
        </w:tc>
        <w:tc>
          <w:tcPr>
            <w:tcW w:w="624" w:type="dxa"/>
          </w:tcPr>
          <w:p w14:paraId="4FCA47A3" w14:textId="77777777" w:rsidR="002E7198" w:rsidRDefault="002E7198" w:rsidP="0049211D">
            <w:pPr>
              <w:pStyle w:val="TableText"/>
            </w:pPr>
          </w:p>
        </w:tc>
        <w:tc>
          <w:tcPr>
            <w:tcW w:w="624" w:type="dxa"/>
          </w:tcPr>
          <w:p w14:paraId="1E2B0F0F" w14:textId="77777777" w:rsidR="002E7198" w:rsidRDefault="002E7198" w:rsidP="0049211D">
            <w:pPr>
              <w:pStyle w:val="TableText"/>
            </w:pPr>
          </w:p>
        </w:tc>
        <w:tc>
          <w:tcPr>
            <w:tcW w:w="4650" w:type="dxa"/>
          </w:tcPr>
          <w:p w14:paraId="74ED79EE" w14:textId="77777777" w:rsidR="002E7198" w:rsidRDefault="002E7198" w:rsidP="0049211D">
            <w:pPr>
              <w:pStyle w:val="TableBlock"/>
              <w:rPr>
                <w:sz w:val="26"/>
                <w:rtl/>
              </w:rPr>
            </w:pPr>
            <w:r>
              <w:rPr>
                <w:rFonts w:hint="cs"/>
                <w:sz w:val="26"/>
                <w:rtl/>
              </w:rPr>
              <w:t>(ג)</w:t>
            </w:r>
            <w:r>
              <w:rPr>
                <w:sz w:val="26"/>
                <w:rtl/>
              </w:rPr>
              <w:tab/>
            </w:r>
            <w:r>
              <w:rPr>
                <w:rFonts w:hint="cs"/>
                <w:sz w:val="26"/>
                <w:rtl/>
              </w:rPr>
              <w:t xml:space="preserve">בפעילות הקרן הנוגעת לנטיעת עצים חדשים, תשאף הקרן לקדם נטיעת עצים במקומות בהם נכרתו עצים  וכן </w:t>
            </w:r>
            <w:proofErr w:type="spellStart"/>
            <w:r>
              <w:rPr>
                <w:rFonts w:hint="cs"/>
                <w:sz w:val="26"/>
                <w:rtl/>
              </w:rPr>
              <w:t>נטיעתעצים</w:t>
            </w:r>
            <w:proofErr w:type="spellEnd"/>
            <w:r>
              <w:rPr>
                <w:rFonts w:hint="cs"/>
                <w:sz w:val="26"/>
                <w:rtl/>
              </w:rPr>
              <w:t xml:space="preserve"> בשטחים עירוניים.</w:t>
            </w:r>
          </w:p>
        </w:tc>
      </w:tr>
      <w:tr w:rsidR="002E7198" w14:paraId="72112B25" w14:textId="77777777" w:rsidTr="0049211D">
        <w:trPr>
          <w:cantSplit/>
          <w:trHeight w:val="60"/>
        </w:trPr>
        <w:tc>
          <w:tcPr>
            <w:tcW w:w="1871" w:type="dxa"/>
          </w:tcPr>
          <w:p w14:paraId="18BCFDD7" w14:textId="77777777" w:rsidR="002E7198" w:rsidRDefault="002E7198" w:rsidP="0049211D">
            <w:pPr>
              <w:pStyle w:val="TableSideHeading"/>
            </w:pPr>
          </w:p>
        </w:tc>
        <w:tc>
          <w:tcPr>
            <w:tcW w:w="624" w:type="dxa"/>
          </w:tcPr>
          <w:p w14:paraId="2562E73E" w14:textId="77777777" w:rsidR="002E7198" w:rsidRDefault="002E7198" w:rsidP="0049211D">
            <w:pPr>
              <w:pStyle w:val="TableText"/>
            </w:pPr>
          </w:p>
        </w:tc>
        <w:tc>
          <w:tcPr>
            <w:tcW w:w="624" w:type="dxa"/>
          </w:tcPr>
          <w:p w14:paraId="5E4DE999" w14:textId="77777777" w:rsidR="002E7198" w:rsidRDefault="002E7198" w:rsidP="0049211D">
            <w:pPr>
              <w:pStyle w:val="TableText"/>
            </w:pPr>
          </w:p>
        </w:tc>
        <w:tc>
          <w:tcPr>
            <w:tcW w:w="624" w:type="dxa"/>
          </w:tcPr>
          <w:p w14:paraId="6E0775A2" w14:textId="77777777" w:rsidR="002E7198" w:rsidRDefault="002E7198" w:rsidP="0049211D">
            <w:pPr>
              <w:pStyle w:val="TableText"/>
            </w:pPr>
          </w:p>
        </w:tc>
        <w:tc>
          <w:tcPr>
            <w:tcW w:w="624" w:type="dxa"/>
          </w:tcPr>
          <w:p w14:paraId="2F38CD00" w14:textId="77777777" w:rsidR="002E7198" w:rsidRDefault="002E7198" w:rsidP="0049211D">
            <w:pPr>
              <w:pStyle w:val="TableText"/>
            </w:pPr>
          </w:p>
        </w:tc>
        <w:tc>
          <w:tcPr>
            <w:tcW w:w="624" w:type="dxa"/>
          </w:tcPr>
          <w:p w14:paraId="311D4A4C" w14:textId="77777777" w:rsidR="002E7198" w:rsidRDefault="002E7198" w:rsidP="0049211D">
            <w:pPr>
              <w:pStyle w:val="TableText"/>
            </w:pPr>
          </w:p>
        </w:tc>
        <w:tc>
          <w:tcPr>
            <w:tcW w:w="4650" w:type="dxa"/>
          </w:tcPr>
          <w:p w14:paraId="4BB82285" w14:textId="77777777" w:rsidR="002E7198" w:rsidRDefault="002E7198" w:rsidP="0049211D">
            <w:pPr>
              <w:pStyle w:val="TableBlock"/>
              <w:rPr>
                <w:sz w:val="26"/>
                <w:rtl/>
              </w:rPr>
            </w:pPr>
            <w:r>
              <w:rPr>
                <w:rFonts w:hint="cs"/>
                <w:sz w:val="26"/>
                <w:rtl/>
              </w:rPr>
              <w:t>(ד)</w:t>
            </w:r>
            <w:r>
              <w:rPr>
                <w:sz w:val="26"/>
                <w:rtl/>
              </w:rPr>
              <w:tab/>
            </w:r>
            <w:r>
              <w:rPr>
                <w:rFonts w:hint="cs"/>
                <w:sz w:val="26"/>
                <w:rtl/>
              </w:rPr>
              <w:t xml:space="preserve">הקרן תפעל למימוש מטרותיה בהתאם לתכנית רב-שנתית שיאשר השר, ובין היתר באמצעות סיוע לגורמים הפועלים להגשמת מטרות הקרן, לרבות לרשויות מקומיות.  </w:t>
            </w:r>
          </w:p>
        </w:tc>
      </w:tr>
      <w:tr w:rsidR="002E7198" w14:paraId="2A1CDDDA" w14:textId="77777777" w:rsidTr="0049211D">
        <w:trPr>
          <w:cantSplit/>
          <w:trHeight w:val="60"/>
        </w:trPr>
        <w:tc>
          <w:tcPr>
            <w:tcW w:w="1871" w:type="dxa"/>
          </w:tcPr>
          <w:p w14:paraId="17B11AB0" w14:textId="77777777" w:rsidR="002E7198" w:rsidRDefault="002E7198" w:rsidP="0049211D">
            <w:pPr>
              <w:pStyle w:val="TableSideHeading"/>
            </w:pPr>
          </w:p>
        </w:tc>
        <w:tc>
          <w:tcPr>
            <w:tcW w:w="624" w:type="dxa"/>
          </w:tcPr>
          <w:p w14:paraId="00598950" w14:textId="77777777" w:rsidR="002E7198" w:rsidRDefault="002E7198" w:rsidP="0049211D">
            <w:pPr>
              <w:pStyle w:val="TableText"/>
            </w:pPr>
          </w:p>
        </w:tc>
        <w:tc>
          <w:tcPr>
            <w:tcW w:w="624" w:type="dxa"/>
          </w:tcPr>
          <w:p w14:paraId="05F57E75" w14:textId="77777777" w:rsidR="002E7198" w:rsidRDefault="002E7198" w:rsidP="0049211D">
            <w:pPr>
              <w:pStyle w:val="TableText"/>
            </w:pPr>
          </w:p>
        </w:tc>
        <w:tc>
          <w:tcPr>
            <w:tcW w:w="624" w:type="dxa"/>
          </w:tcPr>
          <w:p w14:paraId="3601116B" w14:textId="77777777" w:rsidR="002E7198" w:rsidRDefault="002E7198" w:rsidP="0049211D">
            <w:pPr>
              <w:pStyle w:val="TableText"/>
            </w:pPr>
          </w:p>
        </w:tc>
        <w:tc>
          <w:tcPr>
            <w:tcW w:w="624" w:type="dxa"/>
          </w:tcPr>
          <w:p w14:paraId="6205FF96" w14:textId="77777777" w:rsidR="002E7198" w:rsidRDefault="002E7198" w:rsidP="0049211D">
            <w:pPr>
              <w:pStyle w:val="TableText"/>
            </w:pPr>
          </w:p>
        </w:tc>
        <w:tc>
          <w:tcPr>
            <w:tcW w:w="624" w:type="dxa"/>
          </w:tcPr>
          <w:p w14:paraId="1B2AFCA7" w14:textId="77777777" w:rsidR="002E7198" w:rsidRDefault="002E7198" w:rsidP="0049211D">
            <w:pPr>
              <w:pStyle w:val="TableText"/>
            </w:pPr>
          </w:p>
        </w:tc>
        <w:tc>
          <w:tcPr>
            <w:tcW w:w="4650" w:type="dxa"/>
          </w:tcPr>
          <w:p w14:paraId="5B2B605E" w14:textId="77777777" w:rsidR="002E7198" w:rsidRDefault="002E7198" w:rsidP="0049211D">
            <w:pPr>
              <w:pStyle w:val="TableBlock"/>
              <w:rPr>
                <w:sz w:val="26"/>
                <w:rtl/>
              </w:rPr>
            </w:pPr>
            <w:r>
              <w:rPr>
                <w:rFonts w:hint="cs"/>
                <w:sz w:val="26"/>
                <w:rtl/>
              </w:rPr>
              <w:t>(ה)</w:t>
            </w:r>
            <w:r>
              <w:rPr>
                <w:sz w:val="26"/>
                <w:rtl/>
              </w:rPr>
              <w:tab/>
            </w:r>
            <w:r>
              <w:rPr>
                <w:rFonts w:hint="cs"/>
                <w:sz w:val="26"/>
                <w:rtl/>
              </w:rPr>
              <w:t>השר, בהסכמת שר האוצר והשר להגנת הסביבה, יקבע את סדרי הפעלת הקרן ותפקידיה.</w:t>
            </w:r>
          </w:p>
        </w:tc>
      </w:tr>
      <w:tr w:rsidR="002E7198" w14:paraId="4D61D260" w14:textId="77777777" w:rsidTr="0049211D">
        <w:trPr>
          <w:cantSplit/>
          <w:trHeight w:val="60"/>
        </w:trPr>
        <w:tc>
          <w:tcPr>
            <w:tcW w:w="1871" w:type="dxa"/>
          </w:tcPr>
          <w:p w14:paraId="3077B6A8" w14:textId="77777777" w:rsidR="002E7198" w:rsidRDefault="002E7198" w:rsidP="0049211D">
            <w:pPr>
              <w:pStyle w:val="TableSideHeading"/>
            </w:pPr>
          </w:p>
        </w:tc>
        <w:tc>
          <w:tcPr>
            <w:tcW w:w="624" w:type="dxa"/>
          </w:tcPr>
          <w:p w14:paraId="7BA7294A" w14:textId="77777777" w:rsidR="002E7198" w:rsidRDefault="002E7198" w:rsidP="0049211D">
            <w:pPr>
              <w:pStyle w:val="TableText"/>
            </w:pPr>
          </w:p>
        </w:tc>
        <w:tc>
          <w:tcPr>
            <w:tcW w:w="624" w:type="dxa"/>
          </w:tcPr>
          <w:p w14:paraId="56E7E90D" w14:textId="77777777" w:rsidR="002E7198" w:rsidRDefault="002E7198" w:rsidP="0049211D">
            <w:pPr>
              <w:pStyle w:val="TableText"/>
            </w:pPr>
          </w:p>
        </w:tc>
        <w:tc>
          <w:tcPr>
            <w:tcW w:w="624" w:type="dxa"/>
          </w:tcPr>
          <w:p w14:paraId="19E48A97" w14:textId="77777777" w:rsidR="002E7198" w:rsidRDefault="002E7198" w:rsidP="0049211D">
            <w:pPr>
              <w:pStyle w:val="TableText"/>
            </w:pPr>
          </w:p>
        </w:tc>
        <w:tc>
          <w:tcPr>
            <w:tcW w:w="624" w:type="dxa"/>
          </w:tcPr>
          <w:p w14:paraId="6FA587C9" w14:textId="77777777" w:rsidR="002E7198" w:rsidRDefault="002E7198" w:rsidP="0049211D">
            <w:pPr>
              <w:pStyle w:val="TableText"/>
            </w:pPr>
          </w:p>
        </w:tc>
        <w:tc>
          <w:tcPr>
            <w:tcW w:w="624" w:type="dxa"/>
          </w:tcPr>
          <w:p w14:paraId="3C572E6B" w14:textId="77777777" w:rsidR="002E7198" w:rsidRDefault="002E7198" w:rsidP="0049211D">
            <w:pPr>
              <w:pStyle w:val="TableText"/>
            </w:pPr>
          </w:p>
        </w:tc>
        <w:tc>
          <w:tcPr>
            <w:tcW w:w="4650" w:type="dxa"/>
          </w:tcPr>
          <w:p w14:paraId="779C9735" w14:textId="02327FC3" w:rsidR="002E7198" w:rsidRDefault="002E7198" w:rsidP="0049211D">
            <w:pPr>
              <w:pStyle w:val="TableBlock"/>
              <w:rPr>
                <w:sz w:val="26"/>
                <w:rtl/>
              </w:rPr>
            </w:pPr>
            <w:r>
              <w:rPr>
                <w:rFonts w:hint="cs"/>
                <w:sz w:val="26"/>
                <w:rtl/>
              </w:rPr>
              <w:t>(ו)</w:t>
            </w:r>
            <w:r>
              <w:rPr>
                <w:sz w:val="26"/>
                <w:rtl/>
              </w:rPr>
              <w:tab/>
            </w:r>
            <w:r>
              <w:rPr>
                <w:rFonts w:hint="cs"/>
                <w:sz w:val="26"/>
                <w:rtl/>
              </w:rPr>
              <w:t>כספי הקרן יבואו מהיטל לפי סעיף 15א</w:t>
            </w:r>
            <w:r w:rsidRPr="00FA13A1">
              <w:rPr>
                <w:rFonts w:hint="cs"/>
                <w:sz w:val="26"/>
                <w:rtl/>
              </w:rPr>
              <w:t xml:space="preserve">, </w:t>
            </w:r>
            <w:r>
              <w:rPr>
                <w:rFonts w:hint="cs"/>
                <w:sz w:val="26"/>
                <w:rtl/>
              </w:rPr>
              <w:t>הקצבות מתקציב המדינה,</w:t>
            </w:r>
            <w:r w:rsidR="00AB1622">
              <w:rPr>
                <w:rFonts w:hint="cs"/>
                <w:sz w:val="26"/>
                <w:rtl/>
              </w:rPr>
              <w:t xml:space="preserve"> </w:t>
            </w:r>
            <w:r>
              <w:rPr>
                <w:rFonts w:hint="cs"/>
                <w:sz w:val="26"/>
                <w:rtl/>
              </w:rPr>
              <w:t xml:space="preserve">תרומות וכל מקור אחר שנקבע לפי דין ; </w:t>
            </w:r>
          </w:p>
        </w:tc>
      </w:tr>
      <w:tr w:rsidR="002E7198" w14:paraId="65CCBFC5" w14:textId="77777777" w:rsidTr="0049211D">
        <w:trPr>
          <w:cantSplit/>
          <w:trHeight w:val="60"/>
        </w:trPr>
        <w:tc>
          <w:tcPr>
            <w:tcW w:w="1871" w:type="dxa"/>
          </w:tcPr>
          <w:p w14:paraId="3CD08C1C" w14:textId="77777777" w:rsidR="002E7198" w:rsidRDefault="002E7198" w:rsidP="0049211D">
            <w:pPr>
              <w:pStyle w:val="TableSideHeading"/>
            </w:pPr>
          </w:p>
        </w:tc>
        <w:tc>
          <w:tcPr>
            <w:tcW w:w="624" w:type="dxa"/>
          </w:tcPr>
          <w:p w14:paraId="279BE2D8" w14:textId="77777777" w:rsidR="002E7198" w:rsidRDefault="002E7198" w:rsidP="0049211D">
            <w:pPr>
              <w:pStyle w:val="TableText"/>
            </w:pPr>
          </w:p>
        </w:tc>
        <w:tc>
          <w:tcPr>
            <w:tcW w:w="624" w:type="dxa"/>
          </w:tcPr>
          <w:p w14:paraId="225A35B0" w14:textId="77777777" w:rsidR="002E7198" w:rsidRDefault="002E7198" w:rsidP="0049211D">
            <w:pPr>
              <w:pStyle w:val="TableText"/>
            </w:pPr>
          </w:p>
        </w:tc>
        <w:tc>
          <w:tcPr>
            <w:tcW w:w="624" w:type="dxa"/>
          </w:tcPr>
          <w:p w14:paraId="79CA63C5" w14:textId="77777777" w:rsidR="002E7198" w:rsidRDefault="002E7198" w:rsidP="0049211D">
            <w:pPr>
              <w:pStyle w:val="TableText"/>
            </w:pPr>
          </w:p>
        </w:tc>
        <w:tc>
          <w:tcPr>
            <w:tcW w:w="624" w:type="dxa"/>
          </w:tcPr>
          <w:p w14:paraId="64627DAA" w14:textId="77777777" w:rsidR="002E7198" w:rsidRDefault="002E7198" w:rsidP="0049211D">
            <w:pPr>
              <w:pStyle w:val="TableText"/>
            </w:pPr>
          </w:p>
        </w:tc>
        <w:tc>
          <w:tcPr>
            <w:tcW w:w="624" w:type="dxa"/>
          </w:tcPr>
          <w:p w14:paraId="317BE1C3" w14:textId="77777777" w:rsidR="002E7198" w:rsidRDefault="002E7198" w:rsidP="0049211D">
            <w:pPr>
              <w:pStyle w:val="TableText"/>
            </w:pPr>
          </w:p>
        </w:tc>
        <w:tc>
          <w:tcPr>
            <w:tcW w:w="4650" w:type="dxa"/>
          </w:tcPr>
          <w:p w14:paraId="7890CB1B" w14:textId="665C1588" w:rsidR="002E7198" w:rsidRDefault="002E7198" w:rsidP="0049211D">
            <w:pPr>
              <w:pStyle w:val="TableBlock"/>
              <w:rPr>
                <w:sz w:val="26"/>
                <w:rtl/>
              </w:rPr>
            </w:pPr>
            <w:r>
              <w:rPr>
                <w:rFonts w:hint="cs"/>
                <w:sz w:val="26"/>
                <w:rtl/>
              </w:rPr>
              <w:t>(ז)</w:t>
            </w:r>
            <w:r>
              <w:rPr>
                <w:sz w:val="26"/>
                <w:rtl/>
              </w:rPr>
              <w:tab/>
            </w:r>
            <w:r w:rsidRPr="00735769">
              <w:rPr>
                <w:rFonts w:hint="cs"/>
                <w:sz w:val="26"/>
                <w:rtl/>
              </w:rPr>
              <w:t xml:space="preserve">תקבולי הקרן ינוהלו במערכת הכספים </w:t>
            </w:r>
            <w:r>
              <w:rPr>
                <w:rFonts w:hint="cs"/>
                <w:sz w:val="26"/>
                <w:rtl/>
              </w:rPr>
              <w:t xml:space="preserve">של משרד החקלאות </w:t>
            </w:r>
            <w:r w:rsidRPr="00735769">
              <w:rPr>
                <w:rFonts w:hint="cs"/>
                <w:sz w:val="26"/>
                <w:rtl/>
              </w:rPr>
              <w:t>ופיתוח הכפר במסגרת סעיף תקציבי מיוחד ונפרד;</w:t>
            </w:r>
            <w:r>
              <w:rPr>
                <w:rFonts w:hint="cs"/>
                <w:sz w:val="26"/>
                <w:rtl/>
              </w:rPr>
              <w:t xml:space="preserve"> כל תקבולי הקרן </w:t>
            </w:r>
            <w:r w:rsidRPr="00735769">
              <w:rPr>
                <w:rFonts w:hint="cs"/>
                <w:sz w:val="26"/>
                <w:rtl/>
              </w:rPr>
              <w:t>ייועדו למטרות</w:t>
            </w:r>
            <w:r>
              <w:rPr>
                <w:rFonts w:hint="cs"/>
                <w:sz w:val="26"/>
                <w:rtl/>
              </w:rPr>
              <w:t xml:space="preserve">יה </w:t>
            </w:r>
            <w:r w:rsidRPr="00735769">
              <w:rPr>
                <w:rFonts w:hint="cs"/>
                <w:sz w:val="26"/>
                <w:rtl/>
              </w:rPr>
              <w:t xml:space="preserve">בלבד, </w:t>
            </w:r>
            <w:r>
              <w:rPr>
                <w:rFonts w:hint="cs"/>
                <w:sz w:val="26"/>
                <w:rtl/>
              </w:rPr>
              <w:t>ויוצאו</w:t>
            </w:r>
            <w:r w:rsidRPr="00735769">
              <w:rPr>
                <w:rFonts w:hint="cs"/>
                <w:sz w:val="26"/>
                <w:rtl/>
              </w:rPr>
              <w:t xml:space="preserve"> לפי הוראות השר בהסכמת שר האוצר</w:t>
            </w:r>
            <w:r>
              <w:rPr>
                <w:rFonts w:hint="cs"/>
                <w:sz w:val="26"/>
                <w:rtl/>
              </w:rPr>
              <w:t>; חשב משרד החקלאות ופיתוח הכפר יעביר להנהלה או למי שהיא תקבע לעני</w:t>
            </w:r>
            <w:r w:rsidR="00AB1622">
              <w:rPr>
                <w:rFonts w:hint="cs"/>
                <w:sz w:val="26"/>
                <w:rtl/>
              </w:rPr>
              <w:t>י</w:t>
            </w:r>
            <w:r>
              <w:rPr>
                <w:rFonts w:hint="cs"/>
                <w:sz w:val="26"/>
                <w:rtl/>
              </w:rPr>
              <w:t>ן זה, דיווחים שוטפים ורצופים לגבי הוצאות הקרן ותקבוליה.</w:t>
            </w:r>
          </w:p>
        </w:tc>
      </w:tr>
      <w:tr w:rsidR="002E7198" w14:paraId="23136A74" w14:textId="77777777" w:rsidTr="0049211D">
        <w:trPr>
          <w:cantSplit/>
          <w:trHeight w:val="60"/>
        </w:trPr>
        <w:tc>
          <w:tcPr>
            <w:tcW w:w="1871" w:type="dxa"/>
          </w:tcPr>
          <w:p w14:paraId="7AE5D73B" w14:textId="77777777" w:rsidR="002E7198" w:rsidRDefault="002E7198" w:rsidP="0049211D">
            <w:pPr>
              <w:pStyle w:val="TableSideHeading"/>
            </w:pPr>
          </w:p>
        </w:tc>
        <w:tc>
          <w:tcPr>
            <w:tcW w:w="624" w:type="dxa"/>
          </w:tcPr>
          <w:p w14:paraId="5E7EFD80" w14:textId="77777777" w:rsidR="002E7198" w:rsidRDefault="002E7198" w:rsidP="0049211D">
            <w:pPr>
              <w:pStyle w:val="TableText"/>
            </w:pPr>
          </w:p>
        </w:tc>
        <w:tc>
          <w:tcPr>
            <w:tcW w:w="624" w:type="dxa"/>
          </w:tcPr>
          <w:p w14:paraId="48CFF622" w14:textId="77777777" w:rsidR="002E7198" w:rsidRDefault="002E7198" w:rsidP="0049211D">
            <w:pPr>
              <w:pStyle w:val="TableText"/>
            </w:pPr>
          </w:p>
        </w:tc>
        <w:tc>
          <w:tcPr>
            <w:tcW w:w="624" w:type="dxa"/>
          </w:tcPr>
          <w:p w14:paraId="6D225FFF" w14:textId="77777777" w:rsidR="002E7198" w:rsidRDefault="002E7198" w:rsidP="0049211D">
            <w:pPr>
              <w:pStyle w:val="TableText"/>
            </w:pPr>
          </w:p>
        </w:tc>
        <w:tc>
          <w:tcPr>
            <w:tcW w:w="624" w:type="dxa"/>
          </w:tcPr>
          <w:p w14:paraId="5AC9BE2F" w14:textId="77777777" w:rsidR="002E7198" w:rsidRDefault="002E7198" w:rsidP="0049211D">
            <w:pPr>
              <w:pStyle w:val="TableText"/>
            </w:pPr>
          </w:p>
        </w:tc>
        <w:tc>
          <w:tcPr>
            <w:tcW w:w="624" w:type="dxa"/>
          </w:tcPr>
          <w:p w14:paraId="0891F75B" w14:textId="77777777" w:rsidR="002E7198" w:rsidRDefault="002E7198" w:rsidP="0049211D">
            <w:pPr>
              <w:pStyle w:val="TableText"/>
            </w:pPr>
          </w:p>
        </w:tc>
        <w:tc>
          <w:tcPr>
            <w:tcW w:w="4650" w:type="dxa"/>
          </w:tcPr>
          <w:p w14:paraId="62CB0F36" w14:textId="75B2FD5D" w:rsidR="002E7198" w:rsidRDefault="002E7198" w:rsidP="0049211D">
            <w:pPr>
              <w:pStyle w:val="TableBlock"/>
              <w:rPr>
                <w:sz w:val="26"/>
                <w:rtl/>
              </w:rPr>
            </w:pPr>
            <w:r>
              <w:rPr>
                <w:rFonts w:hint="cs"/>
                <w:sz w:val="26"/>
                <w:rtl/>
              </w:rPr>
              <w:t>(ח)</w:t>
            </w:r>
            <w:r>
              <w:rPr>
                <w:sz w:val="26"/>
                <w:rtl/>
              </w:rPr>
              <w:tab/>
            </w:r>
            <w:r>
              <w:rPr>
                <w:rFonts w:hint="cs"/>
                <w:sz w:val="26"/>
                <w:rtl/>
              </w:rPr>
              <w:t>השר ידווח לוועדת הפנים והגנת הסביבה של הכנסת, בסוף כל שנת תקציב, על פעולות הקרן, הכנסותיה והוצאותיה.</w:t>
            </w:r>
            <w:r w:rsidR="00AB1622">
              <w:rPr>
                <w:rFonts w:hint="cs"/>
                <w:sz w:val="26"/>
                <w:rtl/>
              </w:rPr>
              <w:t>"</w:t>
            </w:r>
          </w:p>
        </w:tc>
      </w:tr>
      <w:tr w:rsidR="002E7198" w14:paraId="63F7B2BC" w14:textId="77777777" w:rsidTr="0049211D">
        <w:trPr>
          <w:cantSplit/>
          <w:trHeight w:val="60"/>
        </w:trPr>
        <w:tc>
          <w:tcPr>
            <w:tcW w:w="1871" w:type="dxa"/>
          </w:tcPr>
          <w:p w14:paraId="3AE7A3D5" w14:textId="77777777" w:rsidR="002E7198" w:rsidRDefault="002E7198" w:rsidP="0049211D">
            <w:pPr>
              <w:pStyle w:val="TableSideHeading"/>
              <w:keepLines w:val="0"/>
              <w:rPr>
                <w:rtl/>
              </w:rPr>
            </w:pPr>
            <w:r w:rsidRPr="006E32D4">
              <w:rPr>
                <w:sz w:val="26"/>
                <w:rtl/>
              </w:rPr>
              <w:lastRenderedPageBreak/>
              <w:t>תיקון חוק התכנון והבנייה</w:t>
            </w:r>
          </w:p>
        </w:tc>
        <w:tc>
          <w:tcPr>
            <w:tcW w:w="624" w:type="dxa"/>
          </w:tcPr>
          <w:p w14:paraId="6384E4FD" w14:textId="77777777" w:rsidR="002E7198" w:rsidRDefault="002E7198" w:rsidP="0049211D">
            <w:pPr>
              <w:pStyle w:val="TableText"/>
              <w:keepLines w:val="0"/>
            </w:pPr>
            <w:r>
              <w:rPr>
                <w:rFonts w:hint="cs"/>
                <w:rtl/>
              </w:rPr>
              <w:t>4.</w:t>
            </w:r>
          </w:p>
        </w:tc>
        <w:tc>
          <w:tcPr>
            <w:tcW w:w="7146" w:type="dxa"/>
            <w:gridSpan w:val="5"/>
          </w:tcPr>
          <w:p w14:paraId="7C51AA1A" w14:textId="4AE016D5" w:rsidR="002E7198" w:rsidRDefault="002E7198" w:rsidP="00AB1622">
            <w:pPr>
              <w:pStyle w:val="TableBlock"/>
              <w:keepLines w:val="0"/>
              <w:rPr>
                <w:rFonts w:eastAsia="Arial"/>
                <w:sz w:val="26"/>
                <w:rtl/>
              </w:rPr>
            </w:pPr>
            <w:r w:rsidRPr="006E32D4">
              <w:rPr>
                <w:rFonts w:eastAsia="Arial"/>
                <w:sz w:val="26"/>
                <w:rtl/>
              </w:rPr>
              <w:t xml:space="preserve">בחוק התכנון והבנייה, </w:t>
            </w:r>
            <w:proofErr w:type="spellStart"/>
            <w:r w:rsidRPr="006E32D4">
              <w:rPr>
                <w:rFonts w:eastAsia="Arial"/>
                <w:sz w:val="26"/>
                <w:rtl/>
              </w:rPr>
              <w:t>התשכ"ה</w:t>
            </w:r>
            <w:proofErr w:type="spellEnd"/>
            <w:r w:rsidRPr="006E32D4">
              <w:rPr>
                <w:rFonts w:eastAsia="Arial"/>
                <w:sz w:val="26"/>
                <w:rtl/>
              </w:rPr>
              <w:t>–1965</w:t>
            </w:r>
            <w:r>
              <w:rPr>
                <w:rStyle w:val="a5"/>
                <w:rFonts w:eastAsia="Arial"/>
                <w:sz w:val="26"/>
                <w:rtl/>
              </w:rPr>
              <w:footnoteReference w:id="3"/>
            </w:r>
            <w:r>
              <w:rPr>
                <w:rFonts w:eastAsia="Arial"/>
                <w:sz w:val="26"/>
                <w:rtl/>
              </w:rPr>
              <w:t xml:space="preserve"> </w:t>
            </w:r>
            <w:r w:rsidRPr="006E32D4">
              <w:rPr>
                <w:rFonts w:eastAsia="Arial"/>
                <w:sz w:val="26"/>
                <w:rtl/>
              </w:rPr>
              <w:t>(להלן</w:t>
            </w:r>
            <w:r w:rsidR="00AB1622">
              <w:rPr>
                <w:rFonts w:eastAsia="Arial" w:hint="cs"/>
                <w:sz w:val="26"/>
                <w:rtl/>
              </w:rPr>
              <w:t xml:space="preserve"> </w:t>
            </w:r>
            <w:r w:rsidR="00AB1622">
              <w:rPr>
                <w:rFonts w:eastAsia="Arial" w:hint="eastAsia"/>
                <w:sz w:val="26"/>
                <w:rtl/>
              </w:rPr>
              <w:t>–</w:t>
            </w:r>
            <w:r w:rsidRPr="006E32D4">
              <w:rPr>
                <w:rFonts w:eastAsia="Arial"/>
                <w:sz w:val="26"/>
                <w:rtl/>
              </w:rPr>
              <w:t xml:space="preserve"> החוק), בסעיף 83ג –</w:t>
            </w:r>
          </w:p>
        </w:tc>
      </w:tr>
      <w:tr w:rsidR="002E7198" w14:paraId="1200CA0A" w14:textId="77777777" w:rsidTr="0049211D">
        <w:trPr>
          <w:cantSplit/>
          <w:trHeight w:val="60"/>
        </w:trPr>
        <w:tc>
          <w:tcPr>
            <w:tcW w:w="1871" w:type="dxa"/>
          </w:tcPr>
          <w:p w14:paraId="3090C9EA" w14:textId="77777777" w:rsidR="002E7198" w:rsidRDefault="002E7198" w:rsidP="0049211D">
            <w:pPr>
              <w:pStyle w:val="TableSideHeading"/>
              <w:keepLines w:val="0"/>
              <w:rPr>
                <w:rtl/>
              </w:rPr>
            </w:pPr>
          </w:p>
        </w:tc>
        <w:tc>
          <w:tcPr>
            <w:tcW w:w="624" w:type="dxa"/>
          </w:tcPr>
          <w:p w14:paraId="3D9ED3E6" w14:textId="77777777" w:rsidR="002E7198" w:rsidRDefault="002E7198" w:rsidP="0049211D">
            <w:pPr>
              <w:pStyle w:val="TableText"/>
              <w:keepLines w:val="0"/>
            </w:pPr>
          </w:p>
        </w:tc>
        <w:tc>
          <w:tcPr>
            <w:tcW w:w="7146" w:type="dxa"/>
            <w:gridSpan w:val="5"/>
          </w:tcPr>
          <w:p w14:paraId="1133F9BF" w14:textId="11D8C83E" w:rsidR="002E7198" w:rsidRDefault="002E7198" w:rsidP="0049211D">
            <w:pPr>
              <w:pStyle w:val="TableBlock"/>
              <w:keepLines w:val="0"/>
              <w:rPr>
                <w:rFonts w:eastAsia="Arial"/>
                <w:sz w:val="26"/>
                <w:rtl/>
              </w:rPr>
            </w:pPr>
            <w:r w:rsidRPr="006F5627">
              <w:rPr>
                <w:sz w:val="26"/>
                <w:rtl/>
              </w:rPr>
              <w:t>(</w:t>
            </w:r>
            <w:r>
              <w:rPr>
                <w:rFonts w:hint="cs"/>
                <w:sz w:val="26"/>
                <w:rtl/>
              </w:rPr>
              <w:t>1</w:t>
            </w:r>
            <w:r w:rsidRPr="006F5627">
              <w:rPr>
                <w:sz w:val="26"/>
                <w:rtl/>
              </w:rPr>
              <w:t>)</w:t>
            </w:r>
            <w:r w:rsidRPr="006F5627">
              <w:rPr>
                <w:sz w:val="26"/>
                <w:rtl/>
              </w:rPr>
              <w:tab/>
            </w:r>
            <w:r w:rsidRPr="00A34430">
              <w:rPr>
                <w:color w:val="000000" w:themeColor="text1"/>
                <w:sz w:val="26"/>
                <w:rtl/>
              </w:rPr>
              <w:t xml:space="preserve">בסעיף קטן (ג), במקום האמור בו יבוא "היו בתחום התכנית עצים בוגרים, לא יחליט מוסד תכנון על </w:t>
            </w:r>
            <w:r w:rsidRPr="00485041">
              <w:rPr>
                <w:color w:val="000000" w:themeColor="text1"/>
                <w:sz w:val="26"/>
                <w:rtl/>
              </w:rPr>
              <w:t>הפקדת תכנית</w:t>
            </w:r>
            <w:r w:rsidRPr="00A34430">
              <w:rPr>
                <w:color w:val="000000" w:themeColor="text1"/>
                <w:sz w:val="26"/>
                <w:rtl/>
              </w:rPr>
              <w:t xml:space="preserve"> אלא לאחר שבחן את הצורך בשמירה עליהם במסגרת מכלול השיקולים התכנוניים, </w:t>
            </w:r>
            <w:r w:rsidRPr="00485041">
              <w:rPr>
                <w:color w:val="000000" w:themeColor="text1"/>
                <w:sz w:val="26"/>
                <w:rtl/>
              </w:rPr>
              <w:t>ולאחר שהונחה בפני</w:t>
            </w:r>
            <w:r w:rsidRPr="00485041">
              <w:rPr>
                <w:rFonts w:hint="eastAsia"/>
                <w:color w:val="000000" w:themeColor="text1"/>
                <w:sz w:val="26"/>
                <w:rtl/>
              </w:rPr>
              <w:t>ו</w:t>
            </w:r>
            <w:r w:rsidRPr="00485041">
              <w:rPr>
                <w:color w:val="000000" w:themeColor="text1"/>
                <w:sz w:val="26"/>
                <w:rtl/>
              </w:rPr>
              <w:t xml:space="preserve"> חוות דעת פקיד היערות, כהגדרתו בפקודת היערות, </w:t>
            </w:r>
            <w:r w:rsidRPr="00485041">
              <w:rPr>
                <w:rFonts w:hint="eastAsia"/>
                <w:color w:val="000000" w:themeColor="text1"/>
                <w:sz w:val="26"/>
                <w:rtl/>
              </w:rPr>
              <w:t>לעניין</w:t>
            </w:r>
            <w:r w:rsidRPr="00485041">
              <w:rPr>
                <w:color w:val="000000" w:themeColor="text1"/>
                <w:sz w:val="26"/>
                <w:rtl/>
              </w:rPr>
              <w:t xml:space="preserve"> זה; ואולם מוסד תכנון רשאי להחליט על הפקדת תכנית אף בלא </w:t>
            </w:r>
            <w:r w:rsidRPr="00485041">
              <w:rPr>
                <w:rFonts w:hint="eastAsia"/>
                <w:color w:val="000000" w:themeColor="text1"/>
                <w:sz w:val="26"/>
                <w:rtl/>
              </w:rPr>
              <w:t>חוות</w:t>
            </w:r>
            <w:r w:rsidRPr="00485041">
              <w:rPr>
                <w:color w:val="000000" w:themeColor="text1"/>
                <w:sz w:val="26"/>
                <w:rtl/>
              </w:rPr>
              <w:t xml:space="preserve"> דעת כאמור, אם חלפו 30 יום מעת הפנייה לקבלת חוות הדעת וזו לא הומצאה למוסד התכנון</w:t>
            </w:r>
            <w:r>
              <w:rPr>
                <w:rFonts w:hint="cs"/>
                <w:color w:val="000000" w:themeColor="text1"/>
                <w:sz w:val="26"/>
                <w:rtl/>
              </w:rPr>
              <w:t>;</w:t>
            </w:r>
            <w:r w:rsidRPr="006F5627">
              <w:rPr>
                <w:rFonts w:hint="cs"/>
                <w:color w:val="000000" w:themeColor="text1"/>
                <w:sz w:val="26"/>
                <w:rtl/>
              </w:rPr>
              <w:t xml:space="preserve"> </w:t>
            </w:r>
            <w:r w:rsidRPr="006F5627">
              <w:rPr>
                <w:sz w:val="26"/>
                <w:rtl/>
              </w:rPr>
              <w:t xml:space="preserve">שר הפנים לאחר התייעצות עם </w:t>
            </w:r>
            <w:r>
              <w:rPr>
                <w:rFonts w:hint="cs"/>
                <w:sz w:val="26"/>
                <w:rtl/>
              </w:rPr>
              <w:t>שר החקלאות ופיתוח הכפר</w:t>
            </w:r>
            <w:r w:rsidRPr="006F5627">
              <w:rPr>
                <w:sz w:val="26"/>
                <w:rtl/>
              </w:rPr>
              <w:t xml:space="preserve">, רשאי לקבוע סוגי תכניות שלגביהן לא </w:t>
            </w:r>
            <w:r w:rsidRPr="006F5627">
              <w:rPr>
                <w:rFonts w:hint="cs"/>
                <w:sz w:val="26"/>
                <w:rtl/>
              </w:rPr>
              <w:t>יידר</w:t>
            </w:r>
            <w:r w:rsidRPr="006F5627">
              <w:rPr>
                <w:rFonts w:hint="eastAsia"/>
                <w:sz w:val="26"/>
                <w:rtl/>
              </w:rPr>
              <w:t>ש</w:t>
            </w:r>
            <w:r w:rsidRPr="006F5627">
              <w:rPr>
                <w:sz w:val="26"/>
                <w:rtl/>
              </w:rPr>
              <w:t xml:space="preserve"> מוסד </w:t>
            </w:r>
            <w:r>
              <w:rPr>
                <w:rFonts w:hint="cs"/>
                <w:sz w:val="26"/>
                <w:rtl/>
              </w:rPr>
              <w:t>ה</w:t>
            </w:r>
            <w:r w:rsidRPr="006F5627">
              <w:rPr>
                <w:sz w:val="26"/>
                <w:rtl/>
              </w:rPr>
              <w:t>תכנון לחוות דעת כאמור.</w:t>
            </w:r>
            <w:r w:rsidRPr="006F5627">
              <w:rPr>
                <w:rFonts w:hint="cs"/>
                <w:sz w:val="26"/>
                <w:rtl/>
              </w:rPr>
              <w:t>"</w:t>
            </w:r>
            <w:r w:rsidR="00AB1622">
              <w:rPr>
                <w:rFonts w:hint="cs"/>
                <w:sz w:val="26"/>
                <w:rtl/>
              </w:rPr>
              <w:t>;</w:t>
            </w:r>
          </w:p>
        </w:tc>
      </w:tr>
      <w:tr w:rsidR="002E7198" w14:paraId="05B9CAE7" w14:textId="77777777" w:rsidTr="0049211D">
        <w:trPr>
          <w:cantSplit/>
          <w:trHeight w:val="60"/>
        </w:trPr>
        <w:tc>
          <w:tcPr>
            <w:tcW w:w="1871" w:type="dxa"/>
          </w:tcPr>
          <w:p w14:paraId="43539735" w14:textId="77777777" w:rsidR="002E7198" w:rsidRDefault="002E7198" w:rsidP="0049211D">
            <w:pPr>
              <w:pStyle w:val="TableSideHeading"/>
              <w:keepLines w:val="0"/>
              <w:rPr>
                <w:rtl/>
              </w:rPr>
            </w:pPr>
          </w:p>
        </w:tc>
        <w:tc>
          <w:tcPr>
            <w:tcW w:w="624" w:type="dxa"/>
          </w:tcPr>
          <w:p w14:paraId="78DCA138" w14:textId="77777777" w:rsidR="002E7198" w:rsidRDefault="002E7198" w:rsidP="0049211D">
            <w:pPr>
              <w:pStyle w:val="TableText"/>
              <w:keepLines w:val="0"/>
            </w:pPr>
          </w:p>
        </w:tc>
        <w:tc>
          <w:tcPr>
            <w:tcW w:w="7146" w:type="dxa"/>
            <w:gridSpan w:val="5"/>
          </w:tcPr>
          <w:p w14:paraId="4321E0CC" w14:textId="4486A45A" w:rsidR="002E7198" w:rsidRDefault="002E7198" w:rsidP="00AB1622">
            <w:pPr>
              <w:pStyle w:val="TableBlock"/>
              <w:keepLines w:val="0"/>
              <w:rPr>
                <w:rFonts w:eastAsia="Arial"/>
                <w:sz w:val="26"/>
                <w:rtl/>
              </w:rPr>
            </w:pPr>
            <w:r w:rsidRPr="006F5627">
              <w:rPr>
                <w:rFonts w:hint="cs"/>
                <w:sz w:val="26"/>
                <w:rtl/>
              </w:rPr>
              <w:t>(</w:t>
            </w:r>
            <w:r>
              <w:rPr>
                <w:rFonts w:hint="cs"/>
                <w:sz w:val="26"/>
                <w:rtl/>
              </w:rPr>
              <w:t>2</w:t>
            </w:r>
            <w:r w:rsidRPr="006F5627">
              <w:rPr>
                <w:rFonts w:hint="cs"/>
                <w:sz w:val="26"/>
                <w:rtl/>
              </w:rPr>
              <w:t>)</w:t>
            </w:r>
            <w:r w:rsidRPr="006F5627">
              <w:rPr>
                <w:sz w:val="26"/>
                <w:rtl/>
              </w:rPr>
              <w:t xml:space="preserve"> </w:t>
            </w:r>
            <w:r w:rsidRPr="006F5627">
              <w:rPr>
                <w:sz w:val="26"/>
                <w:rtl/>
              </w:rPr>
              <w:tab/>
            </w:r>
            <w:r>
              <w:rPr>
                <w:rFonts w:hint="cs"/>
                <w:sz w:val="26"/>
                <w:rtl/>
              </w:rPr>
              <w:t>אחרי סעיף קטן (ג) יבוא:</w:t>
            </w:r>
            <w:r w:rsidRPr="006F5627">
              <w:rPr>
                <w:rFonts w:hint="cs"/>
                <w:sz w:val="26"/>
                <w:rtl/>
              </w:rPr>
              <w:t xml:space="preserve"> </w:t>
            </w:r>
          </w:p>
        </w:tc>
      </w:tr>
      <w:tr w:rsidR="00AB1622" w14:paraId="7126CDEA" w14:textId="77777777" w:rsidTr="00AB1622">
        <w:trPr>
          <w:cantSplit/>
          <w:trHeight w:val="60"/>
        </w:trPr>
        <w:tc>
          <w:tcPr>
            <w:tcW w:w="1871" w:type="dxa"/>
          </w:tcPr>
          <w:p w14:paraId="43A9BCC3" w14:textId="77777777" w:rsidR="00AB1622" w:rsidRDefault="00AB1622" w:rsidP="00AB1622">
            <w:pPr>
              <w:pStyle w:val="TableSideHeading"/>
              <w:ind w:right="0"/>
              <w:rPr>
                <w:rtl/>
              </w:rPr>
            </w:pPr>
          </w:p>
        </w:tc>
        <w:tc>
          <w:tcPr>
            <w:tcW w:w="624" w:type="dxa"/>
          </w:tcPr>
          <w:p w14:paraId="61BB4B32" w14:textId="77777777" w:rsidR="00AB1622" w:rsidRDefault="00AB1622" w:rsidP="00AB1622">
            <w:pPr>
              <w:pStyle w:val="TableText"/>
              <w:ind w:right="0"/>
              <w:jc w:val="both"/>
            </w:pPr>
          </w:p>
        </w:tc>
        <w:tc>
          <w:tcPr>
            <w:tcW w:w="624" w:type="dxa"/>
          </w:tcPr>
          <w:p w14:paraId="178EA9A9" w14:textId="77777777" w:rsidR="00AB1622" w:rsidRPr="00AB1622" w:rsidRDefault="00AB1622" w:rsidP="00AB1622">
            <w:pPr>
              <w:pStyle w:val="TableText"/>
              <w:ind w:right="0"/>
              <w:jc w:val="both"/>
              <w:rPr>
                <w:rtl/>
              </w:rPr>
            </w:pPr>
          </w:p>
        </w:tc>
        <w:tc>
          <w:tcPr>
            <w:tcW w:w="6522" w:type="dxa"/>
            <w:gridSpan w:val="4"/>
          </w:tcPr>
          <w:p w14:paraId="6940AC81" w14:textId="52156E41" w:rsidR="00AB1622" w:rsidRPr="00AB1622" w:rsidRDefault="00AB1622" w:rsidP="00AB1622">
            <w:pPr>
              <w:pStyle w:val="TableBlock"/>
              <w:rPr>
                <w:sz w:val="26"/>
                <w:rtl/>
              </w:rPr>
            </w:pPr>
            <w:r>
              <w:rPr>
                <w:rFonts w:hint="cs"/>
                <w:sz w:val="26"/>
                <w:rtl/>
              </w:rPr>
              <w:t>"(ג1)</w:t>
            </w:r>
            <w:r>
              <w:rPr>
                <w:sz w:val="26"/>
                <w:rtl/>
              </w:rPr>
              <w:tab/>
            </w:r>
            <w:r>
              <w:rPr>
                <w:rFonts w:hint="cs"/>
                <w:sz w:val="26"/>
                <w:rtl/>
              </w:rPr>
              <w:t>על אף</w:t>
            </w:r>
            <w:r w:rsidRPr="006F5627">
              <w:rPr>
                <w:rFonts w:hint="cs"/>
                <w:sz w:val="26"/>
                <w:rtl/>
              </w:rPr>
              <w:t xml:space="preserve"> </w:t>
            </w:r>
            <w:r>
              <w:rPr>
                <w:rFonts w:hint="cs"/>
                <w:sz w:val="26"/>
                <w:rtl/>
              </w:rPr>
              <w:t>האמור ב</w:t>
            </w:r>
            <w:r w:rsidRPr="006F5627">
              <w:rPr>
                <w:rFonts w:hint="cs"/>
                <w:sz w:val="26"/>
                <w:rtl/>
              </w:rPr>
              <w:t>סעיף קטן (</w:t>
            </w:r>
            <w:r>
              <w:rPr>
                <w:rFonts w:hint="cs"/>
                <w:sz w:val="26"/>
                <w:rtl/>
              </w:rPr>
              <w:t>ג</w:t>
            </w:r>
            <w:r w:rsidRPr="006F5627">
              <w:rPr>
                <w:rFonts w:hint="cs"/>
                <w:sz w:val="26"/>
                <w:rtl/>
              </w:rPr>
              <w:t>),</w:t>
            </w:r>
            <w:r>
              <w:rPr>
                <w:rFonts w:hint="cs"/>
                <w:sz w:val="26"/>
                <w:rtl/>
              </w:rPr>
              <w:t>חוות דעת כאמור באותו סעיף קטן  לעניין עצים</w:t>
            </w:r>
            <w:r w:rsidRPr="006F5627">
              <w:rPr>
                <w:rFonts w:hint="cs"/>
                <w:sz w:val="26"/>
                <w:rtl/>
              </w:rPr>
              <w:t xml:space="preserve"> </w:t>
            </w:r>
            <w:r>
              <w:rPr>
                <w:rFonts w:hint="cs"/>
                <w:sz w:val="26"/>
                <w:rtl/>
              </w:rPr>
              <w:t>הנמצאים בשטחו של אדם פרטי, תידרש רק אם התקיים אחד מאלה:</w:t>
            </w:r>
          </w:p>
        </w:tc>
      </w:tr>
      <w:tr w:rsidR="00AB1622" w14:paraId="17E16DB7" w14:textId="77777777" w:rsidTr="00AB1622">
        <w:trPr>
          <w:cantSplit/>
          <w:trHeight w:val="60"/>
        </w:trPr>
        <w:tc>
          <w:tcPr>
            <w:tcW w:w="1871" w:type="dxa"/>
          </w:tcPr>
          <w:p w14:paraId="78B69047" w14:textId="77777777" w:rsidR="00AB1622" w:rsidRDefault="00AB1622" w:rsidP="00AB1622">
            <w:pPr>
              <w:pStyle w:val="TableSideHeading"/>
              <w:ind w:right="0"/>
            </w:pPr>
          </w:p>
        </w:tc>
        <w:tc>
          <w:tcPr>
            <w:tcW w:w="624" w:type="dxa"/>
          </w:tcPr>
          <w:p w14:paraId="0EC9E0D1" w14:textId="77777777" w:rsidR="00AB1622" w:rsidRDefault="00AB1622" w:rsidP="00AB1622">
            <w:pPr>
              <w:pStyle w:val="TableText"/>
              <w:ind w:right="0"/>
              <w:jc w:val="both"/>
            </w:pPr>
          </w:p>
        </w:tc>
        <w:tc>
          <w:tcPr>
            <w:tcW w:w="624" w:type="dxa"/>
          </w:tcPr>
          <w:p w14:paraId="71C2707D" w14:textId="77777777" w:rsidR="00AB1622" w:rsidRDefault="00AB1622" w:rsidP="00AB1622">
            <w:pPr>
              <w:pStyle w:val="TableText"/>
              <w:ind w:right="0"/>
              <w:jc w:val="both"/>
            </w:pPr>
          </w:p>
        </w:tc>
        <w:tc>
          <w:tcPr>
            <w:tcW w:w="624" w:type="dxa"/>
          </w:tcPr>
          <w:p w14:paraId="4C4F407B" w14:textId="77777777" w:rsidR="00AB1622" w:rsidRPr="00AB1622" w:rsidRDefault="00AB1622" w:rsidP="00AB1622">
            <w:pPr>
              <w:pStyle w:val="TableText"/>
              <w:ind w:right="0"/>
              <w:jc w:val="both"/>
            </w:pPr>
          </w:p>
        </w:tc>
        <w:tc>
          <w:tcPr>
            <w:tcW w:w="5898" w:type="dxa"/>
            <w:gridSpan w:val="3"/>
          </w:tcPr>
          <w:p w14:paraId="4B625EF3" w14:textId="3D6DED91" w:rsidR="00AB1622" w:rsidRPr="00AB1622" w:rsidRDefault="00AB1622" w:rsidP="00AB1622">
            <w:pPr>
              <w:pStyle w:val="TableBlock"/>
            </w:pPr>
            <w:r>
              <w:rPr>
                <w:rFonts w:hint="cs"/>
                <w:rtl/>
              </w:rPr>
              <w:t>(1)</w:t>
            </w:r>
            <w:r>
              <w:rPr>
                <w:rtl/>
              </w:rPr>
              <w:tab/>
            </w:r>
            <w:r>
              <w:rPr>
                <w:rFonts w:hint="cs"/>
                <w:rtl/>
              </w:rPr>
              <w:t>התכנית כוללת כריתה של ארבעה עצים בוגרים או יותר;</w:t>
            </w:r>
          </w:p>
        </w:tc>
      </w:tr>
      <w:tr w:rsidR="00AB1622" w14:paraId="5489C649" w14:textId="77777777" w:rsidTr="00AB1622">
        <w:trPr>
          <w:cantSplit/>
          <w:trHeight w:val="60"/>
        </w:trPr>
        <w:tc>
          <w:tcPr>
            <w:tcW w:w="1871" w:type="dxa"/>
          </w:tcPr>
          <w:p w14:paraId="3E3ACC5D" w14:textId="77777777" w:rsidR="00AB1622" w:rsidRDefault="00AB1622" w:rsidP="00AB1622">
            <w:pPr>
              <w:pStyle w:val="TableSideHeading"/>
              <w:ind w:right="0"/>
            </w:pPr>
          </w:p>
        </w:tc>
        <w:tc>
          <w:tcPr>
            <w:tcW w:w="624" w:type="dxa"/>
          </w:tcPr>
          <w:p w14:paraId="70BEDF2D" w14:textId="77777777" w:rsidR="00AB1622" w:rsidRDefault="00AB1622" w:rsidP="00AB1622">
            <w:pPr>
              <w:pStyle w:val="TableText"/>
              <w:ind w:right="0"/>
              <w:jc w:val="both"/>
            </w:pPr>
          </w:p>
        </w:tc>
        <w:tc>
          <w:tcPr>
            <w:tcW w:w="624" w:type="dxa"/>
          </w:tcPr>
          <w:p w14:paraId="6584C7EB" w14:textId="77777777" w:rsidR="00AB1622" w:rsidRDefault="00AB1622" w:rsidP="00AB1622">
            <w:pPr>
              <w:pStyle w:val="TableText"/>
              <w:ind w:right="0"/>
              <w:jc w:val="both"/>
            </w:pPr>
          </w:p>
        </w:tc>
        <w:tc>
          <w:tcPr>
            <w:tcW w:w="624" w:type="dxa"/>
          </w:tcPr>
          <w:p w14:paraId="74869951" w14:textId="77777777" w:rsidR="00AB1622" w:rsidRPr="00AB1622" w:rsidRDefault="00AB1622" w:rsidP="00AB1622">
            <w:pPr>
              <w:pStyle w:val="TableText"/>
              <w:ind w:right="0"/>
              <w:jc w:val="both"/>
              <w:rPr>
                <w:rtl/>
              </w:rPr>
            </w:pPr>
          </w:p>
        </w:tc>
        <w:tc>
          <w:tcPr>
            <w:tcW w:w="5895" w:type="dxa"/>
            <w:gridSpan w:val="3"/>
          </w:tcPr>
          <w:p w14:paraId="31F664E7" w14:textId="3D3F9F81" w:rsidR="00AB1622" w:rsidRPr="00AB1622" w:rsidRDefault="00AB1622" w:rsidP="00AB1622">
            <w:pPr>
              <w:pStyle w:val="TableBlock"/>
              <w:rPr>
                <w:rtl/>
              </w:rPr>
            </w:pPr>
            <w:r>
              <w:rPr>
                <w:rFonts w:hint="cs"/>
                <w:rtl/>
              </w:rPr>
              <w:t>(2)</w:t>
            </w:r>
            <w:r>
              <w:rPr>
                <w:rtl/>
              </w:rPr>
              <w:tab/>
            </w:r>
            <w:r>
              <w:rPr>
                <w:rFonts w:hint="cs"/>
                <w:rtl/>
              </w:rPr>
              <w:t xml:space="preserve">התכנית כוללת </w:t>
            </w:r>
            <w:r w:rsidRPr="00AB1622">
              <w:rPr>
                <w:rFonts w:hint="cs"/>
                <w:rtl/>
              </w:rPr>
              <w:t>כריתת עץ שקוטר גזעו, הנמדד בגובה 130 סנטימטרים מעל פני הקרקע, הוא 40 סנטימטרים ומעלה.</w:t>
            </w:r>
            <w:r>
              <w:rPr>
                <w:rFonts w:hint="cs"/>
                <w:rtl/>
              </w:rPr>
              <w:t>"</w:t>
            </w:r>
          </w:p>
        </w:tc>
      </w:tr>
      <w:tr w:rsidR="002E7198" w14:paraId="3B314C25" w14:textId="77777777" w:rsidTr="0049211D">
        <w:trPr>
          <w:cantSplit/>
          <w:trHeight w:val="60"/>
        </w:trPr>
        <w:tc>
          <w:tcPr>
            <w:tcW w:w="1871" w:type="dxa"/>
          </w:tcPr>
          <w:p w14:paraId="4488CC97" w14:textId="77777777" w:rsidR="002E7198" w:rsidRDefault="002E7198" w:rsidP="0049211D">
            <w:pPr>
              <w:pStyle w:val="TableSideHeading"/>
              <w:keepLines w:val="0"/>
              <w:rPr>
                <w:rtl/>
              </w:rPr>
            </w:pPr>
            <w:r>
              <w:rPr>
                <w:rFonts w:hint="cs"/>
                <w:sz w:val="26"/>
                <w:rtl/>
              </w:rPr>
              <w:t>תיקון סעיף 92</w:t>
            </w:r>
          </w:p>
        </w:tc>
        <w:tc>
          <w:tcPr>
            <w:tcW w:w="624" w:type="dxa"/>
          </w:tcPr>
          <w:p w14:paraId="4F1D902D" w14:textId="77777777" w:rsidR="002E7198" w:rsidRDefault="002E7198" w:rsidP="0049211D">
            <w:pPr>
              <w:pStyle w:val="TableText"/>
              <w:keepLines w:val="0"/>
            </w:pPr>
            <w:r>
              <w:rPr>
                <w:rFonts w:hint="cs"/>
                <w:rtl/>
              </w:rPr>
              <w:t>5.</w:t>
            </w:r>
          </w:p>
        </w:tc>
        <w:tc>
          <w:tcPr>
            <w:tcW w:w="7146" w:type="dxa"/>
            <w:gridSpan w:val="5"/>
          </w:tcPr>
          <w:p w14:paraId="3C30E796" w14:textId="6BFAE3F5" w:rsidR="002E7198" w:rsidRDefault="002E7198" w:rsidP="0049211D">
            <w:pPr>
              <w:pStyle w:val="TableBlock"/>
              <w:keepLines w:val="0"/>
              <w:rPr>
                <w:rFonts w:eastAsia="Arial"/>
                <w:sz w:val="26"/>
                <w:rtl/>
              </w:rPr>
            </w:pPr>
            <w:r w:rsidRPr="00970A48">
              <w:rPr>
                <w:sz w:val="26"/>
                <w:rtl/>
              </w:rPr>
              <w:t xml:space="preserve">בסעיף 92 </w:t>
            </w:r>
            <w:r w:rsidR="00AB1622">
              <w:rPr>
                <w:sz w:val="26"/>
                <w:rtl/>
              </w:rPr>
              <w:t>לחוק, אחרי סעיף קטן (א)</w:t>
            </w:r>
            <w:r w:rsidRPr="00970A48">
              <w:rPr>
                <w:sz w:val="26"/>
                <w:rtl/>
              </w:rPr>
              <w:t xml:space="preserve"> יבוא:</w:t>
            </w:r>
          </w:p>
        </w:tc>
      </w:tr>
      <w:tr w:rsidR="002E7198" w14:paraId="3E941231" w14:textId="77777777" w:rsidTr="0049211D">
        <w:trPr>
          <w:cantSplit/>
          <w:trHeight w:val="60"/>
        </w:trPr>
        <w:tc>
          <w:tcPr>
            <w:tcW w:w="1871" w:type="dxa"/>
          </w:tcPr>
          <w:p w14:paraId="6D42FB6F" w14:textId="77777777" w:rsidR="002E7198" w:rsidRDefault="002E7198" w:rsidP="0049211D">
            <w:pPr>
              <w:pStyle w:val="TableSideHeading"/>
              <w:keepLines w:val="0"/>
              <w:rPr>
                <w:sz w:val="26"/>
                <w:rtl/>
              </w:rPr>
            </w:pPr>
          </w:p>
        </w:tc>
        <w:tc>
          <w:tcPr>
            <w:tcW w:w="624" w:type="dxa"/>
          </w:tcPr>
          <w:p w14:paraId="3DB4C2EA" w14:textId="77777777" w:rsidR="002E7198" w:rsidRDefault="002E7198" w:rsidP="0049211D">
            <w:pPr>
              <w:pStyle w:val="TableText"/>
              <w:rPr>
                <w:rtl/>
              </w:rPr>
            </w:pPr>
          </w:p>
        </w:tc>
        <w:tc>
          <w:tcPr>
            <w:tcW w:w="7146" w:type="dxa"/>
            <w:gridSpan w:val="5"/>
          </w:tcPr>
          <w:p w14:paraId="5AA672EF" w14:textId="37273F9E" w:rsidR="002E7198" w:rsidRPr="00970A48" w:rsidRDefault="00AB1622" w:rsidP="0049211D">
            <w:pPr>
              <w:pStyle w:val="TableBlock"/>
              <w:keepLines w:val="0"/>
              <w:rPr>
                <w:sz w:val="26"/>
                <w:rtl/>
              </w:rPr>
            </w:pPr>
            <w:r>
              <w:rPr>
                <w:sz w:val="26"/>
                <w:rtl/>
              </w:rPr>
              <w:t>"(א1)</w:t>
            </w:r>
            <w:r>
              <w:rPr>
                <w:sz w:val="26"/>
                <w:rtl/>
              </w:rPr>
              <w:tab/>
            </w:r>
            <w:r w:rsidR="002E7198" w:rsidRPr="00970A48">
              <w:rPr>
                <w:sz w:val="26"/>
                <w:rtl/>
              </w:rPr>
              <w:t>היו בתחום התכנית עצים בוגרים כהגדרתם בסעיף 83ג, תכלול ההודעה על הפקדת התכנית גם את עיקרי הוראות התכנית ביחס לעצים הבוגרים</w:t>
            </w:r>
            <w:r w:rsidR="002E7198">
              <w:rPr>
                <w:rFonts w:hint="cs"/>
                <w:sz w:val="26"/>
                <w:rtl/>
              </w:rPr>
              <w:t xml:space="preserve"> ומספר העצים הצפויים להיפגע; </w:t>
            </w:r>
            <w:r w:rsidR="002E7198" w:rsidRPr="00970A48">
              <w:rPr>
                <w:sz w:val="26"/>
                <w:rtl/>
              </w:rPr>
              <w:t xml:space="preserve"> </w:t>
            </w:r>
            <w:proofErr w:type="spellStart"/>
            <w:r w:rsidR="002E7198" w:rsidRPr="00970A48">
              <w:rPr>
                <w:sz w:val="26"/>
                <w:rtl/>
              </w:rPr>
              <w:t>תשריט</w:t>
            </w:r>
            <w:proofErr w:type="spellEnd"/>
            <w:r w:rsidR="002E7198" w:rsidRPr="00970A48">
              <w:rPr>
                <w:sz w:val="26"/>
                <w:rtl/>
              </w:rPr>
              <w:t xml:space="preserve"> התכנית </w:t>
            </w:r>
            <w:r w:rsidR="002E7198">
              <w:rPr>
                <w:rFonts w:hint="cs"/>
                <w:sz w:val="26"/>
                <w:rtl/>
              </w:rPr>
              <w:t xml:space="preserve">כאמור יכלול </w:t>
            </w:r>
            <w:r w:rsidR="002E7198" w:rsidRPr="00970A48">
              <w:rPr>
                <w:sz w:val="26"/>
                <w:rtl/>
              </w:rPr>
              <w:t xml:space="preserve"> </w:t>
            </w:r>
            <w:r w:rsidR="002E7198">
              <w:rPr>
                <w:rFonts w:hint="cs"/>
                <w:sz w:val="26"/>
                <w:rtl/>
              </w:rPr>
              <w:t xml:space="preserve">את </w:t>
            </w:r>
            <w:r w:rsidR="002E7198" w:rsidRPr="00970A48">
              <w:rPr>
                <w:sz w:val="26"/>
                <w:rtl/>
              </w:rPr>
              <w:t>סימון העצים הבוגרים בתחום התכנית וסימון העצים שצפוי</w:t>
            </w:r>
            <w:r>
              <w:rPr>
                <w:sz w:val="26"/>
                <w:rtl/>
              </w:rPr>
              <w:t>ים להיפגע כתוצאה מביצוע התכנית</w:t>
            </w:r>
            <w:r>
              <w:rPr>
                <w:rFonts w:hint="cs"/>
                <w:sz w:val="26"/>
                <w:rtl/>
              </w:rPr>
              <w:t>.</w:t>
            </w:r>
            <w:r>
              <w:rPr>
                <w:sz w:val="26"/>
                <w:rtl/>
              </w:rPr>
              <w:t>"</w:t>
            </w:r>
          </w:p>
        </w:tc>
      </w:tr>
      <w:tr w:rsidR="002E7198" w14:paraId="4B0DD04F" w14:textId="77777777" w:rsidTr="0049211D">
        <w:trPr>
          <w:cantSplit/>
          <w:trHeight w:val="60"/>
        </w:trPr>
        <w:tc>
          <w:tcPr>
            <w:tcW w:w="1871" w:type="dxa"/>
          </w:tcPr>
          <w:p w14:paraId="518AB3B2" w14:textId="77777777" w:rsidR="002E7198" w:rsidRDefault="002E7198" w:rsidP="0049211D">
            <w:pPr>
              <w:pStyle w:val="TableSideHeading"/>
              <w:keepLines w:val="0"/>
              <w:rPr>
                <w:sz w:val="26"/>
                <w:rtl/>
              </w:rPr>
            </w:pPr>
            <w:r>
              <w:rPr>
                <w:rFonts w:hint="cs"/>
                <w:sz w:val="26"/>
                <w:rtl/>
              </w:rPr>
              <w:t>תחילה</w:t>
            </w:r>
          </w:p>
        </w:tc>
        <w:tc>
          <w:tcPr>
            <w:tcW w:w="624" w:type="dxa"/>
          </w:tcPr>
          <w:p w14:paraId="511CA1F5" w14:textId="77777777" w:rsidR="002E7198" w:rsidDel="00D16A97" w:rsidRDefault="002E7198" w:rsidP="0049211D">
            <w:pPr>
              <w:pStyle w:val="TableText"/>
              <w:rPr>
                <w:rtl/>
              </w:rPr>
            </w:pPr>
            <w:r>
              <w:rPr>
                <w:rFonts w:hint="cs"/>
                <w:rtl/>
              </w:rPr>
              <w:t>6.</w:t>
            </w:r>
          </w:p>
        </w:tc>
        <w:tc>
          <w:tcPr>
            <w:tcW w:w="7146" w:type="dxa"/>
            <w:gridSpan w:val="5"/>
          </w:tcPr>
          <w:p w14:paraId="527E1C3A" w14:textId="77777777" w:rsidR="002E7198" w:rsidRPr="00970A48" w:rsidRDefault="002E7198" w:rsidP="0049211D">
            <w:pPr>
              <w:pStyle w:val="TableBlock"/>
              <w:keepLines w:val="0"/>
              <w:rPr>
                <w:sz w:val="26"/>
                <w:rtl/>
              </w:rPr>
            </w:pPr>
            <w:r w:rsidRPr="00970A48">
              <w:rPr>
                <w:sz w:val="26"/>
                <w:rtl/>
              </w:rPr>
              <w:t>תחילתו של חוק זה שלושה חודשים מיום פרסומו</w:t>
            </w:r>
            <w:r>
              <w:rPr>
                <w:rFonts w:hint="cs"/>
                <w:sz w:val="26"/>
                <w:rtl/>
              </w:rPr>
              <w:t>.</w:t>
            </w:r>
          </w:p>
        </w:tc>
      </w:tr>
    </w:tbl>
    <w:p w14:paraId="6BFD4E79" w14:textId="77777777" w:rsidR="002E7198" w:rsidRDefault="002E7198" w:rsidP="002E7198">
      <w:pPr>
        <w:pStyle w:val="HeadDivreiHesber"/>
        <w:rPr>
          <w:rtl/>
        </w:rPr>
      </w:pPr>
      <w:r w:rsidRPr="0027450A">
        <w:rPr>
          <w:rFonts w:hint="cs"/>
          <w:rtl/>
        </w:rPr>
        <w:t>דברי הסבר</w:t>
      </w:r>
    </w:p>
    <w:p w14:paraId="6FB867BF" w14:textId="3A57B600" w:rsidR="002E7198" w:rsidRDefault="002E7198" w:rsidP="00AB1622">
      <w:pPr>
        <w:pStyle w:val="Hesber"/>
        <w:spacing w:line="276" w:lineRule="auto"/>
        <w:rPr>
          <w:rtl/>
        </w:rPr>
      </w:pPr>
      <w:r>
        <w:rPr>
          <w:rtl/>
        </w:rPr>
        <w:t xml:space="preserve">מטרתה של הצעה זו </w:t>
      </w:r>
      <w:r>
        <w:rPr>
          <w:rFonts w:hint="cs"/>
          <w:rtl/>
        </w:rPr>
        <w:t xml:space="preserve">היא </w:t>
      </w:r>
      <w:r>
        <w:rPr>
          <w:rtl/>
        </w:rPr>
        <w:t xml:space="preserve">לשפר את ההגנה הניתנת לעצים בוגרים ולאילנות, תוך שמירת האיזון בין אינטרס ההגנה על העצים לבין אינטרסים </w:t>
      </w:r>
      <w:r>
        <w:rPr>
          <w:rFonts w:hint="cs"/>
          <w:rtl/>
        </w:rPr>
        <w:t>נוספים. לשם כך מוצעים במסגרת הצעת החוק מספר הסדרים. כך מוצע הסדר הנוגע ל</w:t>
      </w:r>
      <w:r>
        <w:rPr>
          <w:rtl/>
        </w:rPr>
        <w:t xml:space="preserve">יידוע הציבור </w:t>
      </w:r>
      <w:r>
        <w:rPr>
          <w:rFonts w:hint="cs"/>
          <w:rtl/>
        </w:rPr>
        <w:t>לגבי כריתת עצים מתוכננת ולהגברת מעורבות הציבור בהגנה על עצים הנתונים בסכנה, הסדר ל</w:t>
      </w:r>
      <w:r>
        <w:rPr>
          <w:rtl/>
        </w:rPr>
        <w:t xml:space="preserve">הבטחת </w:t>
      </w:r>
      <w:r>
        <w:rPr>
          <w:rFonts w:hint="cs"/>
          <w:rtl/>
        </w:rPr>
        <w:t xml:space="preserve">קיום </w:t>
      </w:r>
      <w:r>
        <w:rPr>
          <w:rtl/>
        </w:rPr>
        <w:t>הוראות פקודת היערות במסגרת הליכי התכנון</w:t>
      </w:r>
      <w:r>
        <w:rPr>
          <w:rFonts w:hint="cs"/>
          <w:rtl/>
        </w:rPr>
        <w:t xml:space="preserve"> ולהבטחת עצמאות שיקול הדעת של פקיד היערות בנוגע לבקשות לרישיון כריתה וכן הסדר להקמת קרן שבין מטרותיה קידום נטיעת עצים חדשים כחלופה לעצים שנכרתו. </w:t>
      </w:r>
    </w:p>
    <w:p w14:paraId="10710AE4" w14:textId="1F486AD9" w:rsidR="002E7198" w:rsidRDefault="002E7198" w:rsidP="00AB1622">
      <w:pPr>
        <w:pStyle w:val="Hesber"/>
        <w:spacing w:line="276" w:lineRule="auto"/>
        <w:rPr>
          <w:rtl/>
        </w:rPr>
      </w:pPr>
      <w:r>
        <w:rPr>
          <w:rtl/>
        </w:rPr>
        <w:lastRenderedPageBreak/>
        <w:t>כידוע, לעצים בוגרים תפקיד</w:t>
      </w:r>
      <w:r>
        <w:rPr>
          <w:rFonts w:hint="cs"/>
          <w:rtl/>
        </w:rPr>
        <w:t>ים</w:t>
      </w:r>
      <w:r>
        <w:rPr>
          <w:rtl/>
        </w:rPr>
        <w:t xml:space="preserve"> חשוב</w:t>
      </w:r>
      <w:r>
        <w:rPr>
          <w:rFonts w:hint="cs"/>
          <w:rtl/>
        </w:rPr>
        <w:t>ים</w:t>
      </w:r>
      <w:r>
        <w:rPr>
          <w:rtl/>
        </w:rPr>
        <w:t xml:space="preserve"> ביותר בסביבת החיים האנושית, במיוחד בנופים האורבניים</w:t>
      </w:r>
      <w:r>
        <w:rPr>
          <w:rFonts w:hint="cs"/>
          <w:rtl/>
        </w:rPr>
        <w:t xml:space="preserve"> </w:t>
      </w:r>
      <w:r w:rsidR="00AB1622">
        <w:rPr>
          <w:rFonts w:hint="eastAsia"/>
          <w:rtl/>
        </w:rPr>
        <w:t>–</w:t>
      </w:r>
      <w:r w:rsidR="00AB1622">
        <w:rPr>
          <w:rFonts w:hint="cs"/>
          <w:rtl/>
        </w:rPr>
        <w:t xml:space="preserve"> </w:t>
      </w:r>
      <w:r>
        <w:rPr>
          <w:rFonts w:hint="cs"/>
          <w:rtl/>
        </w:rPr>
        <w:t>לרבות הצללה, הפחתת החום, שיפור איכות האוויר, מיתון הרעש, תרומה למגוון הביולוגי ושיפור האסתטיקה העירונית. מעבר לכך</w:t>
      </w:r>
      <w:r>
        <w:rPr>
          <w:rtl/>
        </w:rPr>
        <w:t xml:space="preserve">, </w:t>
      </w:r>
      <w:r w:rsidRPr="00650E2C">
        <w:rPr>
          <w:rtl/>
        </w:rPr>
        <w:t>לפי מחקרים רבים, עצים הם פתרון קריטי לפתרון משבר האקלים</w:t>
      </w:r>
      <w:r>
        <w:rPr>
          <w:rFonts w:hint="cs"/>
          <w:rtl/>
        </w:rPr>
        <w:t xml:space="preserve">, אשר אופן ההתמודדות עמו עשוי להשפיע רבות על הדורות הבאים. </w:t>
      </w:r>
      <w:r w:rsidRPr="00650E2C">
        <w:rPr>
          <w:rtl/>
        </w:rPr>
        <w:t xml:space="preserve">. עצים סופחים </w:t>
      </w:r>
      <w:r>
        <w:rPr>
          <w:rFonts w:hint="cs"/>
          <w:rtl/>
        </w:rPr>
        <w:t>חנקן</w:t>
      </w:r>
      <w:r w:rsidRPr="00650E2C">
        <w:rPr>
          <w:rtl/>
        </w:rPr>
        <w:t xml:space="preserve"> מן האוויר, לוכדים מזהמים כמו </w:t>
      </w:r>
      <w:r>
        <w:rPr>
          <w:rFonts w:hint="cs"/>
          <w:rtl/>
        </w:rPr>
        <w:t>פחמן</w:t>
      </w:r>
      <w:r w:rsidRPr="00650E2C">
        <w:rPr>
          <w:rtl/>
        </w:rPr>
        <w:t xml:space="preserve"> דו-חמצני ומזהמים הנפלטים מתחבורה, ומאטים אקטיבית את החרפת המשבר</w:t>
      </w:r>
      <w:r w:rsidRPr="00650E2C">
        <w:t>.</w:t>
      </w:r>
      <w:r>
        <w:rPr>
          <w:rFonts w:hint="cs"/>
          <w:rtl/>
        </w:rPr>
        <w:t xml:space="preserve"> זאת ועוד, </w:t>
      </w:r>
      <w:r w:rsidRPr="00650E2C">
        <w:rPr>
          <w:rFonts w:hint="cs"/>
          <w:rtl/>
        </w:rPr>
        <w:t>העצים</w:t>
      </w:r>
      <w:r w:rsidRPr="00650E2C">
        <w:rPr>
          <w:rtl/>
        </w:rPr>
        <w:t xml:space="preserve"> מסייע</w:t>
      </w:r>
      <w:r w:rsidRPr="00650E2C">
        <w:rPr>
          <w:rFonts w:hint="cs"/>
          <w:rtl/>
        </w:rPr>
        <w:t>ים</w:t>
      </w:r>
      <w:r w:rsidRPr="00650E2C">
        <w:rPr>
          <w:rtl/>
        </w:rPr>
        <w:t xml:space="preserve"> להורדת הטמפרטורה בסביבת</w:t>
      </w:r>
      <w:r w:rsidRPr="00650E2C">
        <w:rPr>
          <w:rFonts w:hint="cs"/>
          <w:rtl/>
        </w:rPr>
        <w:t>ם</w:t>
      </w:r>
      <w:r w:rsidRPr="00650E2C">
        <w:rPr>
          <w:rtl/>
        </w:rPr>
        <w:t xml:space="preserve"> </w:t>
      </w:r>
      <w:r w:rsidRPr="00650E2C">
        <w:rPr>
          <w:rFonts w:hint="cs"/>
          <w:rtl/>
        </w:rPr>
        <w:t xml:space="preserve">ומהווים בית גידול לבעלי חיים רבים. </w:t>
      </w:r>
    </w:p>
    <w:p w14:paraId="5BBB9415" w14:textId="69FFFFA3" w:rsidR="002E7198" w:rsidRDefault="002E7198" w:rsidP="00AB1622">
      <w:pPr>
        <w:pStyle w:val="Hesber"/>
        <w:spacing w:line="276" w:lineRule="auto"/>
        <w:rPr>
          <w:rtl/>
        </w:rPr>
      </w:pPr>
      <w:r>
        <w:rPr>
          <w:rtl/>
        </w:rPr>
        <w:t>למרות ההוראות הברורות הקיימות בעניין</w:t>
      </w:r>
      <w:r>
        <w:rPr>
          <w:rFonts w:hint="cs"/>
          <w:rtl/>
        </w:rPr>
        <w:t xml:space="preserve"> אופן מתן רישיונות לכריתת עצים</w:t>
      </w:r>
      <w:r>
        <w:rPr>
          <w:rtl/>
        </w:rPr>
        <w:t xml:space="preserve"> בפקודת היערות, בשנים האחרונות אנו נתקלים שוב ושוב במקרים בהם נכרתים עצים ללא הצדקה נראית לעין, או</w:t>
      </w:r>
      <w:r>
        <w:rPr>
          <w:rFonts w:hint="cs"/>
          <w:rtl/>
        </w:rPr>
        <w:t xml:space="preserve"> במקרים שבהם</w:t>
      </w:r>
      <w:r>
        <w:rPr>
          <w:rtl/>
        </w:rPr>
        <w:t xml:space="preserve"> </w:t>
      </w:r>
      <w:r>
        <w:rPr>
          <w:rFonts w:hint="cs"/>
          <w:rtl/>
        </w:rPr>
        <w:t xml:space="preserve">שיקולי ההגנה על עצים בוגרים אינם נשקלים די הצורך בעת </w:t>
      </w:r>
      <w:r>
        <w:rPr>
          <w:rtl/>
        </w:rPr>
        <w:t xml:space="preserve">תכנון וגיבוש תכניות </w:t>
      </w:r>
      <w:r>
        <w:rPr>
          <w:rFonts w:hint="cs"/>
          <w:rtl/>
        </w:rPr>
        <w:t>ל</w:t>
      </w:r>
      <w:r>
        <w:rPr>
          <w:rtl/>
        </w:rPr>
        <w:t>פיתוח</w:t>
      </w:r>
      <w:r>
        <w:rPr>
          <w:rFonts w:hint="cs"/>
          <w:rtl/>
        </w:rPr>
        <w:t xml:space="preserve">. </w:t>
      </w:r>
      <w:r>
        <w:rPr>
          <w:rtl/>
        </w:rPr>
        <w:t xml:space="preserve">אחת הדרכים החשובות לאזן בין האינטרס של שמירת העצים לבין אינטרסים שונים שמביאים לפגיעה בהם, היא להבטיח את יידוע הציבור הרחב בנוגע לזכויותיו לשמירת העצים הנתונים בסכנה. </w:t>
      </w:r>
      <w:r>
        <w:rPr>
          <w:rFonts w:hint="cs"/>
          <w:rtl/>
        </w:rPr>
        <w:t xml:space="preserve">כיום אחוז הערעורים על רישיונות כריתה נמוך מאוד, והדבר מעיד על חוסר מודעות של הציבור למתן רישיונות אלו ולכריתת עצים המתוכננת בסביבתו. </w:t>
      </w:r>
      <w:r>
        <w:rPr>
          <w:rtl/>
        </w:rPr>
        <w:t xml:space="preserve">לשם כך מוצע </w:t>
      </w:r>
      <w:r>
        <w:rPr>
          <w:rFonts w:hint="cs"/>
          <w:rtl/>
        </w:rPr>
        <w:t>להוסיף סעיף קטן</w:t>
      </w:r>
      <w:r>
        <w:rPr>
          <w:rtl/>
        </w:rPr>
        <w:t xml:space="preserve"> </w:t>
      </w:r>
      <w:r>
        <w:rPr>
          <w:rFonts w:hint="cs"/>
          <w:rtl/>
        </w:rPr>
        <w:t>בסעיף 15א לפקודת היערות אשר מחייב הצבת שלט בשטח בו צפויים להיכרת או להיפגע עצים. מעבר לכך, מוצע כי בעל רישיון כריתה יידר</w:t>
      </w:r>
      <w:r>
        <w:rPr>
          <w:rFonts w:hint="eastAsia"/>
          <w:rtl/>
        </w:rPr>
        <w:t>ש</w:t>
      </w:r>
      <w:r>
        <w:rPr>
          <w:rFonts w:hint="cs"/>
          <w:rtl/>
        </w:rPr>
        <w:t xml:space="preserve"> להחזיקו ולהציגו לכל דורש בעת ביצוע הכריתה, על מנת לחזק את האכיפה בנושא ולמנוע מצבים של כריתת עצים ללא רישיון כנדרש. </w:t>
      </w:r>
    </w:p>
    <w:p w14:paraId="462CDFDE" w14:textId="51EDFE95" w:rsidR="002E7198" w:rsidRDefault="002E7198" w:rsidP="00AB1622">
      <w:pPr>
        <w:pStyle w:val="Hesber"/>
        <w:spacing w:line="276" w:lineRule="auto"/>
        <w:rPr>
          <w:rtl/>
        </w:rPr>
      </w:pPr>
      <w:r>
        <w:rPr>
          <w:rFonts w:hint="cs"/>
          <w:rtl/>
        </w:rPr>
        <w:t xml:space="preserve"> עוד מבקשת הצעת החוק לתקן את</w:t>
      </w:r>
      <w:r>
        <w:rPr>
          <w:rtl/>
        </w:rPr>
        <w:t xml:space="preserve"> סעיף 83ג לחוק התכנון והבנייה, המסדיר את התכנון הנוגע לעצים, </w:t>
      </w:r>
      <w:r>
        <w:rPr>
          <w:rFonts w:hint="cs"/>
          <w:rtl/>
        </w:rPr>
        <w:t xml:space="preserve"> ולקבוע כי תנאי להפקדת תכנית יהיה קבלת  חוות דעת מפקיד היערות בעניין הצורך בכריתה או בשימור עצים הנכללים באותה תכנית. זאת בניגוד למצב הקבוע היום לפיו נדרשת חוות דעתו של פקיד היערות רק בשלב אישור התכנית, ורק לגבי תכניות מסוימות שלגביהן קבע שר הפנים בתקנות את חובת ההתייעצות עם פקיד היערות כאמור. במצב הקיים כיום קורה </w:t>
      </w:r>
      <w:r>
        <w:rPr>
          <w:rtl/>
        </w:rPr>
        <w:t xml:space="preserve">לא פעם </w:t>
      </w:r>
      <w:r>
        <w:rPr>
          <w:rFonts w:hint="cs"/>
          <w:rtl/>
        </w:rPr>
        <w:t xml:space="preserve">שפקידי היערות </w:t>
      </w:r>
      <w:r>
        <w:rPr>
          <w:rtl/>
        </w:rPr>
        <w:t>מתבקשים</w:t>
      </w:r>
      <w:r>
        <w:rPr>
          <w:rFonts w:hint="cs"/>
          <w:rtl/>
        </w:rPr>
        <w:t xml:space="preserve"> למעשה</w:t>
      </w:r>
      <w:r>
        <w:rPr>
          <w:rtl/>
        </w:rPr>
        <w:t xml:space="preserve"> ל</w:t>
      </w:r>
      <w:r>
        <w:rPr>
          <w:rFonts w:hint="cs"/>
          <w:rtl/>
        </w:rPr>
        <w:t>תת רישיון</w:t>
      </w:r>
      <w:r>
        <w:rPr>
          <w:rtl/>
        </w:rPr>
        <w:t xml:space="preserve"> </w:t>
      </w:r>
      <w:r>
        <w:rPr>
          <w:rFonts w:hint="cs"/>
          <w:rtl/>
        </w:rPr>
        <w:t>ל</w:t>
      </w:r>
      <w:r>
        <w:rPr>
          <w:rtl/>
        </w:rPr>
        <w:t xml:space="preserve">כריתת עצים מכוח תכנית שכבר אושרה, </w:t>
      </w:r>
      <w:r>
        <w:rPr>
          <w:rFonts w:hint="cs"/>
          <w:rtl/>
        </w:rPr>
        <w:t>וה</w:t>
      </w:r>
      <w:r>
        <w:rPr>
          <w:rtl/>
        </w:rPr>
        <w:t>דבר פוגע בעצמאות שיקול הדעת ש</w:t>
      </w:r>
      <w:r>
        <w:rPr>
          <w:rFonts w:hint="cs"/>
          <w:rtl/>
        </w:rPr>
        <w:t xml:space="preserve">הם מוסמכים </w:t>
      </w:r>
      <w:r>
        <w:rPr>
          <w:rtl/>
        </w:rPr>
        <w:t xml:space="preserve"> להפעיל מכ</w:t>
      </w:r>
      <w:r w:rsidR="00AB1622">
        <w:rPr>
          <w:rFonts w:hint="cs"/>
          <w:rtl/>
        </w:rPr>
        <w:t>ו</w:t>
      </w:r>
      <w:r>
        <w:rPr>
          <w:rtl/>
        </w:rPr>
        <w:t>ח סעיף 15א לפקודת היערות</w:t>
      </w:r>
      <w:r>
        <w:rPr>
          <w:rFonts w:hint="cs"/>
          <w:rtl/>
        </w:rPr>
        <w:t>, ועל כן מבקשת הצעת החוק לתקן מצב זה</w:t>
      </w:r>
      <w:r>
        <w:rPr>
          <w:rtl/>
        </w:rPr>
        <w:t xml:space="preserve"> </w:t>
      </w:r>
    </w:p>
    <w:p w14:paraId="42951340" w14:textId="77777777" w:rsidR="002E7198" w:rsidRDefault="002E7198" w:rsidP="00AB1622">
      <w:pPr>
        <w:pStyle w:val="Hesber"/>
        <w:spacing w:line="276" w:lineRule="auto"/>
        <w:rPr>
          <w:rtl/>
        </w:rPr>
      </w:pPr>
      <w:r>
        <w:rPr>
          <w:rFonts w:hint="cs"/>
          <w:rtl/>
        </w:rPr>
        <w:t xml:space="preserve">בנוסף לכך, הצעת חוק זו מבקשת להבטיח  כי ההכנסות מההיטלים המשולמים בגין קבלת רישיון לכריתת עצים ישמשו למטרת נטיעתם של עצים חדשים ושמירה על המאזן האקולוגי.  פקודת היערות קובעת כבר כיום, כי ברישיון לכריתת עץ, יש לקבוע תנאים לביצוע נטיעה חלופית במקום העץ שנכרת,  וכי במקום שבו נטיעה חלופית אינה מתאפשרת, יותנה רישיון הכריתה בתשלום היטל  בסכום שייקבע בתקנות. תקנות לעניין סכומי ההיטלים לא נקבעו עד היום ועל כן הוראות  החוק בעניין זה אינן מקוימות כיום למעשה. יחד עם זאת, כדי לאפשר שימוש נכון ומושכל בכספי ההיטלים שיוטלו לאחר קביעת התקנות האמורות, מבקשת ההצעה לקבוע כי תוקם  קרן ייעודית חדשה, שבה ירוכזו כספי ההיטלים כאמור. הקרן תוכל לרכז את הכספים ולהשתמש בהם לצורך נטיעות חלופיות חדשות , כפי שקובע החוק </w:t>
      </w:r>
      <w:r w:rsidRPr="002A0A11">
        <w:rPr>
          <w:rtl/>
        </w:rPr>
        <w:t>תוך תכנון קפדני ובחינה של התאמת</w:t>
      </w:r>
      <w:r>
        <w:rPr>
          <w:rFonts w:hint="cs"/>
          <w:rtl/>
        </w:rPr>
        <w:t xml:space="preserve"> הנטיעות </w:t>
      </w:r>
      <w:r w:rsidRPr="002A0A11">
        <w:rPr>
          <w:rtl/>
        </w:rPr>
        <w:t xml:space="preserve"> למערכות האקולוגיות הקיי</w:t>
      </w:r>
      <w:r w:rsidRPr="002A0A11">
        <w:rPr>
          <w:rFonts w:hint="cs"/>
          <w:rtl/>
        </w:rPr>
        <w:t>מות</w:t>
      </w:r>
      <w:r>
        <w:rPr>
          <w:rFonts w:hint="cs"/>
          <w:rtl/>
        </w:rPr>
        <w:t xml:space="preserve"> בישראל.</w:t>
      </w:r>
    </w:p>
    <w:p w14:paraId="6C1062A7" w14:textId="2AC34BDD" w:rsidR="002E7198" w:rsidRDefault="002E7198" w:rsidP="00AB1622">
      <w:pPr>
        <w:pStyle w:val="Hesber"/>
        <w:spacing w:line="276" w:lineRule="auto"/>
        <w:rPr>
          <w:rtl/>
        </w:rPr>
      </w:pPr>
      <w:r>
        <w:rPr>
          <w:rFonts w:hint="cs"/>
          <w:rtl/>
        </w:rPr>
        <w:t>השילוב של כלל השינויים המוצעים לעיל</w:t>
      </w:r>
      <w:r>
        <w:rPr>
          <w:rtl/>
        </w:rPr>
        <w:t xml:space="preserve"> </w:t>
      </w:r>
      <w:r>
        <w:rPr>
          <w:rFonts w:hint="cs"/>
          <w:rtl/>
        </w:rPr>
        <w:t>צפוי</w:t>
      </w:r>
      <w:r>
        <w:rPr>
          <w:rtl/>
        </w:rPr>
        <w:t xml:space="preserve"> להבטיח לעצים את ההגנה הנאותה שהם</w:t>
      </w:r>
      <w:r>
        <w:rPr>
          <w:rFonts w:hint="cs"/>
          <w:rtl/>
        </w:rPr>
        <w:t xml:space="preserve">, </w:t>
      </w:r>
      <w:r>
        <w:rPr>
          <w:rtl/>
        </w:rPr>
        <w:t>וכלל הציבור הנהנה מהם</w:t>
      </w:r>
      <w:r>
        <w:rPr>
          <w:rFonts w:hint="cs"/>
          <w:rtl/>
        </w:rPr>
        <w:t xml:space="preserve">, </w:t>
      </w:r>
      <w:r>
        <w:rPr>
          <w:rtl/>
        </w:rPr>
        <w:t>ראויים לה.</w:t>
      </w:r>
    </w:p>
    <w:p w14:paraId="7F6961AE" w14:textId="324C7924" w:rsidR="00E13C27" w:rsidRDefault="002E7198" w:rsidP="00AB1622">
      <w:pPr>
        <w:pStyle w:val="Hesber"/>
        <w:spacing w:line="276" w:lineRule="auto"/>
        <w:rPr>
          <w:rFonts w:hint="cs"/>
          <w:rtl/>
        </w:rPr>
      </w:pPr>
      <w:r w:rsidRPr="00AB1622">
        <w:rPr>
          <w:rtl/>
        </w:rPr>
        <w:t xml:space="preserve">הצעות חוק דומות </w:t>
      </w:r>
      <w:r w:rsidR="009A39D0" w:rsidRPr="00AB1622">
        <w:rPr>
          <w:rFonts w:hint="cs"/>
          <w:rtl/>
        </w:rPr>
        <w:t xml:space="preserve">בעיקרן </w:t>
      </w:r>
      <w:r w:rsidRPr="00AB1622">
        <w:rPr>
          <w:rtl/>
        </w:rPr>
        <w:t xml:space="preserve">הונחו על שולחן הכנסת העשרים על ידי חברת הכנסת יעל גרמן וקבוצת חברי הכנסת (פ/5656/20), על שולחן הכנסת העשרים ואחת על ידי חברות הכנסת יעל גרמן ומיקי חיימוביץ' (פ/304/21) </w:t>
      </w:r>
      <w:r w:rsidR="00AB1622">
        <w:rPr>
          <w:rFonts w:hint="cs"/>
          <w:rtl/>
        </w:rPr>
        <w:t>ו</w:t>
      </w:r>
      <w:r w:rsidRPr="00AB1622">
        <w:rPr>
          <w:rtl/>
        </w:rPr>
        <w:t xml:space="preserve">על שולחן הכנסת העשרים ושתיים על ידי חברות הכנסת יעל גרמן ומיקי חיימוביץ' </w:t>
      </w:r>
      <w:r w:rsidRPr="00AB1622">
        <w:rPr>
          <w:rtl/>
        </w:rPr>
        <w:lastRenderedPageBreak/>
        <w:t>(פ/40/22).</w:t>
      </w:r>
      <w:r w:rsidRPr="00AB1622">
        <w:rPr>
          <w:rFonts w:hint="cs"/>
          <w:rtl/>
        </w:rPr>
        <w:t xml:space="preserve"> </w:t>
      </w:r>
    </w:p>
    <w:p w14:paraId="013BB452" w14:textId="77777777" w:rsidR="00AB1622" w:rsidRPr="00AB1622" w:rsidRDefault="00AB1622" w:rsidP="00AB1622">
      <w:pPr>
        <w:pStyle w:val="Hesber"/>
        <w:spacing w:line="276" w:lineRule="auto"/>
        <w:rPr>
          <w:rtl/>
        </w:rPr>
      </w:pPr>
      <w:bookmarkStart w:id="6" w:name="_GoBack"/>
      <w:bookmarkEnd w:id="6"/>
    </w:p>
    <w:p w14:paraId="2DBB834D" w14:textId="77777777" w:rsidR="008B3A92" w:rsidRDefault="00AB1622">
      <w:pPr>
        <w:spacing w:before="0" w:line="360" w:lineRule="auto"/>
        <w:jc w:val="left"/>
      </w:pPr>
      <w:bookmarkStart w:id="7" w:name="selectedDocDateB"/>
      <w:bookmarkEnd w:id="7"/>
      <w:r>
        <w:rPr>
          <w:rFonts w:ascii="David" w:eastAsia="David" w:hAnsi="David" w:cs="David" w:hint="cs"/>
          <w:sz w:val="26"/>
          <w:szCs w:val="26"/>
          <w:rtl/>
        </w:rPr>
        <w:t>--------------------------------</w:t>
      </w:r>
    </w:p>
    <w:p w14:paraId="0DA8FA37" w14:textId="77777777" w:rsidR="008B3A92" w:rsidRDefault="00AB1622">
      <w:pPr>
        <w:spacing w:before="0" w:line="360" w:lineRule="auto"/>
        <w:jc w:val="left"/>
      </w:pPr>
      <w:r>
        <w:rPr>
          <w:rFonts w:ascii="David" w:eastAsia="David" w:hAnsi="David" w:cs="David" w:hint="cs"/>
          <w:sz w:val="26"/>
          <w:szCs w:val="26"/>
          <w:rtl/>
        </w:rPr>
        <w:t>הוגשה ליו"ר הכנ</w:t>
      </w:r>
      <w:r>
        <w:rPr>
          <w:rFonts w:ascii="David" w:eastAsia="David" w:hAnsi="David" w:cs="David" w:hint="cs"/>
          <w:sz w:val="26"/>
          <w:szCs w:val="26"/>
          <w:rtl/>
        </w:rPr>
        <w:t>סת והסגנים</w:t>
      </w:r>
    </w:p>
    <w:p w14:paraId="2693D045" w14:textId="77777777" w:rsidR="008B3A92" w:rsidRDefault="00AB1622">
      <w:pPr>
        <w:spacing w:before="0" w:line="360" w:lineRule="auto"/>
        <w:jc w:val="left"/>
      </w:pPr>
      <w:r>
        <w:rPr>
          <w:rFonts w:ascii="David" w:eastAsia="David" w:hAnsi="David" w:cs="David" w:hint="cs"/>
          <w:sz w:val="26"/>
          <w:szCs w:val="26"/>
          <w:rtl/>
        </w:rPr>
        <w:t>והונחה על שולחן הכנסת ביום</w:t>
      </w:r>
    </w:p>
    <w:p w14:paraId="0FA9BB10" w14:textId="77777777" w:rsidR="008B3A92" w:rsidRDefault="00AB1622">
      <w:pPr>
        <w:spacing w:before="0" w:line="360" w:lineRule="auto"/>
        <w:jc w:val="left"/>
      </w:pPr>
      <w:r>
        <w:rPr>
          <w:rFonts w:ascii="David" w:eastAsia="David" w:hAnsi="David" w:cs="David" w:hint="cs"/>
          <w:sz w:val="26"/>
          <w:szCs w:val="26"/>
          <w:rtl/>
        </w:rPr>
        <w:t xml:space="preserve">י"א בכסלו </w:t>
      </w:r>
      <w:proofErr w:type="spellStart"/>
      <w:r>
        <w:rPr>
          <w:rFonts w:ascii="David" w:eastAsia="David" w:hAnsi="David" w:cs="David" w:hint="cs"/>
          <w:sz w:val="26"/>
          <w:szCs w:val="26"/>
          <w:rtl/>
        </w:rPr>
        <w:t>התשפ"ב</w:t>
      </w:r>
      <w:proofErr w:type="spellEnd"/>
      <w:r>
        <w:rPr>
          <w:rFonts w:ascii="David" w:eastAsia="David" w:hAnsi="David" w:cs="David" w:hint="cs"/>
          <w:sz w:val="26"/>
          <w:szCs w:val="26"/>
          <w:rtl/>
        </w:rPr>
        <w:t xml:space="preserve"> (15.11.2021) </w:t>
      </w:r>
    </w:p>
    <w:p w14:paraId="3BB51A37" w14:textId="77777777" w:rsidR="008B3A92" w:rsidRDefault="008B3A92">
      <w:pPr>
        <w:spacing w:before="0" w:line="276" w:lineRule="auto"/>
        <w:jc w:val="left"/>
      </w:pPr>
    </w:p>
    <w:sectPr w:rsidR="008B3A9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AB1622">
      <w:rPr>
        <w:rStyle w:val="aa"/>
        <w:noProof/>
        <w:rtl/>
      </w:rPr>
      <w:t>3</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28A40498" w14:textId="77777777" w:rsidR="002E7198" w:rsidRDefault="002E7198" w:rsidP="002E7198">
      <w:pPr>
        <w:pStyle w:val="a4"/>
      </w:pPr>
      <w:r>
        <w:rPr>
          <w:rStyle w:val="a5"/>
        </w:rPr>
        <w:footnoteRef/>
      </w:r>
      <w:r>
        <w:rPr>
          <w:rtl/>
        </w:rPr>
        <w:t xml:space="preserve"> </w:t>
      </w:r>
      <w:r w:rsidRPr="007832FA">
        <w:rPr>
          <w:rtl/>
        </w:rPr>
        <w:t>חוקי א"י, כרך א', עמ' (ע) 600, (א) 710.</w:t>
      </w:r>
    </w:p>
  </w:footnote>
  <w:footnote w:id="3">
    <w:p w14:paraId="3750F883" w14:textId="77777777" w:rsidR="002E7198" w:rsidRDefault="002E7198" w:rsidP="002E7198">
      <w:pPr>
        <w:pStyle w:val="a4"/>
      </w:pPr>
      <w:r>
        <w:rPr>
          <w:rStyle w:val="a5"/>
        </w:rPr>
        <w:footnoteRef/>
      </w:r>
      <w:r>
        <w:rPr>
          <w:rtl/>
        </w:rPr>
        <w:t xml:space="preserve"> </w:t>
      </w:r>
      <w:r>
        <w:rPr>
          <w:rtl/>
        </w:rPr>
        <w:t xml:space="preserve">ס"ח </w:t>
      </w:r>
      <w:proofErr w:type="spellStart"/>
      <w:r>
        <w:rPr>
          <w:rtl/>
        </w:rPr>
        <w:t>התשכ"ה</w:t>
      </w:r>
      <w:proofErr w:type="spellEnd"/>
      <w:r>
        <w:rPr>
          <w:rtl/>
        </w:rPr>
        <w:t>, עמ' 307.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E7198"/>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97380"/>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B3A92"/>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39D0"/>
    <w:rsid w:val="009A7257"/>
    <w:rsid w:val="009D6E0A"/>
    <w:rsid w:val="009E1E33"/>
    <w:rsid w:val="00A14672"/>
    <w:rsid w:val="00A26BD6"/>
    <w:rsid w:val="00A443CF"/>
    <w:rsid w:val="00A6611D"/>
    <w:rsid w:val="00A82CB7"/>
    <w:rsid w:val="00A942C1"/>
    <w:rsid w:val="00AA2F03"/>
    <w:rsid w:val="00AB1622"/>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28D49C92-BE45-4580-BD15-032E371C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56BC381D-DCEF-468A-A619-428C1C83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904669D-B447-4A87-A6C3-2BEBB841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1137</Words>
  <Characters>6482</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7</cp:revision>
  <cp:lastPrinted>2013-07-04T08:25:00Z</cp:lastPrinted>
  <dcterms:created xsi:type="dcterms:W3CDTF">2015-04-20T09:58:00Z</dcterms:created>
  <dcterms:modified xsi:type="dcterms:W3CDTF">2021-11-14T08:49:00Z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2163096</vt:r8>
  </property>
</Properties>
</file>