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2164510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מאיר יצחק-הלוי</w:t>
      </w:r>
      <w:bookmarkEnd w:id="3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E38E421" w:rsidR="00E13C27" w:rsidRPr="00E06736" w:rsidRDefault="00904591" w:rsidP="00CB7B10">
      <w:pPr>
        <w:pStyle w:val="David"/>
        <w:spacing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פ/2495/24</w:t>
      </w:r>
      <w:bookmarkEnd w:id="4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6B5DF3FB" w:rsidR="00E13C27" w:rsidRPr="00F67051" w:rsidRDefault="00A443CF" w:rsidP="009F38BC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 xml:space="preserve">הצעת חוק חסינות חברי הכנסת, זכויותיהם וחובותיהם (תיקון </w:t>
      </w:r>
      <w:r w:rsidR="009F38BC">
        <w:rPr>
          <w:rFonts w:hint="eastAsia"/>
          <w:rtl/>
        </w:rPr>
        <w:t>–</w:t>
      </w:r>
      <w:r>
        <w:rPr>
          <w:rFonts w:hint="cs"/>
          <w:rtl/>
        </w:rPr>
        <w:t xml:space="preserve"> ועדת האתיקה), התשפ"ב</w:t>
      </w:r>
      <w:r w:rsidR="009F38BC">
        <w:rPr>
          <w:rFonts w:hint="eastAsia"/>
          <w:rtl/>
        </w:rPr>
        <w:t>–</w:t>
      </w:r>
      <w:r>
        <w:rPr>
          <w:rFonts w:hint="cs"/>
          <w:rtl/>
        </w:rPr>
        <w:t>2021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F1D80" w14:paraId="035EEF3D" w14:textId="77777777" w:rsidTr="00B40B8C">
        <w:trPr>
          <w:cantSplit/>
        </w:trPr>
        <w:tc>
          <w:tcPr>
            <w:tcW w:w="1871" w:type="dxa"/>
          </w:tcPr>
          <w:p w14:paraId="3863FF98" w14:textId="2E6CD99C" w:rsidR="002F1D80" w:rsidRDefault="00DB4F8D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13ד</w:t>
            </w:r>
          </w:p>
        </w:tc>
        <w:tc>
          <w:tcPr>
            <w:tcW w:w="624" w:type="dxa"/>
          </w:tcPr>
          <w:p w14:paraId="6F513EF6" w14:textId="6E728B38" w:rsidR="002F1D80" w:rsidRDefault="00DB4F8D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AE94DEB" w14:textId="1E9391C4" w:rsidR="002F1D80" w:rsidRPr="00B40B8C" w:rsidRDefault="00DB4F8D" w:rsidP="00BB05CC">
            <w:pPr>
              <w:pStyle w:val="TableBlock"/>
            </w:pPr>
            <w:r w:rsidRPr="00B40B8C">
              <w:rPr>
                <w:rFonts w:hint="cs"/>
                <w:rtl/>
              </w:rPr>
              <w:t xml:space="preserve">בחוק חסינות חברי הכנסת, זכויותיהם וחובותיהם, </w:t>
            </w:r>
            <w:r w:rsidR="00B40B8C">
              <w:rPr>
                <w:rFonts w:hint="cs"/>
                <w:rtl/>
              </w:rPr>
              <w:t>ה</w:t>
            </w:r>
            <w:r w:rsidRPr="00B40B8C">
              <w:rPr>
                <w:rFonts w:hint="cs"/>
                <w:rtl/>
              </w:rPr>
              <w:t>תשי"א</w:t>
            </w:r>
            <w:r w:rsidR="00B40B8C">
              <w:rPr>
                <w:rFonts w:hint="eastAsia"/>
                <w:rtl/>
              </w:rPr>
              <w:t>–</w:t>
            </w:r>
            <w:r w:rsidRPr="00B40B8C">
              <w:rPr>
                <w:rFonts w:hint="cs"/>
                <w:rtl/>
              </w:rPr>
              <w:t>1951</w:t>
            </w:r>
            <w:r w:rsidR="00C6369A">
              <w:rPr>
                <w:rStyle w:val="a5"/>
                <w:rtl/>
              </w:rPr>
              <w:footnoteReference w:id="2"/>
            </w:r>
            <w:r w:rsidR="00B40B8C">
              <w:rPr>
                <w:rFonts w:hint="cs"/>
                <w:rtl/>
              </w:rPr>
              <w:t>,</w:t>
            </w:r>
            <w:r w:rsidRPr="00B40B8C">
              <w:rPr>
                <w:rFonts w:hint="cs"/>
                <w:rtl/>
              </w:rPr>
              <w:t xml:space="preserve"> בסעיף 13ד(ב)</w:t>
            </w:r>
            <w:r w:rsidR="00BB05CC">
              <w:rPr>
                <w:rFonts w:hint="cs"/>
                <w:rtl/>
              </w:rPr>
              <w:t>,</w:t>
            </w:r>
            <w:r w:rsidRPr="00B40B8C">
              <w:rPr>
                <w:rFonts w:hint="cs"/>
                <w:rtl/>
              </w:rPr>
              <w:t xml:space="preserve"> אחרי </w:t>
            </w:r>
            <w:r w:rsidR="00BB05CC">
              <w:rPr>
                <w:rFonts w:hint="cs"/>
                <w:rtl/>
              </w:rPr>
              <w:t xml:space="preserve">פסקה </w:t>
            </w:r>
            <w:r w:rsidRPr="00B40B8C">
              <w:rPr>
                <w:rFonts w:hint="cs"/>
                <w:rtl/>
              </w:rPr>
              <w:t>(1</w:t>
            </w:r>
            <w:r w:rsidR="00BB05CC">
              <w:rPr>
                <w:rFonts w:hint="cs"/>
                <w:rtl/>
              </w:rPr>
              <w:t>ב</w:t>
            </w:r>
            <w:r w:rsidRPr="00B40B8C">
              <w:rPr>
                <w:rFonts w:hint="cs"/>
                <w:rtl/>
              </w:rPr>
              <w:t>) יבוא:</w:t>
            </w:r>
          </w:p>
        </w:tc>
      </w:tr>
      <w:tr w:rsidR="002F1D80" w14:paraId="3D9B61D1" w14:textId="77777777" w:rsidTr="00B40B8C">
        <w:trPr>
          <w:cantSplit/>
        </w:trPr>
        <w:tc>
          <w:tcPr>
            <w:tcW w:w="1871" w:type="dxa"/>
          </w:tcPr>
          <w:p w14:paraId="6C0CB9D8" w14:textId="74E2717E" w:rsidR="002F1D80" w:rsidRDefault="002F1D80" w:rsidP="002C304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3F4286A2" w14:textId="7734A401" w:rsidR="002F1D80" w:rsidRDefault="002F1D80" w:rsidP="002C3041">
            <w:pPr>
              <w:pStyle w:val="TableText"/>
              <w:keepLines w:val="0"/>
            </w:pPr>
          </w:p>
        </w:tc>
        <w:tc>
          <w:tcPr>
            <w:tcW w:w="7143" w:type="dxa"/>
          </w:tcPr>
          <w:p w14:paraId="7633D5BB" w14:textId="172C8038" w:rsidR="002F1D80" w:rsidRPr="00B40B8C" w:rsidRDefault="002B5D61" w:rsidP="00F33865">
            <w:pPr>
              <w:pStyle w:val="TableBlock"/>
            </w:pPr>
            <w:r w:rsidRPr="00B40B8C">
              <w:rPr>
                <w:rFonts w:hint="cs"/>
                <w:rtl/>
              </w:rPr>
              <w:t>"(1</w:t>
            </w:r>
            <w:r w:rsidR="00BB05CC">
              <w:rPr>
                <w:rFonts w:hint="cs"/>
                <w:rtl/>
              </w:rPr>
              <w:t>ג)</w:t>
            </w:r>
            <w:r w:rsidR="00C6369A">
              <w:rPr>
                <w:rtl/>
              </w:rPr>
              <w:tab/>
            </w:r>
            <w:r w:rsidR="003F6741">
              <w:rPr>
                <w:rFonts w:hint="cs"/>
                <w:rtl/>
              </w:rPr>
              <w:t>סרב</w:t>
            </w:r>
            <w:r w:rsidR="00BB05CC">
              <w:rPr>
                <w:rFonts w:hint="cs"/>
                <w:rtl/>
              </w:rPr>
              <w:t xml:space="preserve"> חבר הכנסת שמינה יושב ראש הכנסת לכהן כחבר ועדת האתיקה</w:t>
            </w:r>
            <w:r w:rsidR="00836E21">
              <w:rPr>
                <w:rFonts w:hint="cs"/>
                <w:rtl/>
              </w:rPr>
              <w:t xml:space="preserve"> </w:t>
            </w:r>
            <w:r w:rsidR="003F6741">
              <w:rPr>
                <w:rFonts w:hint="cs"/>
                <w:rtl/>
              </w:rPr>
              <w:t xml:space="preserve">או </w:t>
            </w:r>
            <w:r w:rsidR="00B628B1">
              <w:rPr>
                <w:rFonts w:hint="cs"/>
                <w:rtl/>
              </w:rPr>
              <w:t xml:space="preserve">הודיע ליושב ראש על סירובו לכהן </w:t>
            </w:r>
            <w:r w:rsidR="00EE4957">
              <w:rPr>
                <w:rFonts w:hint="cs"/>
                <w:rtl/>
              </w:rPr>
              <w:t xml:space="preserve">בטרם מונה </w:t>
            </w:r>
            <w:r w:rsidR="00B628B1">
              <w:rPr>
                <w:rFonts w:hint="cs"/>
                <w:rtl/>
              </w:rPr>
              <w:t xml:space="preserve">כאמור, </w:t>
            </w:r>
            <w:r w:rsidR="00BB05CC">
              <w:rPr>
                <w:rFonts w:hint="cs"/>
                <w:rtl/>
              </w:rPr>
              <w:t xml:space="preserve">ובשל כך נמנעה פעילותה של הוועדה בהרכב האמור בפסקה (1), וחלפה תקופה של תשעים ימים מיום כינון הממשלה, יהיה רשאי יושב ראש הכנסת להתיר לוועדה לפעול בהרכב </w:t>
            </w:r>
            <w:r w:rsidR="00836E21">
              <w:rPr>
                <w:rFonts w:hint="cs"/>
                <w:rtl/>
              </w:rPr>
              <w:t>שונה מההרכב האמור</w:t>
            </w:r>
            <w:r w:rsidR="00BB05CC">
              <w:rPr>
                <w:rFonts w:hint="cs"/>
                <w:rtl/>
              </w:rPr>
              <w:t xml:space="preserve">, עד </w:t>
            </w:r>
            <w:r w:rsidR="00EE4957">
              <w:rPr>
                <w:rFonts w:hint="cs"/>
                <w:rtl/>
              </w:rPr>
              <w:t xml:space="preserve">שיסכימו </w:t>
            </w:r>
            <w:r w:rsidR="00BB05CC">
              <w:rPr>
                <w:rFonts w:hint="cs"/>
                <w:rtl/>
              </w:rPr>
              <w:t xml:space="preserve">החברים שמינה </w:t>
            </w:r>
            <w:r w:rsidR="00836E21">
              <w:rPr>
                <w:rFonts w:hint="cs"/>
                <w:rtl/>
              </w:rPr>
              <w:t>לכהן כחברי הוועדה</w:t>
            </w:r>
            <w:r w:rsidR="00BB05CC">
              <w:rPr>
                <w:rFonts w:hint="cs"/>
                <w:rtl/>
              </w:rPr>
              <w:t xml:space="preserve"> או עד שימנה </w:t>
            </w:r>
            <w:r w:rsidR="00836E21">
              <w:rPr>
                <w:rFonts w:hint="cs"/>
                <w:rtl/>
              </w:rPr>
              <w:t xml:space="preserve">במקומם </w:t>
            </w:r>
            <w:r w:rsidR="00BB05CC">
              <w:rPr>
                <w:rFonts w:hint="cs"/>
                <w:rtl/>
              </w:rPr>
              <w:t>חברי כנסת אחרים ש</w:t>
            </w:r>
            <w:r w:rsidR="00836E21">
              <w:rPr>
                <w:rFonts w:hint="cs"/>
                <w:rtl/>
              </w:rPr>
              <w:t>ה</w:t>
            </w:r>
            <w:r w:rsidR="00BB05CC">
              <w:rPr>
                <w:rFonts w:hint="cs"/>
                <w:rtl/>
              </w:rPr>
              <w:t xml:space="preserve">סכימו לכהן בתפקיד; </w:t>
            </w:r>
            <w:r w:rsidR="007F42BC" w:rsidRPr="00B40B8C">
              <w:rPr>
                <w:rFonts w:hint="cs"/>
                <w:rtl/>
              </w:rPr>
              <w:t xml:space="preserve">סמכויות </w:t>
            </w:r>
            <w:r w:rsidR="00B628B1">
              <w:rPr>
                <w:rFonts w:hint="cs"/>
                <w:rtl/>
              </w:rPr>
              <w:t>ועדת האתיקה</w:t>
            </w:r>
            <w:r w:rsidR="00B628B1" w:rsidRPr="00B40B8C">
              <w:rPr>
                <w:rFonts w:hint="cs"/>
                <w:rtl/>
              </w:rPr>
              <w:t xml:space="preserve"> </w:t>
            </w:r>
            <w:r w:rsidR="007F42BC" w:rsidRPr="00B40B8C">
              <w:rPr>
                <w:rFonts w:hint="cs"/>
                <w:rtl/>
              </w:rPr>
              <w:t>ותוקף החלטותיה לא יפגעו בשל הרכב חסר</w:t>
            </w:r>
            <w:r w:rsidR="00836E21">
              <w:rPr>
                <w:rFonts w:hint="cs"/>
                <w:rtl/>
              </w:rPr>
              <w:t>.</w:t>
            </w:r>
            <w:r w:rsidR="00F70227" w:rsidRPr="00B40B8C">
              <w:rPr>
                <w:rFonts w:hint="cs"/>
                <w:rtl/>
              </w:rPr>
              <w:t>"</w:t>
            </w:r>
            <w:r w:rsidR="007F42BC" w:rsidRPr="00B40B8C">
              <w:rPr>
                <w:rFonts w:hint="cs"/>
                <w:rtl/>
              </w:rPr>
              <w:t xml:space="preserve"> </w:t>
            </w:r>
          </w:p>
        </w:tc>
      </w:tr>
    </w:tbl>
    <w:p w14:paraId="7F6961CA" w14:textId="77777777" w:rsidR="002D1EE3" w:rsidRPr="00B40B8C" w:rsidRDefault="002D1EE3" w:rsidP="00B40B8C">
      <w:pPr>
        <w:pStyle w:val="HeadDivreiHesber"/>
        <w:rPr>
          <w:rtl/>
        </w:rPr>
      </w:pPr>
      <w:r w:rsidRPr="00B40B8C">
        <w:rPr>
          <w:rFonts w:hint="cs"/>
          <w:rtl/>
        </w:rPr>
        <w:t>דברי הסבר</w:t>
      </w:r>
    </w:p>
    <w:p w14:paraId="35A57E16" w14:textId="5D31DA0D" w:rsidR="00120497" w:rsidRPr="00B40B8C" w:rsidRDefault="00120497" w:rsidP="003701C4">
      <w:pPr>
        <w:pStyle w:val="Hesber"/>
        <w:rPr>
          <w:rtl/>
        </w:rPr>
      </w:pPr>
      <w:r w:rsidRPr="00B40B8C">
        <w:rPr>
          <w:rtl/>
        </w:rPr>
        <w:t>ועדת האתיקה היא מה</w:t>
      </w:r>
      <w:r w:rsidR="003701C4">
        <w:rPr>
          <w:rFonts w:hint="cs"/>
          <w:rtl/>
        </w:rPr>
        <w:t>ו</w:t>
      </w:r>
      <w:r w:rsidRPr="00B40B8C">
        <w:rPr>
          <w:rtl/>
        </w:rPr>
        <w:t>ועדות החשובות בכנסת.</w:t>
      </w:r>
      <w:r w:rsidR="002021E9" w:rsidRPr="00B40B8C">
        <w:rPr>
          <w:rFonts w:hint="cs"/>
          <w:rtl/>
        </w:rPr>
        <w:t xml:space="preserve"> משכן הכנסת מהווה בית ודוגמא לעם ישראל והתנהגות חברי הכנסת משליכה ומשפיעה על הציבור כולו. </w:t>
      </w:r>
      <w:r w:rsidRPr="00B40B8C">
        <w:rPr>
          <w:rtl/>
        </w:rPr>
        <w:t xml:space="preserve">ועדה זו מסדירה ומפקחת על התנהגותם של חברי הכנסת במשכן. כאשר ועדת האתיקה משותקת ולא יכולה לפעול, </w:t>
      </w:r>
      <w:r w:rsidR="00836E21">
        <w:rPr>
          <w:rFonts w:hint="cs"/>
          <w:rtl/>
        </w:rPr>
        <w:t xml:space="preserve">ישנם </w:t>
      </w:r>
      <w:r w:rsidRPr="00B40B8C">
        <w:rPr>
          <w:rtl/>
        </w:rPr>
        <w:t xml:space="preserve">חברי כנסת </w:t>
      </w:r>
      <w:r w:rsidR="00836E21">
        <w:rPr>
          <w:rFonts w:hint="cs"/>
          <w:rtl/>
        </w:rPr>
        <w:t>ה</w:t>
      </w:r>
      <w:r w:rsidRPr="00B40B8C">
        <w:rPr>
          <w:rtl/>
        </w:rPr>
        <w:t>עושים כ</w:t>
      </w:r>
      <w:r w:rsidR="003701C4">
        <w:rPr>
          <w:rFonts w:hint="cs"/>
          <w:rtl/>
        </w:rPr>
        <w:t>כ</w:t>
      </w:r>
      <w:r w:rsidRPr="00B40B8C">
        <w:rPr>
          <w:rtl/>
        </w:rPr>
        <w:t>ל העולה על רוחם, השיח מידרדר, ואין</w:t>
      </w:r>
      <w:r w:rsidR="002021E9" w:rsidRPr="00B40B8C">
        <w:rPr>
          <w:rtl/>
        </w:rPr>
        <w:t xml:space="preserve"> שום סנקציה שניתן להפעיל כנגדם</w:t>
      </w:r>
      <w:r w:rsidR="002021E9" w:rsidRPr="00B40B8C">
        <w:rPr>
          <w:rFonts w:hint="cs"/>
          <w:rtl/>
        </w:rPr>
        <w:t xml:space="preserve">. </w:t>
      </w:r>
    </w:p>
    <w:p w14:paraId="3625CA21" w14:textId="2B23FD87" w:rsidR="00120497" w:rsidRPr="00B40B8C" w:rsidRDefault="00120497" w:rsidP="00836E21">
      <w:pPr>
        <w:pStyle w:val="Hesber"/>
        <w:rPr>
          <w:rtl/>
        </w:rPr>
      </w:pPr>
      <w:r w:rsidRPr="00B40B8C">
        <w:rPr>
          <w:rtl/>
        </w:rPr>
        <w:t xml:space="preserve">חוק חסינות </w:t>
      </w:r>
      <w:r w:rsidR="003701C4">
        <w:rPr>
          <w:rFonts w:hint="cs"/>
          <w:rtl/>
        </w:rPr>
        <w:t xml:space="preserve">חברי </w:t>
      </w:r>
      <w:r w:rsidR="003701C4" w:rsidRPr="00B40B8C">
        <w:rPr>
          <w:rFonts w:hint="cs"/>
          <w:rtl/>
        </w:rPr>
        <w:t xml:space="preserve">הכנסת, זכויותיהם וחובותיהם, </w:t>
      </w:r>
      <w:r w:rsidR="003701C4">
        <w:rPr>
          <w:rFonts w:hint="cs"/>
          <w:rtl/>
        </w:rPr>
        <w:t>ה</w:t>
      </w:r>
      <w:r w:rsidR="003701C4" w:rsidRPr="00B40B8C">
        <w:rPr>
          <w:rFonts w:hint="cs"/>
          <w:rtl/>
        </w:rPr>
        <w:t>תשי"א</w:t>
      </w:r>
      <w:r w:rsidR="003701C4">
        <w:rPr>
          <w:rFonts w:hint="eastAsia"/>
          <w:rtl/>
        </w:rPr>
        <w:t>–</w:t>
      </w:r>
      <w:r w:rsidR="003701C4" w:rsidRPr="00B40B8C">
        <w:rPr>
          <w:rFonts w:hint="cs"/>
          <w:rtl/>
        </w:rPr>
        <w:t>1951</w:t>
      </w:r>
      <w:r w:rsidR="003701C4">
        <w:rPr>
          <w:rFonts w:hint="cs"/>
          <w:rtl/>
        </w:rPr>
        <w:t xml:space="preserve">, </w:t>
      </w:r>
      <w:r w:rsidRPr="00B40B8C">
        <w:rPr>
          <w:rtl/>
        </w:rPr>
        <w:t xml:space="preserve">קובע שוועדת האתיקה תכלול ארבעה חברי הכנסת אותם ימנה יושב ראש הכנסת למשך תקופת כהונתה של הכנסת, כך ששניים </w:t>
      </w:r>
      <w:r w:rsidR="003701C4">
        <w:rPr>
          <w:rtl/>
        </w:rPr>
        <w:t xml:space="preserve">יהיו חברים </w:t>
      </w:r>
      <w:r w:rsidR="003701C4">
        <w:rPr>
          <w:rFonts w:hint="cs"/>
          <w:rtl/>
        </w:rPr>
        <w:t>ב</w:t>
      </w:r>
      <w:r w:rsidRPr="00B40B8C">
        <w:rPr>
          <w:rtl/>
        </w:rPr>
        <w:t>סיעות הקואליציה ושניים חברים בסיעות האופוזיציה</w:t>
      </w:r>
      <w:r w:rsidR="00F33865">
        <w:rPr>
          <w:rFonts w:hint="cs"/>
          <w:rtl/>
        </w:rPr>
        <w:t>. ואולם,</w:t>
      </w:r>
      <w:r w:rsidR="00EB5F09" w:rsidRPr="00B40B8C">
        <w:rPr>
          <w:rFonts w:hint="cs"/>
          <w:rtl/>
        </w:rPr>
        <w:t xml:space="preserve"> החוק אינו קובע מועד בו יש להקים את ה</w:t>
      </w:r>
      <w:r w:rsidR="00836E21">
        <w:rPr>
          <w:rFonts w:hint="cs"/>
          <w:rtl/>
        </w:rPr>
        <w:t>ו</w:t>
      </w:r>
      <w:r w:rsidR="00EB5F09" w:rsidRPr="00B40B8C">
        <w:rPr>
          <w:rFonts w:hint="cs"/>
          <w:rtl/>
        </w:rPr>
        <w:t>ועדה</w:t>
      </w:r>
      <w:r w:rsidR="00836E21">
        <w:rPr>
          <w:rFonts w:hint="cs"/>
          <w:rtl/>
        </w:rPr>
        <w:t xml:space="preserve"> ואף אינו מתייחס לסיטואציה, שאירעה בכנסת ה-24, שבה חברי סיעות האופוזיציה סרבו לפנייתו של יושב ראש הכנסת לכהן בוועדה</w:t>
      </w:r>
      <w:r w:rsidR="00EB5F09" w:rsidRPr="00B40B8C">
        <w:rPr>
          <w:rFonts w:hint="cs"/>
          <w:rtl/>
        </w:rPr>
        <w:t>. לאור זאת, מוצע לקבוע</w:t>
      </w:r>
      <w:r w:rsidR="00836E21">
        <w:rPr>
          <w:rFonts w:hint="cs"/>
          <w:rtl/>
        </w:rPr>
        <w:t xml:space="preserve"> כי אם בחלוף פרק</w:t>
      </w:r>
      <w:r w:rsidR="00EB5F09" w:rsidRPr="00B40B8C">
        <w:rPr>
          <w:rFonts w:hint="cs"/>
          <w:rtl/>
        </w:rPr>
        <w:t xml:space="preserve"> זמן סביר של כ-90 ימים מיום כינון הממשלה </w:t>
      </w:r>
      <w:r w:rsidR="00836E21">
        <w:rPr>
          <w:rFonts w:hint="cs"/>
          <w:rtl/>
        </w:rPr>
        <w:t>לא הצליח יושב ראש הכנסת להביא לקיומה של</w:t>
      </w:r>
      <w:r w:rsidR="00EB5F09" w:rsidRPr="00B40B8C">
        <w:rPr>
          <w:rFonts w:hint="cs"/>
          <w:rtl/>
        </w:rPr>
        <w:t xml:space="preserve"> ועדת אתיקה</w:t>
      </w:r>
      <w:r w:rsidR="00836E21">
        <w:rPr>
          <w:rFonts w:hint="cs"/>
          <w:rtl/>
        </w:rPr>
        <w:t xml:space="preserve"> מתפקדת, בשל סירוב חברי הכנסת שמינה לכהן בתפקיד, יהיה רשאי היושב ראש להתיר לוועדה לפעול </w:t>
      </w:r>
      <w:r w:rsidR="00836E21">
        <w:rPr>
          <w:rFonts w:hint="cs"/>
          <w:rtl/>
        </w:rPr>
        <w:lastRenderedPageBreak/>
        <w:t>בהרכב שונה מזה הקבוע בחוק, כלומר פחות מארבעה חברים וללא י</w:t>
      </w:r>
      <w:r w:rsidR="008D6131">
        <w:rPr>
          <w:rFonts w:hint="cs"/>
          <w:rtl/>
        </w:rPr>
        <w:t>יצוג שווה לקואליציה ולאופוזיציה</w:t>
      </w:r>
      <w:r w:rsidR="00EB5F09" w:rsidRPr="00B40B8C">
        <w:rPr>
          <w:rFonts w:hint="cs"/>
          <w:rtl/>
        </w:rPr>
        <w:t xml:space="preserve">. </w:t>
      </w:r>
      <w:r w:rsidR="005D519A">
        <w:rPr>
          <w:rFonts w:hint="cs"/>
          <w:rtl/>
        </w:rPr>
        <w:t>מעת שיודיעו החברים שסירבו לקבל על עצמם את התפקיד כי הם מוכנים לכך, או שיושב ראש הכנסת יאתר חברים אחרים שיסכימו, תחזור הוועדה לפעול בהרכב הקבוע בחוק.</w:t>
      </w:r>
    </w:p>
    <w:p w14:paraId="2F74947D" w14:textId="3A5F793C" w:rsidR="005C2107" w:rsidRPr="00B40B8C" w:rsidRDefault="003A7CD2" w:rsidP="00B40B8C">
      <w:pPr>
        <w:pStyle w:val="Hesber"/>
        <w:rPr>
          <w:rtl/>
        </w:rPr>
      </w:pPr>
      <w:r>
        <w:rPr>
          <w:rFonts w:hint="cs"/>
          <w:rtl/>
        </w:rPr>
        <w:t>הצעת החוק תימנע</w:t>
      </w:r>
      <w:r w:rsidR="005C2107" w:rsidRPr="00B40B8C">
        <w:rPr>
          <w:rFonts w:hint="cs"/>
          <w:rtl/>
        </w:rPr>
        <w:t xml:space="preserve"> ניצול של חברי הכנסת את שיתוק הו</w:t>
      </w:r>
      <w:r w:rsidR="003701C4">
        <w:rPr>
          <w:rFonts w:hint="cs"/>
          <w:rtl/>
        </w:rPr>
        <w:t>ו</w:t>
      </w:r>
      <w:r w:rsidR="005C2107" w:rsidRPr="00B40B8C">
        <w:rPr>
          <w:rFonts w:hint="cs"/>
          <w:rtl/>
        </w:rPr>
        <w:t xml:space="preserve">עדה על ידי התנהגות שאינה הולמת את מעמדם ואת כבוד משכן הכנסת. </w:t>
      </w:r>
    </w:p>
    <w:p w14:paraId="54D33F15" w14:textId="77777777" w:rsidR="000F37F0" w:rsidRDefault="00C6369A">
      <w:pPr>
        <w:jc w:val="left"/>
      </w:pPr>
      <w:bookmarkStart w:id="7" w:name="selectedDocDateB"/>
      <w:bookmarkEnd w:id="7"/>
      <w:r>
        <w:rPr>
          <w:rFonts w:eastAsia="David" w:hint="cs"/>
          <w:sz w:val="26"/>
          <w:szCs w:val="26"/>
          <w:rtl/>
        </w:rPr>
        <w:t>--------------------------------</w:t>
      </w:r>
    </w:p>
    <w:p w14:paraId="4727DBA6" w14:textId="77777777" w:rsidR="000F37F0" w:rsidRDefault="00C6369A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5F225308" w14:textId="77777777" w:rsidR="000F37F0" w:rsidRDefault="00C6369A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42D8510B" w14:textId="77777777" w:rsidR="000F37F0" w:rsidRDefault="00C6369A">
      <w:pPr>
        <w:jc w:val="left"/>
      </w:pPr>
      <w:r>
        <w:rPr>
          <w:rFonts w:eastAsia="David" w:hint="cs"/>
          <w:sz w:val="26"/>
          <w:szCs w:val="26"/>
          <w:rtl/>
        </w:rPr>
        <w:t xml:space="preserve">י"א בכסלו התשפ"ב (15.11.2021) </w:t>
      </w:r>
    </w:p>
    <w:p w14:paraId="1EB65B24" w14:textId="77777777" w:rsidR="000F37F0" w:rsidRDefault="000F37F0">
      <w:pPr>
        <w:spacing w:line="276" w:lineRule="auto"/>
        <w:jc w:val="left"/>
      </w:pPr>
    </w:p>
    <w:sectPr w:rsidR="000F37F0" w:rsidSect="00B40B8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49A721D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C6369A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E4BD795" w14:textId="1AFB3ADC" w:rsidR="00C6369A" w:rsidRDefault="00C6369A">
      <w:pPr>
        <w:pStyle w:val="a4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התשי"א, עמ' 228.</w:t>
      </w:r>
      <w:bookmarkStart w:id="6" w:name="_GoBack"/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F37F0"/>
    <w:rsid w:val="00102B6B"/>
    <w:rsid w:val="001052D4"/>
    <w:rsid w:val="0010644B"/>
    <w:rsid w:val="00120497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21E9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B5D61"/>
    <w:rsid w:val="002C2E29"/>
    <w:rsid w:val="002C3041"/>
    <w:rsid w:val="002D1EE3"/>
    <w:rsid w:val="002F1D80"/>
    <w:rsid w:val="003232A2"/>
    <w:rsid w:val="00325C14"/>
    <w:rsid w:val="0036422C"/>
    <w:rsid w:val="003701C4"/>
    <w:rsid w:val="003710F6"/>
    <w:rsid w:val="00386E88"/>
    <w:rsid w:val="00396585"/>
    <w:rsid w:val="003A7CD2"/>
    <w:rsid w:val="003D6E38"/>
    <w:rsid w:val="003D74A0"/>
    <w:rsid w:val="003F6741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C2107"/>
    <w:rsid w:val="005D519A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7F42BC"/>
    <w:rsid w:val="007F7107"/>
    <w:rsid w:val="00810BCD"/>
    <w:rsid w:val="00812C98"/>
    <w:rsid w:val="00814D92"/>
    <w:rsid w:val="0083181D"/>
    <w:rsid w:val="00836E21"/>
    <w:rsid w:val="00843EB2"/>
    <w:rsid w:val="00865572"/>
    <w:rsid w:val="00874BBC"/>
    <w:rsid w:val="00892135"/>
    <w:rsid w:val="00895449"/>
    <w:rsid w:val="00897879"/>
    <w:rsid w:val="00897CA2"/>
    <w:rsid w:val="008A6870"/>
    <w:rsid w:val="008C2DDC"/>
    <w:rsid w:val="008C7516"/>
    <w:rsid w:val="008D6131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9F38BC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40B8C"/>
    <w:rsid w:val="00B628B1"/>
    <w:rsid w:val="00B733A7"/>
    <w:rsid w:val="00B75C91"/>
    <w:rsid w:val="00B975AD"/>
    <w:rsid w:val="00BB05CC"/>
    <w:rsid w:val="00BC45FB"/>
    <w:rsid w:val="00BF148D"/>
    <w:rsid w:val="00C23931"/>
    <w:rsid w:val="00C23B1A"/>
    <w:rsid w:val="00C310EB"/>
    <w:rsid w:val="00C6369A"/>
    <w:rsid w:val="00C9176A"/>
    <w:rsid w:val="00CB7B10"/>
    <w:rsid w:val="00CF1AA2"/>
    <w:rsid w:val="00D142D3"/>
    <w:rsid w:val="00D17774"/>
    <w:rsid w:val="00D63620"/>
    <w:rsid w:val="00D8410D"/>
    <w:rsid w:val="00D867D7"/>
    <w:rsid w:val="00DB4F8D"/>
    <w:rsid w:val="00DB7060"/>
    <w:rsid w:val="00DE3153"/>
    <w:rsid w:val="00DE3291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B5F09"/>
    <w:rsid w:val="00ED4A6F"/>
    <w:rsid w:val="00EE4957"/>
    <w:rsid w:val="00EF3A3A"/>
    <w:rsid w:val="00F33865"/>
    <w:rsid w:val="00F628D6"/>
    <w:rsid w:val="00F67051"/>
    <w:rsid w:val="00F70227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40FD666-A228-4827-9BCD-D1208B0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8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0B8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B40B8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B40B8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B40B8C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40B8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40B8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B40B8C"/>
    <w:rPr>
      <w:sz w:val="36"/>
      <w:szCs w:val="52"/>
    </w:rPr>
  </w:style>
  <w:style w:type="paragraph" w:customStyle="1" w:styleId="Cover3-Haknesset">
    <w:name w:val="Cover 3-Haknesset"/>
    <w:basedOn w:val="Cover1-Reshumot"/>
    <w:rsid w:val="00B40B8C"/>
    <w:rPr>
      <w:b/>
      <w:bCs/>
      <w:spacing w:val="60"/>
    </w:rPr>
  </w:style>
  <w:style w:type="paragraph" w:customStyle="1" w:styleId="Cover4-Date">
    <w:name w:val="Cover 4-Date"/>
    <w:basedOn w:val="a"/>
    <w:rsid w:val="00B40B8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40B8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B40B8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B40B8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40B8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40B8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B40B8C"/>
    <w:pPr>
      <w:outlineLvl w:val="2"/>
    </w:pPr>
  </w:style>
  <w:style w:type="paragraph" w:customStyle="1" w:styleId="TableBlock">
    <w:name w:val="Table Block"/>
    <w:basedOn w:val="TableText"/>
    <w:rsid w:val="00B40B8C"/>
    <w:pPr>
      <w:jc w:val="both"/>
    </w:pPr>
  </w:style>
  <w:style w:type="paragraph" w:customStyle="1" w:styleId="TableHead">
    <w:name w:val="Table Head"/>
    <w:basedOn w:val="TableText"/>
    <w:rsid w:val="00B40B8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40B8C"/>
    <w:pPr>
      <w:outlineLvl w:val="9"/>
    </w:pPr>
  </w:style>
  <w:style w:type="paragraph" w:customStyle="1" w:styleId="Hesber">
    <w:name w:val="Hesber"/>
    <w:basedOn w:val="a"/>
    <w:rsid w:val="00B40B8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B40B8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40B8C"/>
    <w:rPr>
      <w:vertAlign w:val="superscript"/>
    </w:rPr>
  </w:style>
  <w:style w:type="paragraph" w:customStyle="1" w:styleId="HesberHeading">
    <w:name w:val="Hesber Heading"/>
    <w:basedOn w:val="Hesber"/>
    <w:rsid w:val="00B40B8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B40B8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B40B8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40B8C"/>
    <w:rPr>
      <w:vertAlign w:val="superscript"/>
    </w:rPr>
  </w:style>
  <w:style w:type="paragraph" w:customStyle="1" w:styleId="TableBlockOutdent">
    <w:name w:val="Table BlockOutdent"/>
    <w:basedOn w:val="TableBlock"/>
    <w:rsid w:val="00B40B8C"/>
    <w:pPr>
      <w:ind w:left="624" w:hanging="624"/>
    </w:pPr>
  </w:style>
  <w:style w:type="paragraph" w:styleId="a7">
    <w:name w:val="header"/>
    <w:basedOn w:val="a"/>
    <w:rsid w:val="00B40B8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40B8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40B8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40B8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B40B8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B40B8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B40B8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B40B8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B40B8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B40B8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B40B8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40B8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B40B8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B40B8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B40B8C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B40B8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B40B8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B40B8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B40B8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B40B8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B40B8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B40B8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B40B8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B40B8C"/>
    <w:rPr>
      <w:rFonts w:eastAsia="Times New Roman"/>
    </w:rPr>
  </w:style>
  <w:style w:type="paragraph" w:styleId="ae">
    <w:name w:val="List Paragraph"/>
    <w:basedOn w:val="a"/>
    <w:uiPriority w:val="34"/>
    <w:qFormat/>
    <w:rsid w:val="00B40B8C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B4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40B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B40B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B40B8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B40B8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184E3D-9C31-4C53-85BA-EEEADD735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9B69D-D5B0-4673-87EA-97E0B589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364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22</cp:revision>
  <cp:lastPrinted>2021-11-10T15:15:00Z</cp:lastPrinted>
  <dcterms:created xsi:type="dcterms:W3CDTF">2015-04-20T09:58:00Z</dcterms:created>
  <dcterms:modified xsi:type="dcterms:W3CDTF">2021-11-11T06:51:00Z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2164510</vt:r8>
  </property>
</Properties>
</file>