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2163454</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rFonts w:cs="David"/>
          <w:b/>
          <w:bCs/>
          <w:sz w:val="26"/>
          <w:szCs w:val="26"/>
          <w:rtl/>
        </w:rPr>
      </w:pPr>
    </w:p>
    <w:p w14:paraId="7F6961AA" w14:textId="025FCBA4" w:rsidR="00E13C27" w:rsidRPr="00CF1AA2" w:rsidRDefault="008F6665" w:rsidP="00750BE8">
      <w:pPr>
        <w:pStyle w:val="David"/>
        <w:spacing w:line="360" w:lineRule="auto"/>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אימאן ח'טיב יאסין</w:t>
      </w:r>
      <w:r>
        <w:br/>
      </w:r>
      <w:r>
        <w:rPr>
          <w:rFonts w:hint="cs"/>
          <w:b/>
          <w:bCs/>
          <w:rtl/>
        </w:rPr>
        <w:t xml:space="preserve"> </w:t>
      </w:r>
      <w:r>
        <w:tab/>
      </w:r>
      <w:r>
        <w:tab/>
      </w:r>
      <w:r>
        <w:tab/>
      </w:r>
      <w:r>
        <w:tab/>
      </w:r>
      <w:r>
        <w:rPr>
          <w:rFonts w:hint="cs"/>
          <w:b/>
          <w:bCs/>
          <w:rtl/>
        </w:rPr>
        <w:t>מנסור עבאס</w:t>
      </w:r>
      <w:r>
        <w:br/>
      </w:r>
      <w:r>
        <w:rPr>
          <w:rFonts w:hint="cs"/>
          <w:b/>
          <w:bCs/>
          <w:rtl/>
        </w:rPr>
        <w:t xml:space="preserve"> </w:t>
      </w:r>
      <w:r>
        <w:tab/>
      </w:r>
      <w:r>
        <w:tab/>
      </w:r>
      <w:r>
        <w:tab/>
      </w:r>
      <w:r>
        <w:tab/>
      </w:r>
      <w:r>
        <w:rPr>
          <w:rFonts w:hint="cs"/>
          <w:b/>
          <w:bCs/>
          <w:rtl/>
        </w:rPr>
        <w:t>מאזן גנאים</w:t>
      </w:r>
      <w:r>
        <w:br/>
      </w:r>
      <w:r>
        <w:rPr>
          <w:rFonts w:hint="cs"/>
          <w:b/>
          <w:bCs/>
          <w:rtl/>
        </w:rPr>
        <w:t xml:space="preserve"> </w:t>
      </w:r>
      <w:r>
        <w:tab/>
      </w:r>
      <w:r>
        <w:tab/>
      </w:r>
      <w:r>
        <w:tab/>
      </w:r>
      <w:r>
        <w:tab/>
      </w:r>
      <w:r>
        <w:rPr>
          <w:rFonts w:hint="cs"/>
          <w:b/>
          <w:bCs/>
          <w:rtl/>
        </w:rPr>
        <w:t>ווליד טאהא</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פ/2399/24</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308F1FFF" w:rsidR="00E13C27" w:rsidRPr="00F67051" w:rsidRDefault="00A443CF" w:rsidP="00EE3DD0">
      <w:pPr>
        <w:pStyle w:val="HeadHatzaotHok"/>
        <w:rPr>
          <w:rtl/>
        </w:rPr>
      </w:pPr>
      <w:bookmarkStart w:id="7" w:name="LGS_Subject"/>
      <w:r>
        <w:rPr>
          <w:rFonts w:hint="cs"/>
          <w:rtl/>
        </w:rPr>
        <w:t xml:space="preserve">הצעת חוק ביטוח בריאות ממלכתי (תיקון </w:t>
      </w:r>
      <w:r w:rsidR="00EE3DD0">
        <w:rPr>
          <w:rFonts w:hint="eastAsia"/>
          <w:rtl/>
        </w:rPr>
        <w:t>–</w:t>
      </w:r>
      <w:r>
        <w:rPr>
          <w:rFonts w:hint="cs"/>
          <w:rtl/>
        </w:rPr>
        <w:t xml:space="preserve"> פטור מתקופת המתנה לסטודנטים הלומדים בחו"ל), התשפ"ב</w:t>
      </w:r>
      <w:r w:rsidR="00EE3DD0">
        <w:rPr>
          <w:rFonts w:hint="eastAsia"/>
          <w:rtl/>
        </w:rPr>
        <w:t>–</w:t>
      </w:r>
      <w:r>
        <w:rPr>
          <w:rFonts w:hint="cs"/>
          <w:rtl/>
        </w:rPr>
        <w:t>2021</w:t>
      </w:r>
      <w:bookmarkEnd w:id="7"/>
    </w:p>
    <w:tbl>
      <w:tblPr>
        <w:bidiVisual/>
        <w:tblW w:w="0"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E14E41" w:rsidRPr="00723751" w14:paraId="49F085DC" w14:textId="77777777" w:rsidTr="009F552E">
        <w:trPr>
          <w:cantSplit/>
          <w:trHeight w:val="60"/>
        </w:trPr>
        <w:tc>
          <w:tcPr>
            <w:tcW w:w="1871" w:type="dxa"/>
            <w:hideMark/>
          </w:tcPr>
          <w:p w14:paraId="432533A9" w14:textId="77777777" w:rsidR="00E14E41" w:rsidRPr="00723751" w:rsidRDefault="00E14E41" w:rsidP="009F552E">
            <w:pPr>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r w:rsidRPr="00723751">
              <w:rPr>
                <w:rFonts w:ascii="Arial" w:eastAsia="Arial Unicode MS" w:hAnsi="Arial" w:cs="David"/>
                <w:spacing w:val="0"/>
                <w:sz w:val="20"/>
                <w:szCs w:val="26"/>
                <w:rtl/>
              </w:rPr>
              <w:t>תיקון סעיף 58</w:t>
            </w:r>
          </w:p>
        </w:tc>
        <w:tc>
          <w:tcPr>
            <w:tcW w:w="624" w:type="dxa"/>
            <w:hideMark/>
          </w:tcPr>
          <w:p w14:paraId="053BB86F" w14:textId="77777777" w:rsidR="00E14E41" w:rsidRPr="00723751" w:rsidRDefault="00E14E41" w:rsidP="009F552E">
            <w:pPr>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r w:rsidRPr="00723751">
              <w:rPr>
                <w:rFonts w:ascii="Arial" w:eastAsia="Arial Unicode MS" w:hAnsi="Arial" w:cs="David"/>
                <w:spacing w:val="0"/>
                <w:sz w:val="20"/>
                <w:szCs w:val="26"/>
                <w:rtl/>
              </w:rPr>
              <w:t>1.</w:t>
            </w:r>
          </w:p>
        </w:tc>
        <w:tc>
          <w:tcPr>
            <w:tcW w:w="7146" w:type="dxa"/>
            <w:hideMark/>
          </w:tcPr>
          <w:p w14:paraId="5F1F2C3A" w14:textId="77777777" w:rsidR="00E14E41" w:rsidRPr="00723751" w:rsidRDefault="00E14E41" w:rsidP="009F552E">
            <w:pPr>
              <w:keepLines/>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r w:rsidRPr="00723751">
              <w:rPr>
                <w:rFonts w:ascii="Arial" w:eastAsia="Arial Unicode MS" w:hAnsi="Arial" w:cs="David"/>
                <w:spacing w:val="0"/>
                <w:sz w:val="20"/>
                <w:szCs w:val="26"/>
                <w:rtl/>
              </w:rPr>
              <w:t>בחוק ביטוח בריאות ממלכתי, התשנ"ד–1994</w:t>
            </w:r>
            <w:r w:rsidRPr="00723751">
              <w:rPr>
                <w:rFonts w:ascii="Arial" w:eastAsia="Arial Unicode MS" w:hAnsi="Arial" w:cs="David"/>
                <w:spacing w:val="0"/>
                <w:sz w:val="20"/>
                <w:szCs w:val="26"/>
                <w:vertAlign w:val="superscript"/>
                <w:rtl/>
              </w:rPr>
              <w:footnoteReference w:id="2"/>
            </w:r>
            <w:r w:rsidRPr="00723751">
              <w:rPr>
                <w:rFonts w:ascii="Arial" w:eastAsia="Arial Unicode MS" w:hAnsi="Arial" w:cs="David"/>
                <w:spacing w:val="0"/>
                <w:sz w:val="20"/>
                <w:szCs w:val="26"/>
                <w:rtl/>
              </w:rPr>
              <w:t>, בסעיף 58(א), בהגדרה "שנת היעדרות", אחרי פסקה (7) יבוא:</w:t>
            </w:r>
          </w:p>
        </w:tc>
      </w:tr>
      <w:tr w:rsidR="00E14E41" w:rsidRPr="00723751" w14:paraId="10CE6AC2" w14:textId="77777777" w:rsidTr="009F552E">
        <w:trPr>
          <w:cantSplit/>
          <w:trHeight w:val="60"/>
        </w:trPr>
        <w:tc>
          <w:tcPr>
            <w:tcW w:w="1871" w:type="dxa"/>
          </w:tcPr>
          <w:p w14:paraId="2B4C2C21" w14:textId="77777777" w:rsidR="00E14E41" w:rsidRPr="00723751" w:rsidRDefault="00E14E41" w:rsidP="009F552E">
            <w:pPr>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624" w:type="dxa"/>
          </w:tcPr>
          <w:p w14:paraId="2445B459" w14:textId="77777777" w:rsidR="00E14E41" w:rsidRPr="00723751" w:rsidRDefault="00E14E41" w:rsidP="009F552E">
            <w:pPr>
              <w:tabs>
                <w:tab w:val="left" w:pos="624"/>
                <w:tab w:val="left" w:pos="1247"/>
              </w:tabs>
              <w:snapToGrid w:val="0"/>
              <w:spacing w:before="0" w:line="360" w:lineRule="auto"/>
              <w:ind w:right="57" w:firstLine="0"/>
              <w:jc w:val="left"/>
              <w:textAlignment w:val="auto"/>
              <w:rPr>
                <w:rFonts w:ascii="Arial" w:eastAsia="Arial Unicode MS" w:hAnsi="Arial" w:cs="David"/>
                <w:spacing w:val="0"/>
                <w:sz w:val="20"/>
                <w:szCs w:val="26"/>
              </w:rPr>
            </w:pPr>
          </w:p>
        </w:tc>
        <w:tc>
          <w:tcPr>
            <w:tcW w:w="7146" w:type="dxa"/>
            <w:hideMark/>
          </w:tcPr>
          <w:p w14:paraId="21248350" w14:textId="7F8B0706" w:rsidR="00E14E41" w:rsidRPr="00723751" w:rsidRDefault="00E14E41" w:rsidP="00E923E7">
            <w:pPr>
              <w:tabs>
                <w:tab w:val="left" w:pos="624"/>
                <w:tab w:val="left" w:pos="1247"/>
              </w:tabs>
              <w:snapToGrid w:val="0"/>
              <w:spacing w:before="0" w:line="360" w:lineRule="auto"/>
              <w:ind w:firstLine="0"/>
              <w:textAlignment w:val="auto"/>
              <w:rPr>
                <w:rFonts w:ascii="Arial" w:eastAsia="Arial Unicode MS" w:hAnsi="Arial" w:cs="David"/>
                <w:spacing w:val="0"/>
                <w:sz w:val="20"/>
                <w:szCs w:val="26"/>
              </w:rPr>
            </w:pPr>
            <w:r w:rsidRPr="00723751">
              <w:rPr>
                <w:rFonts w:ascii="Arial" w:eastAsia="Arial Unicode MS" w:hAnsi="Arial" w:cs="David"/>
                <w:spacing w:val="0"/>
                <w:sz w:val="20"/>
                <w:szCs w:val="26"/>
                <w:rtl/>
              </w:rPr>
              <w:t>"(8)</w:t>
            </w:r>
            <w:r w:rsidRPr="00723751">
              <w:rPr>
                <w:rFonts w:ascii="Arial" w:eastAsia="Arial Unicode MS" w:hAnsi="Arial" w:cs="David"/>
                <w:spacing w:val="0"/>
                <w:sz w:val="20"/>
                <w:szCs w:val="26"/>
                <w:rtl/>
              </w:rPr>
              <w:tab/>
              <w:t>תקופה שלכל אורכה הוא למד במוסד להשכלה גבוהה בחוץ לארץ, שהוכר על ידי שר החינוך או מי שהוא הסמיך לכך, או ב</w:t>
            </w:r>
            <w:r>
              <w:rPr>
                <w:rFonts w:ascii="Arial" w:eastAsia="Arial Unicode MS" w:hAnsi="Arial" w:cs="David" w:hint="cs"/>
                <w:spacing w:val="0"/>
                <w:sz w:val="20"/>
                <w:szCs w:val="26"/>
                <w:rtl/>
              </w:rPr>
              <w:t>מוסד באזור שהתואר שהוא מעניק הוכר לפי סעיף 9</w:t>
            </w:r>
            <w:r w:rsidRPr="00723751">
              <w:rPr>
                <w:rFonts w:ascii="Arial" w:eastAsia="Arial Unicode MS" w:hAnsi="Arial" w:cs="David"/>
                <w:spacing w:val="0"/>
                <w:sz w:val="20"/>
                <w:szCs w:val="26"/>
                <w:rtl/>
              </w:rPr>
              <w:t xml:space="preserve"> לחוק המועצה להשכלה גבוהה, התשי"ח–1958</w:t>
            </w:r>
            <w:r w:rsidRPr="00723751">
              <w:rPr>
                <w:rFonts w:ascii="Arial" w:eastAsia="Arial Unicode MS" w:hAnsi="Arial" w:cs="David"/>
                <w:spacing w:val="0"/>
                <w:sz w:val="20"/>
                <w:szCs w:val="26"/>
                <w:vertAlign w:val="superscript"/>
                <w:rtl/>
              </w:rPr>
              <w:footnoteReference w:id="3"/>
            </w:r>
            <w:r w:rsidRPr="00723751">
              <w:rPr>
                <w:rFonts w:ascii="Arial" w:eastAsia="Arial Unicode MS" w:hAnsi="Arial" w:cs="David"/>
                <w:spacing w:val="0"/>
                <w:sz w:val="20"/>
                <w:szCs w:val="26"/>
                <w:rtl/>
              </w:rPr>
              <w:t>;".</w:t>
            </w:r>
          </w:p>
        </w:tc>
      </w:tr>
    </w:tbl>
    <w:p w14:paraId="7F6961CA" w14:textId="77777777" w:rsidR="002D1EE3" w:rsidRDefault="002D1EE3" w:rsidP="002D1EE3">
      <w:pPr>
        <w:pStyle w:val="HeadDivreiHesber"/>
        <w:rPr>
          <w:rtl/>
        </w:rPr>
      </w:pPr>
      <w:bookmarkStart w:id="8" w:name="_GoBack"/>
      <w:bookmarkEnd w:id="8"/>
      <w:r w:rsidRPr="0027450A">
        <w:rPr>
          <w:rFonts w:hint="cs"/>
          <w:rtl/>
        </w:rPr>
        <w:t>דברי הסבר</w:t>
      </w:r>
    </w:p>
    <w:p w14:paraId="42E8DC4F" w14:textId="77777777" w:rsidR="00E14E41" w:rsidRPr="00723751" w:rsidRDefault="00E14E41" w:rsidP="00E14E41">
      <w:pPr>
        <w:snapToGrid w:val="0"/>
        <w:spacing w:before="0" w:line="360" w:lineRule="auto"/>
        <w:textAlignment w:val="auto"/>
        <w:rPr>
          <w:rFonts w:ascii="Arial" w:eastAsia="Arial Unicode MS" w:hAnsi="Arial" w:cs="David"/>
          <w:spacing w:val="0"/>
          <w:sz w:val="20"/>
          <w:szCs w:val="26"/>
          <w:rtl/>
        </w:rPr>
      </w:pPr>
      <w:r w:rsidRPr="00723751">
        <w:rPr>
          <w:rFonts w:ascii="Arial" w:eastAsia="Arial Unicode MS" w:hAnsi="Arial" w:cs="David"/>
          <w:spacing w:val="0"/>
          <w:sz w:val="20"/>
          <w:szCs w:val="26"/>
          <w:rtl/>
        </w:rPr>
        <w:t>ביטוח בריאות ממלכתי המוענק לאזרחים ולתושבים בארץ הינו אחד השירותים החשובים ביותר שמעניקה המדינה לתושביה. חשיבות זו מתבטאת בהשקעה חסרת תקדים בשירותי הבריאות, שהרי אין חשוב יותר מבריאותו ושלומו של אדם. השירות המוענק מושתת על עקרונות של צדק, ואף הסעיף הראשון בחוק ביטוח בריאות ממלכתי, התשנ"ד–1994 (להלן – החוק)</w:t>
      </w:r>
      <w:r>
        <w:rPr>
          <w:rFonts w:ascii="Arial" w:eastAsia="Arial Unicode MS" w:hAnsi="Arial" w:cs="David" w:hint="cs"/>
          <w:spacing w:val="0"/>
          <w:sz w:val="20"/>
          <w:szCs w:val="26"/>
          <w:rtl/>
        </w:rPr>
        <w:t>,</w:t>
      </w:r>
      <w:r w:rsidRPr="00723751">
        <w:rPr>
          <w:rFonts w:ascii="Arial" w:eastAsia="Arial Unicode MS" w:hAnsi="Arial" w:cs="David"/>
          <w:spacing w:val="0"/>
          <w:sz w:val="20"/>
          <w:szCs w:val="26"/>
          <w:rtl/>
        </w:rPr>
        <w:t xml:space="preserve"> קובע מפורשות כי "ביטוח הבריאות הממלכתי לפי חוק זה, יהא מושתת על עקרונות של צדק, שוויון ועזרה הדדית".</w:t>
      </w:r>
    </w:p>
    <w:p w14:paraId="7A58A35A" w14:textId="406773FB" w:rsidR="00E14E41" w:rsidRPr="00723751" w:rsidRDefault="00E14E41" w:rsidP="00721532">
      <w:pPr>
        <w:snapToGrid w:val="0"/>
        <w:spacing w:before="0" w:line="360" w:lineRule="auto"/>
        <w:textAlignment w:val="auto"/>
        <w:rPr>
          <w:rFonts w:ascii="Arial" w:eastAsia="Arial Unicode MS" w:hAnsi="Arial" w:cs="David"/>
          <w:spacing w:val="0"/>
          <w:sz w:val="20"/>
          <w:szCs w:val="26"/>
          <w:rtl/>
        </w:rPr>
      </w:pPr>
      <w:r w:rsidRPr="00723751">
        <w:rPr>
          <w:rFonts w:ascii="Arial" w:eastAsia="Arial Unicode MS" w:hAnsi="Arial" w:cs="David"/>
          <w:spacing w:val="0"/>
          <w:sz w:val="20"/>
          <w:szCs w:val="26"/>
          <w:rtl/>
        </w:rPr>
        <w:t>כיום, ביטוח בריאות ממלכתי מבטיח שירותי בריאות לכל תושב ישראל, ואולם  לאחר ש</w:t>
      </w:r>
      <w:r w:rsidR="00721532">
        <w:rPr>
          <w:rFonts w:ascii="Arial" w:eastAsia="Arial Unicode MS" w:hAnsi="Arial" w:cs="David" w:hint="cs"/>
          <w:spacing w:val="0"/>
          <w:sz w:val="20"/>
          <w:szCs w:val="26"/>
          <w:rtl/>
        </w:rPr>
        <w:t>נתיים של</w:t>
      </w:r>
      <w:r w:rsidRPr="00723751">
        <w:rPr>
          <w:rFonts w:ascii="Arial" w:eastAsia="Arial Unicode MS" w:hAnsi="Arial" w:cs="David"/>
          <w:spacing w:val="0"/>
          <w:sz w:val="20"/>
          <w:szCs w:val="26"/>
          <w:rtl/>
        </w:rPr>
        <w:t xml:space="preserve"> היעדרות מישראל ללא תשלום דמי ביטוח (שנת היעדרות הינה תקופה של 12 חודשים רצופים שבמהלכם התגורר אדם 182 ימים מחוץ לישראל), יהיה התושב זכאי לקבלת שירותים רפואיים רק לאחר תקופת המתנה שמגיעה עד שישה חודשים, שאותה ניתן לפדות על ידי תשלום של 11,190 </w:t>
      </w:r>
      <w:r>
        <w:rPr>
          <w:rFonts w:ascii="Arial" w:eastAsia="Arial Unicode MS" w:hAnsi="Arial" w:cs="David" w:hint="cs"/>
          <w:spacing w:val="0"/>
          <w:sz w:val="20"/>
          <w:szCs w:val="26"/>
          <w:rtl/>
        </w:rPr>
        <w:t>שקלים חדשים</w:t>
      </w:r>
      <w:r w:rsidRPr="00723751">
        <w:rPr>
          <w:rFonts w:ascii="Arial" w:eastAsia="Arial Unicode MS" w:hAnsi="Arial" w:cs="David"/>
          <w:spacing w:val="0"/>
          <w:sz w:val="20"/>
          <w:szCs w:val="26"/>
          <w:rtl/>
        </w:rPr>
        <w:t xml:space="preserve"> (נכון לשנת 2017). הוראות החוק ככל הנראה נועדו להתמודד עם </w:t>
      </w:r>
      <w:r w:rsidR="00721532">
        <w:rPr>
          <w:rFonts w:ascii="Arial" w:eastAsia="Arial Unicode MS" w:hAnsi="Arial" w:cs="David" w:hint="cs"/>
          <w:spacing w:val="0"/>
          <w:sz w:val="20"/>
          <w:szCs w:val="26"/>
          <w:rtl/>
        </w:rPr>
        <w:t>מקרים</w:t>
      </w:r>
      <w:r w:rsidRPr="00723751">
        <w:rPr>
          <w:rFonts w:ascii="Arial" w:eastAsia="Arial Unicode MS" w:hAnsi="Arial" w:cs="David"/>
          <w:spacing w:val="0"/>
          <w:sz w:val="20"/>
          <w:szCs w:val="26"/>
          <w:rtl/>
        </w:rPr>
        <w:t xml:space="preserve"> בהם אנשים שמרכז חייהם אינו בארץ מגיעים במיוחד לישראל לקבלת שירותים רפואיים, אך התוצאות בשטח של הוראה זו הן טרגיות ומשפיעות לרעה על חייהם של סטודנטים שבחרו ללמוד מחוץ לישראל.</w:t>
      </w:r>
    </w:p>
    <w:p w14:paraId="357FC009" w14:textId="5BD93F12" w:rsidR="00E14E41" w:rsidRPr="00723751" w:rsidRDefault="00E14E41" w:rsidP="00E14E41">
      <w:pPr>
        <w:snapToGrid w:val="0"/>
        <w:spacing w:before="0" w:line="360" w:lineRule="auto"/>
        <w:textAlignment w:val="auto"/>
        <w:rPr>
          <w:rFonts w:ascii="Arial" w:eastAsia="Arial Unicode MS" w:hAnsi="Arial" w:cs="David"/>
          <w:spacing w:val="0"/>
          <w:sz w:val="20"/>
          <w:szCs w:val="26"/>
          <w:rtl/>
        </w:rPr>
      </w:pPr>
      <w:r w:rsidRPr="00723751">
        <w:rPr>
          <w:rFonts w:ascii="Arial" w:eastAsia="Arial Unicode MS" w:hAnsi="Arial" w:cs="David"/>
          <w:spacing w:val="0"/>
          <w:sz w:val="20"/>
          <w:szCs w:val="26"/>
          <w:rtl/>
        </w:rPr>
        <w:t xml:space="preserve">בשל המגבלות על לימודי מקצועות רפואיים במוסדות האקדמיים בארץ, סטודנטים רבים, בעיקר </w:t>
      </w:r>
      <w:r w:rsidRPr="00723751">
        <w:rPr>
          <w:rFonts w:ascii="Arial" w:eastAsia="Arial Unicode MS" w:hAnsi="Arial" w:cs="David"/>
          <w:spacing w:val="0"/>
          <w:sz w:val="20"/>
          <w:szCs w:val="26"/>
          <w:rtl/>
        </w:rPr>
        <w:lastRenderedPageBreak/>
        <w:t>סטודנטים ערבים, נאלצים לצאת מישראל לצורך הכשרה אקדמית במוסדות בחוץ-לארץ. במהלך השהייה בחו"ל רוב הסטודנטים אינ</w:t>
      </w:r>
      <w:r w:rsidR="00A9751D">
        <w:rPr>
          <w:rFonts w:ascii="Arial" w:eastAsia="Arial Unicode MS" w:hAnsi="Arial" w:cs="David" w:hint="cs"/>
          <w:spacing w:val="0"/>
          <w:sz w:val="20"/>
          <w:szCs w:val="26"/>
          <w:rtl/>
        </w:rPr>
        <w:t>ם</w:t>
      </w:r>
      <w:r w:rsidRPr="00723751">
        <w:rPr>
          <w:rFonts w:ascii="Arial" w:eastAsia="Arial Unicode MS" w:hAnsi="Arial" w:cs="David"/>
          <w:spacing w:val="0"/>
          <w:sz w:val="20"/>
          <w:szCs w:val="26"/>
          <w:rtl/>
        </w:rPr>
        <w:t xml:space="preserve"> מקבל</w:t>
      </w:r>
      <w:r w:rsidR="00A9751D">
        <w:rPr>
          <w:rFonts w:ascii="Arial" w:eastAsia="Arial Unicode MS" w:hAnsi="Arial" w:cs="David" w:hint="cs"/>
          <w:spacing w:val="0"/>
          <w:sz w:val="20"/>
          <w:szCs w:val="26"/>
          <w:rtl/>
        </w:rPr>
        <w:t>ים</w:t>
      </w:r>
      <w:r w:rsidRPr="00723751">
        <w:rPr>
          <w:rFonts w:ascii="Arial" w:eastAsia="Arial Unicode MS" w:hAnsi="Arial" w:cs="David"/>
          <w:spacing w:val="0"/>
          <w:sz w:val="20"/>
          <w:szCs w:val="26"/>
          <w:rtl/>
        </w:rPr>
        <w:t xml:space="preserve"> את שירותי הבריאות שמעניקה המדינה, ובמקביל רוב הסטודנטים, בשל מגבלות כלכליות, אינם משלמים את דמי הביטוח המוטלים עליהם מכוח החוק. סטודנטים אלו מבקרים בתקופת הלימודים בארץ מדי שנה, למשך שבועות ספורים, שאינם רצופים, ושאינם מגיעים לכדי 25 ימים רצופים כנדרש בחוק כדי שימים אלה יובאו בחשבון כימי שהייה.</w:t>
      </w:r>
    </w:p>
    <w:p w14:paraId="00F6FB5B" w14:textId="77777777" w:rsidR="00E14E41" w:rsidRPr="00723751" w:rsidRDefault="00E14E41" w:rsidP="00E14E41">
      <w:pPr>
        <w:snapToGrid w:val="0"/>
        <w:spacing w:before="0" w:line="360" w:lineRule="auto"/>
        <w:textAlignment w:val="auto"/>
        <w:rPr>
          <w:rFonts w:ascii="Arial" w:eastAsia="Arial Unicode MS" w:hAnsi="Arial" w:cs="David"/>
          <w:spacing w:val="0"/>
          <w:sz w:val="20"/>
          <w:szCs w:val="26"/>
          <w:rtl/>
        </w:rPr>
      </w:pPr>
      <w:r w:rsidRPr="00723751">
        <w:rPr>
          <w:rFonts w:ascii="Arial" w:eastAsia="Arial Unicode MS" w:hAnsi="Arial" w:cs="David"/>
          <w:spacing w:val="0"/>
          <w:sz w:val="20"/>
          <w:szCs w:val="26"/>
          <w:rtl/>
        </w:rPr>
        <w:t>התוצאה היא שסטודנטים רבים שמסיימים את לימודיהם האקדמיים בחו"ל, חוזרים לארץ עם חוב עצום לדמי ביטוח לאומי ודמי ביטוח בריאות, חובות שמתווספים לחובות רבים שהצטברו בשל הוצאות הלימוד הגבוהות בחו"ל. העובדה שסטודנטים רבים נאלצים לדחות את תשלומי חובותיהם לביטוח הבריאות, משאירה אותם ללא שירותי בריאות במשך חודשים רבים. דבר זה חמור במיוחד ודורש התערבות מידית. האופציה שעומדת בפני הסטודנטים היום בחוק הינה תשלום סכום גבוה במיוחד לפדיון תקופת ההמתנה, ואינו מותאם למציאות שחיים בה סטודנטים צעירים אלה, השקועים בחובות של עשרות אלפי שקלים כתוצאה מלימודיהם בחו"ל. השלכה נוספת של "סכום פדיון" גבוה זה, הינה נסיעה של אותם סטודנטים לחו"ל לקבלת טיפולים רפואיים אשר עולים פחות מסכום זה, טיפולים רפואיים שאינם איכותיים ברוב המקרים.</w:t>
      </w:r>
    </w:p>
    <w:p w14:paraId="27D71DCD" w14:textId="37F6A26E" w:rsidR="00A9751D" w:rsidRDefault="00721532" w:rsidP="00721532">
      <w:pPr>
        <w:snapToGrid w:val="0"/>
        <w:spacing w:before="0" w:line="360" w:lineRule="auto"/>
        <w:textAlignment w:val="auto"/>
        <w:rPr>
          <w:rFonts w:ascii="Arial" w:eastAsia="Arial Unicode MS" w:hAnsi="Arial" w:cs="David"/>
          <w:spacing w:val="0"/>
          <w:sz w:val="20"/>
          <w:szCs w:val="26"/>
          <w:rtl/>
        </w:rPr>
      </w:pPr>
      <w:r>
        <w:rPr>
          <w:rFonts w:ascii="Arial" w:eastAsia="Arial Unicode MS" w:hAnsi="Arial" w:cs="David" w:hint="cs"/>
          <w:spacing w:val="0"/>
          <w:sz w:val="20"/>
          <w:szCs w:val="26"/>
          <w:rtl/>
        </w:rPr>
        <w:t xml:space="preserve">לפיכך, </w:t>
      </w:r>
      <w:r w:rsidRPr="00723751">
        <w:rPr>
          <w:rFonts w:ascii="Arial" w:eastAsia="Arial Unicode MS" w:hAnsi="Arial" w:cs="David"/>
          <w:spacing w:val="0"/>
          <w:sz w:val="20"/>
          <w:szCs w:val="26"/>
          <w:rtl/>
        </w:rPr>
        <w:t>מוצע</w:t>
      </w:r>
      <w:r>
        <w:rPr>
          <w:rFonts w:ascii="Arial" w:eastAsia="Arial Unicode MS" w:hAnsi="Arial" w:cs="David" w:hint="cs"/>
          <w:spacing w:val="0"/>
          <w:sz w:val="20"/>
          <w:szCs w:val="26"/>
          <w:rtl/>
        </w:rPr>
        <w:t xml:space="preserve"> לקבוע</w:t>
      </w:r>
      <w:r w:rsidRPr="00723751">
        <w:rPr>
          <w:rFonts w:ascii="Arial" w:eastAsia="Arial Unicode MS" w:hAnsi="Arial" w:cs="David"/>
          <w:spacing w:val="0"/>
          <w:sz w:val="20"/>
          <w:szCs w:val="26"/>
          <w:rtl/>
        </w:rPr>
        <w:t xml:space="preserve"> כי תקופה שבה סטודנט למד במוסד להשכלה גבוהה בחוץ לארץ, לא תיחשב כתקופת היעדרות מישראל</w:t>
      </w:r>
      <w:r>
        <w:rPr>
          <w:rFonts w:ascii="Arial" w:eastAsia="Arial Unicode MS" w:hAnsi="Arial" w:cs="David" w:hint="cs"/>
          <w:spacing w:val="0"/>
          <w:sz w:val="20"/>
          <w:szCs w:val="26"/>
          <w:rtl/>
        </w:rPr>
        <w:t xml:space="preserve"> לעניין חוק ביטוח בריאות ממלכתי, ובכך לסייע </w:t>
      </w:r>
      <w:r w:rsidR="00E14E41" w:rsidRPr="00723751">
        <w:rPr>
          <w:rFonts w:ascii="Arial" w:eastAsia="Arial Unicode MS" w:hAnsi="Arial" w:cs="David"/>
          <w:spacing w:val="0"/>
          <w:sz w:val="20"/>
          <w:szCs w:val="26"/>
          <w:rtl/>
        </w:rPr>
        <w:t xml:space="preserve">לסטודנטים אלה, דור העתיד והתקווה של כולנו, להמשיך ולהצליח בחייהם ולתרום למערכת הבריאות בארץ. </w:t>
      </w:r>
    </w:p>
    <w:p w14:paraId="395A99D5" w14:textId="5AC8FC07" w:rsidR="00E14E41" w:rsidRDefault="00E14E41" w:rsidP="00721532">
      <w:pPr>
        <w:pStyle w:val="Hesber"/>
        <w:rPr>
          <w:rtl/>
        </w:rPr>
      </w:pPr>
      <w:r>
        <w:rPr>
          <w:rFonts w:hint="cs"/>
          <w:rtl/>
        </w:rPr>
        <w:t xml:space="preserve">הצעות חוק זהות הונחו על שולחן הכנסת העשרים ושלוש </w:t>
      </w:r>
      <w:r w:rsidR="00721532">
        <w:rPr>
          <w:rFonts w:hint="cs"/>
          <w:rtl/>
        </w:rPr>
        <w:t xml:space="preserve">על ידי </w:t>
      </w:r>
      <w:r>
        <w:rPr>
          <w:rFonts w:hint="cs"/>
          <w:rtl/>
        </w:rPr>
        <w:t>חברת הכנסת עאידה תומא סלימאן (פ/1911/23</w:t>
      </w:r>
      <w:r w:rsidR="00721532">
        <w:rPr>
          <w:rFonts w:hint="cs"/>
          <w:rtl/>
        </w:rPr>
        <w:t>) ועל שולחן הכנסת העשרים וארבע על ידי חברת הכנסת עאידה תומא סלימאן וקבוצת חברי הכנסת (</w:t>
      </w:r>
      <w:r>
        <w:rPr>
          <w:rFonts w:hint="cs"/>
          <w:rtl/>
        </w:rPr>
        <w:t>פ/969/24) ועל ידי ח</w:t>
      </w:r>
      <w:r w:rsidR="00A9751D">
        <w:rPr>
          <w:rFonts w:hint="cs"/>
          <w:rtl/>
        </w:rPr>
        <w:t>בר הכנסת</w:t>
      </w:r>
      <w:r>
        <w:rPr>
          <w:rFonts w:hint="cs"/>
          <w:rtl/>
        </w:rPr>
        <w:t xml:space="preserve"> מנסור עבאס וקבוצת חברי כנסת (פ/2160/24).</w:t>
      </w:r>
    </w:p>
    <w:p w14:paraId="57BDE729" w14:textId="6B799080" w:rsidR="00374705" w:rsidRDefault="00374705" w:rsidP="00E14E41">
      <w:pPr>
        <w:pStyle w:val="Hesber"/>
        <w:rPr>
          <w:rtl/>
        </w:rPr>
      </w:pPr>
    </w:p>
    <w:p w14:paraId="7F6961CB" w14:textId="77777777" w:rsidR="00E13C27" w:rsidRDefault="00E13C27" w:rsidP="00E13C27">
      <w:pPr>
        <w:pStyle w:val="Hesber"/>
        <w:rPr>
          <w:rtl/>
        </w:rPr>
      </w:pPr>
    </w:p>
    <w:p w14:paraId="7D028E61" w14:textId="77777777" w:rsidR="00520210" w:rsidRDefault="00750BE8">
      <w:pPr>
        <w:spacing w:before="0" w:line="360" w:lineRule="auto"/>
        <w:jc w:val="left"/>
      </w:pPr>
      <w:bookmarkStart w:id="9" w:name="selectedDocDateB"/>
      <w:bookmarkEnd w:id="9"/>
      <w:r>
        <w:rPr>
          <w:rFonts w:ascii="David" w:eastAsia="David" w:hAnsi="David" w:cs="David" w:hint="cs"/>
          <w:sz w:val="26"/>
          <w:szCs w:val="26"/>
          <w:rtl/>
        </w:rPr>
        <w:t>--------------------------------</w:t>
      </w:r>
    </w:p>
    <w:p w14:paraId="661D1061" w14:textId="77777777" w:rsidR="00520210" w:rsidRDefault="00750BE8">
      <w:pPr>
        <w:spacing w:before="0" w:line="360" w:lineRule="auto"/>
        <w:jc w:val="left"/>
      </w:pPr>
      <w:r>
        <w:rPr>
          <w:rFonts w:ascii="David" w:eastAsia="David" w:hAnsi="David" w:cs="David" w:hint="cs"/>
          <w:sz w:val="26"/>
          <w:szCs w:val="26"/>
          <w:rtl/>
        </w:rPr>
        <w:t>הוגשה ליו"ר הכנסת והסגנים</w:t>
      </w:r>
    </w:p>
    <w:p w14:paraId="040A3DDF" w14:textId="77777777" w:rsidR="00520210" w:rsidRDefault="00750BE8">
      <w:pPr>
        <w:spacing w:before="0" w:line="360" w:lineRule="auto"/>
        <w:jc w:val="left"/>
      </w:pPr>
      <w:r>
        <w:rPr>
          <w:rFonts w:ascii="David" w:eastAsia="David" w:hAnsi="David" w:cs="David" w:hint="cs"/>
          <w:sz w:val="26"/>
          <w:szCs w:val="26"/>
          <w:rtl/>
        </w:rPr>
        <w:t>והונחה על שולחן הכנסת ביום</w:t>
      </w:r>
    </w:p>
    <w:p w14:paraId="17F44551" w14:textId="77777777" w:rsidR="00520210" w:rsidRDefault="00750BE8">
      <w:pPr>
        <w:spacing w:before="0" w:line="360" w:lineRule="auto"/>
        <w:jc w:val="left"/>
      </w:pPr>
      <w:r>
        <w:rPr>
          <w:rFonts w:ascii="David" w:eastAsia="David" w:hAnsi="David" w:cs="David" w:hint="cs"/>
          <w:sz w:val="26"/>
          <w:szCs w:val="26"/>
          <w:rtl/>
        </w:rPr>
        <w:t xml:space="preserve">כ"ו בחשוון התשפ"ב (01.11.2021) </w:t>
      </w:r>
    </w:p>
    <w:p w14:paraId="4DCE438E" w14:textId="77777777" w:rsidR="00520210" w:rsidRDefault="00520210">
      <w:pPr>
        <w:spacing w:before="0" w:line="276" w:lineRule="auto"/>
        <w:jc w:val="left"/>
      </w:pPr>
    </w:p>
    <w:sectPr w:rsidR="00520210"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750BE8">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59E24E05" w14:textId="77777777" w:rsidR="00E14E41" w:rsidRDefault="00E14E41" w:rsidP="00E14E41">
      <w:pPr>
        <w:pStyle w:val="a4"/>
        <w:rPr>
          <w:rtl/>
        </w:rPr>
      </w:pPr>
      <w:r>
        <w:rPr>
          <w:rStyle w:val="a5"/>
        </w:rPr>
        <w:footnoteRef/>
      </w:r>
      <w:r>
        <w:rPr>
          <w:rtl/>
        </w:rPr>
        <w:t xml:space="preserve"> </w:t>
      </w:r>
      <w:r>
        <w:rPr>
          <w:rFonts w:hint="cs"/>
          <w:rtl/>
        </w:rPr>
        <w:t>ס"ח התשנ"ד, עמ' 156.</w:t>
      </w:r>
    </w:p>
  </w:footnote>
  <w:footnote w:id="3">
    <w:p w14:paraId="59D802D6" w14:textId="77777777" w:rsidR="00E14E41" w:rsidRDefault="00E14E41" w:rsidP="00E14E41">
      <w:pPr>
        <w:pStyle w:val="a4"/>
      </w:pPr>
      <w:r>
        <w:rPr>
          <w:rStyle w:val="a5"/>
        </w:rPr>
        <w:footnoteRef/>
      </w:r>
      <w:r>
        <w:rPr>
          <w:rtl/>
        </w:rPr>
        <w:t xml:space="preserve"> </w:t>
      </w:r>
      <w:r>
        <w:rPr>
          <w:sz w:val="20"/>
          <w:rtl/>
        </w:rPr>
        <w:t>ס"ח התשי"ח, עמ' 191.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74705"/>
    <w:rsid w:val="00386E88"/>
    <w:rsid w:val="00396585"/>
    <w:rsid w:val="003D6E38"/>
    <w:rsid w:val="003D74A0"/>
    <w:rsid w:val="004033D8"/>
    <w:rsid w:val="004073F0"/>
    <w:rsid w:val="00412A7D"/>
    <w:rsid w:val="00416B4D"/>
    <w:rsid w:val="00417CFC"/>
    <w:rsid w:val="00456B76"/>
    <w:rsid w:val="004A06DC"/>
    <w:rsid w:val="004B24ED"/>
    <w:rsid w:val="004B6625"/>
    <w:rsid w:val="004D2D82"/>
    <w:rsid w:val="004D3876"/>
    <w:rsid w:val="004E4552"/>
    <w:rsid w:val="004E6CDF"/>
    <w:rsid w:val="00520210"/>
    <w:rsid w:val="00553C9D"/>
    <w:rsid w:val="00562A66"/>
    <w:rsid w:val="005B064E"/>
    <w:rsid w:val="005D51AE"/>
    <w:rsid w:val="0062674B"/>
    <w:rsid w:val="006363B2"/>
    <w:rsid w:val="00644940"/>
    <w:rsid w:val="006818A9"/>
    <w:rsid w:val="006A2D81"/>
    <w:rsid w:val="006C1D0D"/>
    <w:rsid w:val="0070601E"/>
    <w:rsid w:val="00712C72"/>
    <w:rsid w:val="00721532"/>
    <w:rsid w:val="00735FE9"/>
    <w:rsid w:val="00750BE8"/>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9751D"/>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14E41"/>
    <w:rsid w:val="00E33BBD"/>
    <w:rsid w:val="00E374F2"/>
    <w:rsid w:val="00E45103"/>
    <w:rsid w:val="00E55A60"/>
    <w:rsid w:val="00E62778"/>
    <w:rsid w:val="00E635A2"/>
    <w:rsid w:val="00E63D38"/>
    <w:rsid w:val="00E665B9"/>
    <w:rsid w:val="00E923E7"/>
    <w:rsid w:val="00EA01E6"/>
    <w:rsid w:val="00EA3DE8"/>
    <w:rsid w:val="00EA758F"/>
    <w:rsid w:val="00ED4A6F"/>
    <w:rsid w:val="00EE3DD0"/>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7CB6528C-FFB7-4923-A912-10DCBC3F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A6829928-CE44-4160-9710-C43088976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AFE3-9455-419C-8851-785A55F44517}">
  <ds:schemaRef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0DA88CFB-1BFA-4995-B36A-C509BFD7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517</Words>
  <Characters>2952</Characters>
  <Application>Microsoft Office Word</Application>
  <DocSecurity>0</DocSecurity>
  <Lines>24</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10</cp:revision>
  <cp:lastPrinted>2021-10-26T11:37:00Z</cp:lastPrinted>
  <dcterms:created xsi:type="dcterms:W3CDTF">2015-04-20T09:58:00Z</dcterms:created>
  <dcterms:modified xsi:type="dcterms:W3CDTF">2021-10-26T11:37:00Z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2163454</vt:r8>
  </property>
</Properties>
</file>