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77777777" w:rsidR="002C2E29" w:rsidRPr="00E635A2" w:rsidRDefault="004033D8" w:rsidP="00E635A2">
      <w:pPr>
        <w:jc w:val="right"/>
        <w:rPr>
          <w:rFonts w:cs="David"/>
          <w:b/>
          <w:bCs/>
          <w:sz w:val="20"/>
          <w:szCs w:val="20"/>
        </w:rPr>
      </w:pPr>
      <w:r w:rsidRPr="00E635A2">
        <w:rPr>
          <w:rFonts w:cs="David" w:hint="cs"/>
          <w:sz w:val="20"/>
          <w:szCs w:val="20"/>
          <w:rtl/>
        </w:rPr>
        <w:t xml:space="preserve">מספר פנימי: </w:t>
      </w:r>
      <w:bookmarkStart w:id="0" w:name="LGS_Internal_ID"/>
      <w:r>
        <w:rPr>
          <w:rFonts w:cs="David" w:hint="cs"/>
          <w:sz w:val="20"/>
          <w:szCs w:val="20"/>
          <w:rtl/>
        </w:rPr>
        <w:t>2162295</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 וארבע</w:t>
      </w:r>
      <w:bookmarkEnd w:id="1"/>
    </w:p>
    <w:p w14:paraId="7F6961A3" w14:textId="77777777" w:rsidR="00E13C27" w:rsidRPr="00F67051" w:rsidRDefault="00E13C27" w:rsidP="00E13C27">
      <w:pPr>
        <w:rPr>
          <w:rFonts w:cs="David"/>
          <w:b/>
          <w:bCs/>
          <w:sz w:val="26"/>
          <w:szCs w:val="26"/>
          <w:rtl/>
        </w:rPr>
      </w:pPr>
    </w:p>
    <w:p w14:paraId="7F6961AA" w14:textId="6688AC8A" w:rsidR="00E13C27" w:rsidRPr="00CF1AA2" w:rsidRDefault="008F6665" w:rsidP="005E6CC1">
      <w:pPr>
        <w:pStyle w:val="David"/>
        <w:spacing w:line="360" w:lineRule="auto"/>
        <w:ind w:left="3544"/>
        <w:rPr>
          <w:b/>
          <w:bCs/>
          <w:sz w:val="16"/>
          <w:szCs w:val="16"/>
          <w:rtl/>
        </w:rPr>
      </w:pPr>
      <w:bookmarkStart w:id="2" w:name="LGS_Initiators_List"/>
      <w:r>
        <w:rPr>
          <w:b/>
          <w:bCs/>
          <w:rtl/>
        </w:rPr>
        <w:t>יוזמים:      חברי הכנסת</w:t>
      </w:r>
      <w:bookmarkEnd w:id="2"/>
      <w:r w:rsidR="00B35784" w:rsidRPr="00F67051">
        <w:rPr>
          <w:b/>
          <w:bCs/>
        </w:rPr>
        <w:tab/>
      </w:r>
      <w:bookmarkStart w:id="3" w:name="LGS_PM_Names"/>
      <w:r>
        <w:rPr>
          <w:rFonts w:hint="cs"/>
          <w:b/>
          <w:bCs/>
          <w:rtl/>
        </w:rPr>
        <w:t>יבגני סובה</w:t>
      </w:r>
      <w:r>
        <w:br/>
      </w:r>
      <w:r>
        <w:rPr>
          <w:rFonts w:hint="cs"/>
          <w:b/>
          <w:bCs/>
          <w:rtl/>
        </w:rPr>
        <w:t xml:space="preserve"> </w:t>
      </w:r>
      <w:r>
        <w:tab/>
      </w:r>
      <w:r>
        <w:tab/>
      </w:r>
      <w:r>
        <w:tab/>
      </w:r>
      <w:r>
        <w:tab/>
      </w:r>
      <w:r>
        <w:rPr>
          <w:rFonts w:hint="cs"/>
          <w:b/>
          <w:bCs/>
          <w:rtl/>
        </w:rPr>
        <w:t>יוליה מלינובסקי</w:t>
      </w:r>
      <w:r>
        <w:br/>
      </w:r>
      <w:r>
        <w:rPr>
          <w:rFonts w:hint="cs"/>
          <w:b/>
          <w:bCs/>
          <w:rtl/>
        </w:rPr>
        <w:t xml:space="preserve"> </w:t>
      </w:r>
      <w:r>
        <w:tab/>
      </w:r>
      <w:r>
        <w:tab/>
      </w:r>
      <w:r>
        <w:tab/>
      </w:r>
      <w:r>
        <w:tab/>
      </w:r>
      <w:r>
        <w:rPr>
          <w:rFonts w:hint="cs"/>
          <w:b/>
          <w:bCs/>
          <w:rtl/>
        </w:rPr>
        <w:t>אלכס קושניר</w:t>
      </w:r>
      <w:r>
        <w:br/>
      </w:r>
      <w:r>
        <w:rPr>
          <w:rFonts w:hint="cs"/>
          <w:b/>
          <w:bCs/>
          <w:rtl/>
        </w:rPr>
        <w:t xml:space="preserve"> </w:t>
      </w:r>
      <w:r>
        <w:tab/>
      </w:r>
      <w:r>
        <w:tab/>
      </w:r>
      <w:r>
        <w:tab/>
      </w:r>
      <w:r>
        <w:tab/>
      </w:r>
      <w:r>
        <w:rPr>
          <w:rFonts w:hint="cs"/>
          <w:b/>
          <w:bCs/>
          <w:rtl/>
        </w:rPr>
        <w:t>יוסף שיין</w:t>
      </w:r>
      <w:r>
        <w:br/>
      </w:r>
      <w:r>
        <w:rPr>
          <w:rFonts w:hint="cs"/>
          <w:b/>
          <w:bCs/>
          <w:rtl/>
        </w:rPr>
        <w:t xml:space="preserve"> </w:t>
      </w:r>
      <w:r>
        <w:tab/>
      </w:r>
      <w:r>
        <w:tab/>
      </w:r>
      <w:r>
        <w:tab/>
      </w:r>
      <w:r>
        <w:tab/>
      </w:r>
      <w:r>
        <w:rPr>
          <w:rFonts w:hint="cs"/>
          <w:b/>
          <w:bCs/>
          <w:rtl/>
        </w:rPr>
        <w:t>לימור מגן תלם</w:t>
      </w:r>
      <w:r>
        <w:br/>
      </w:r>
      <w:r>
        <w:rPr>
          <w:rFonts w:hint="cs"/>
          <w:b/>
          <w:bCs/>
          <w:rtl/>
        </w:rPr>
        <w:t xml:space="preserve"> </w:t>
      </w:r>
      <w:r>
        <w:tab/>
      </w:r>
      <w:r>
        <w:tab/>
      </w:r>
      <w:r>
        <w:tab/>
      </w:r>
      <w:r>
        <w:tab/>
      </w:r>
      <w:r>
        <w:rPr>
          <w:rFonts w:hint="cs"/>
          <w:b/>
          <w:bCs/>
          <w:rtl/>
        </w:rPr>
        <w:t>אלינה ברדץ' יאלוב</w:t>
      </w:r>
      <w:r>
        <w:br/>
      </w:r>
      <w:r>
        <w:rPr>
          <w:rFonts w:hint="cs"/>
          <w:b/>
          <w:bCs/>
          <w:rtl/>
        </w:rPr>
        <w:t xml:space="preserve"> </w:t>
      </w:r>
      <w:r>
        <w:tab/>
      </w:r>
      <w:r>
        <w:tab/>
      </w:r>
      <w:r>
        <w:tab/>
      </w:r>
      <w:r>
        <w:tab/>
      </w:r>
      <w:r>
        <w:rPr>
          <w:rFonts w:hint="cs"/>
          <w:b/>
          <w:bCs/>
          <w:rtl/>
        </w:rPr>
        <w:t>שרון רופא אופיר</w:t>
      </w:r>
      <w:bookmarkStart w:id="4" w:name="LGS_Join_List"/>
      <w:bookmarkEnd w:id="3"/>
      <w:r w:rsidR="007D585A">
        <w:rPr>
          <w:rtl/>
        </w:rPr>
        <w:t xml:space="preserve"> </w:t>
      </w:r>
      <w:bookmarkEnd w:id="4"/>
      <w:r w:rsidR="002200A1" w:rsidRPr="00CF1AA2">
        <w:rPr>
          <w:rFonts w:hint="cs"/>
          <w:rtl/>
        </w:rPr>
        <w:tab/>
      </w:r>
      <w:bookmarkStart w:id="5" w:name="LGS_PM_NamesJoin"/>
      <w:r w:rsidR="007D585A">
        <w:rPr>
          <w:rFonts w:hint="cs"/>
          <w:rtl/>
        </w:rPr>
        <w:t xml:space="preserve"> </w:t>
      </w:r>
      <w:bookmarkEnd w:id="5"/>
    </w:p>
    <w:p w14:paraId="34DB4103" w14:textId="77777777" w:rsidR="00904591" w:rsidRPr="00904591" w:rsidRDefault="00266D86" w:rsidP="0036422C">
      <w:pPr>
        <w:pStyle w:val="David"/>
        <w:spacing w:before="0" w:line="360" w:lineRule="auto"/>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B" w14:textId="256138AA" w:rsidR="00E13C27" w:rsidRPr="00E06736" w:rsidRDefault="00904591" w:rsidP="00904591">
      <w:pPr>
        <w:pStyle w:val="David"/>
        <w:spacing w:before="0" w:line="240" w:lineRule="auto"/>
        <w:ind w:left="3544"/>
        <w:rPr>
          <w:rtl/>
        </w:rPr>
      </w:pPr>
      <w:r>
        <w:t xml:space="preserve">                                            </w:t>
      </w:r>
      <w:r w:rsidR="008F1308">
        <w:t xml:space="preserve"> </w:t>
      </w:r>
      <w:bookmarkStart w:id="6" w:name="Private_Number"/>
      <w:r>
        <w:rPr>
          <w:rFonts w:hint="cs"/>
          <w:rtl/>
        </w:rPr>
        <w:t>פ/2390/24</w:t>
      </w:r>
      <w:bookmarkEnd w:id="6"/>
    </w:p>
    <w:p w14:paraId="7F6961AC" w14:textId="77777777" w:rsidR="00E13C27" w:rsidRDefault="00E13C27" w:rsidP="00E13C27">
      <w:pPr>
        <w:spacing w:before="0" w:line="360" w:lineRule="auto"/>
        <w:ind w:left="2880" w:firstLine="720"/>
        <w:rPr>
          <w:rFonts w:cs="David"/>
          <w:sz w:val="26"/>
          <w:szCs w:val="26"/>
          <w:rtl/>
        </w:rPr>
      </w:pPr>
    </w:p>
    <w:p w14:paraId="7F6961AD" w14:textId="24976F66" w:rsidR="00E13C27" w:rsidRPr="00F67051" w:rsidRDefault="00A443CF" w:rsidP="00775C40">
      <w:pPr>
        <w:pStyle w:val="HeadHatzaotHok"/>
        <w:rPr>
          <w:rtl/>
        </w:rPr>
      </w:pPr>
      <w:bookmarkStart w:id="7" w:name="LGS_Subject"/>
      <w:r>
        <w:rPr>
          <w:rFonts w:hint="cs"/>
          <w:rtl/>
        </w:rPr>
        <w:t xml:space="preserve">הצעת חוק עבודת הנוער (תיקון </w:t>
      </w:r>
      <w:r w:rsidR="00775C40">
        <w:rPr>
          <w:rFonts w:hint="eastAsia"/>
          <w:rtl/>
        </w:rPr>
        <w:t>–</w:t>
      </w:r>
      <w:r w:rsidR="00775C40">
        <w:rPr>
          <w:rFonts w:hint="cs"/>
          <w:rtl/>
        </w:rPr>
        <w:t xml:space="preserve"> העסקה במנוחה השבועית), התשפ"ב</w:t>
      </w:r>
      <w:r w:rsidR="00775C40">
        <w:rPr>
          <w:rFonts w:hint="eastAsia"/>
          <w:rtl/>
        </w:rPr>
        <w:t>–</w:t>
      </w:r>
      <w:r>
        <w:rPr>
          <w:rFonts w:hint="cs"/>
          <w:rtl/>
        </w:rPr>
        <w:t>2021</w:t>
      </w:r>
      <w:bookmarkEnd w:id="7"/>
    </w:p>
    <w:p w14:paraId="7F6961AE" w14:textId="77777777" w:rsidR="00E13C27" w:rsidRDefault="00E13C27" w:rsidP="0021633A">
      <w:pPr>
        <w:pStyle w:val="HeadDivreiHesber"/>
        <w:spacing w:before="0" w:after="0"/>
        <w:rPr>
          <w:rtl/>
        </w:rPr>
      </w:pPr>
    </w:p>
    <w:tbl>
      <w:tblPr>
        <w:bidiVisual/>
        <w:tblW w:w="9641"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624"/>
        <w:gridCol w:w="624"/>
        <w:gridCol w:w="5898"/>
      </w:tblGrid>
      <w:tr w:rsidR="00471484" w14:paraId="23D02EC9" w14:textId="77777777" w:rsidTr="00E61517">
        <w:trPr>
          <w:cantSplit/>
          <w:trHeight w:val="60"/>
        </w:trPr>
        <w:tc>
          <w:tcPr>
            <w:tcW w:w="1871" w:type="dxa"/>
          </w:tcPr>
          <w:p w14:paraId="61FCC87B" w14:textId="37D3BC3C" w:rsidR="00471484" w:rsidRDefault="00471484" w:rsidP="00471484">
            <w:pPr>
              <w:pStyle w:val="TableSideHeading"/>
              <w:keepLines w:val="0"/>
            </w:pPr>
            <w:r>
              <w:rPr>
                <w:rFonts w:hint="cs"/>
                <w:rtl/>
              </w:rPr>
              <w:t>תיקון סעיף 21</w:t>
            </w:r>
          </w:p>
        </w:tc>
        <w:tc>
          <w:tcPr>
            <w:tcW w:w="624" w:type="dxa"/>
          </w:tcPr>
          <w:p w14:paraId="39A4049B" w14:textId="77777777" w:rsidR="00471484" w:rsidRDefault="00471484" w:rsidP="00574093">
            <w:pPr>
              <w:pStyle w:val="TableText"/>
              <w:keepLines w:val="0"/>
            </w:pPr>
            <w:r>
              <w:rPr>
                <w:rFonts w:hint="cs"/>
                <w:rtl/>
              </w:rPr>
              <w:t>1.</w:t>
            </w:r>
          </w:p>
        </w:tc>
        <w:tc>
          <w:tcPr>
            <w:tcW w:w="7146" w:type="dxa"/>
            <w:gridSpan w:val="3"/>
          </w:tcPr>
          <w:p w14:paraId="645173B1" w14:textId="4B7272C3" w:rsidR="00471484" w:rsidRPr="00A63A83" w:rsidRDefault="00471484" w:rsidP="00775C40">
            <w:pPr>
              <w:pStyle w:val="TableHead"/>
              <w:keepLines w:val="0"/>
              <w:jc w:val="both"/>
              <w:rPr>
                <w:b w:val="0"/>
                <w:bCs w:val="0"/>
              </w:rPr>
            </w:pPr>
            <w:r w:rsidRPr="00A63A83">
              <w:rPr>
                <w:rFonts w:hint="cs"/>
                <w:b w:val="0"/>
                <w:bCs w:val="0"/>
                <w:rtl/>
              </w:rPr>
              <w:t>ב</w:t>
            </w:r>
            <w:r w:rsidRPr="00A63A83">
              <w:rPr>
                <w:b w:val="0"/>
                <w:bCs w:val="0"/>
                <w:rtl/>
              </w:rPr>
              <w:t>חוק עבודת הנוער</w:t>
            </w:r>
            <w:r w:rsidRPr="00A63A83">
              <w:rPr>
                <w:rFonts w:hint="cs"/>
                <w:b w:val="0"/>
                <w:bCs w:val="0"/>
                <w:rtl/>
              </w:rPr>
              <w:t>, התשי"ג</w:t>
            </w:r>
            <w:r w:rsidRPr="00A63A83">
              <w:rPr>
                <w:b w:val="0"/>
                <w:bCs w:val="0"/>
                <w:rtl/>
              </w:rPr>
              <w:t>–</w:t>
            </w:r>
            <w:r w:rsidRPr="00A63A83">
              <w:rPr>
                <w:rFonts w:hint="cs"/>
                <w:b w:val="0"/>
                <w:bCs w:val="0"/>
                <w:rtl/>
              </w:rPr>
              <w:t>1953</w:t>
            </w:r>
            <w:r w:rsidRPr="00A63A83">
              <w:rPr>
                <w:rStyle w:val="a5"/>
                <w:b w:val="0"/>
                <w:bCs w:val="0"/>
                <w:rtl/>
              </w:rPr>
              <w:footnoteReference w:id="2"/>
            </w:r>
            <w:r w:rsidRPr="00A63A83">
              <w:rPr>
                <w:rFonts w:hint="cs"/>
                <w:b w:val="0"/>
                <w:bCs w:val="0"/>
                <w:rtl/>
              </w:rPr>
              <w:t xml:space="preserve"> </w:t>
            </w:r>
            <w:r w:rsidR="006D1AB6">
              <w:rPr>
                <w:rFonts w:hint="cs"/>
                <w:b w:val="0"/>
                <w:bCs w:val="0"/>
                <w:rtl/>
              </w:rPr>
              <w:t xml:space="preserve">(להלן </w:t>
            </w:r>
            <w:r w:rsidR="006D1AB6">
              <w:rPr>
                <w:b w:val="0"/>
                <w:bCs w:val="0"/>
                <w:rtl/>
              </w:rPr>
              <w:t>–</w:t>
            </w:r>
            <w:r w:rsidR="006D1AB6">
              <w:rPr>
                <w:rFonts w:hint="cs"/>
                <w:b w:val="0"/>
                <w:bCs w:val="0"/>
                <w:rtl/>
              </w:rPr>
              <w:t xml:space="preserve"> החוק </w:t>
            </w:r>
            <w:r w:rsidR="00775C40">
              <w:rPr>
                <w:rFonts w:hint="cs"/>
                <w:b w:val="0"/>
                <w:bCs w:val="0"/>
                <w:rtl/>
              </w:rPr>
              <w:t>העיקרי</w:t>
            </w:r>
            <w:r w:rsidR="006D1AB6">
              <w:rPr>
                <w:rFonts w:hint="cs"/>
                <w:b w:val="0"/>
                <w:bCs w:val="0"/>
                <w:rtl/>
              </w:rPr>
              <w:t xml:space="preserve">) </w:t>
            </w:r>
            <w:r>
              <w:rPr>
                <w:rFonts w:hint="cs"/>
                <w:b w:val="0"/>
                <w:bCs w:val="0"/>
                <w:rtl/>
              </w:rPr>
              <w:t xml:space="preserve">בסעיף 21 </w:t>
            </w:r>
            <w:r>
              <w:rPr>
                <w:b w:val="0"/>
                <w:bCs w:val="0"/>
                <w:rtl/>
              </w:rPr>
              <w:t>–</w:t>
            </w:r>
            <w:r>
              <w:rPr>
                <w:rFonts w:hint="cs"/>
                <w:b w:val="0"/>
                <w:bCs w:val="0"/>
                <w:rtl/>
              </w:rPr>
              <w:t xml:space="preserve"> </w:t>
            </w:r>
          </w:p>
        </w:tc>
      </w:tr>
      <w:tr w:rsidR="00471484" w14:paraId="17998EE1" w14:textId="77777777" w:rsidTr="00E61517">
        <w:trPr>
          <w:cantSplit/>
          <w:trHeight w:val="60"/>
        </w:trPr>
        <w:tc>
          <w:tcPr>
            <w:tcW w:w="1871" w:type="dxa"/>
          </w:tcPr>
          <w:p w14:paraId="049F9490" w14:textId="77777777" w:rsidR="00471484" w:rsidRDefault="00471484" w:rsidP="00574093">
            <w:pPr>
              <w:pStyle w:val="TableSideHeading"/>
              <w:keepLines w:val="0"/>
              <w:rPr>
                <w:rtl/>
              </w:rPr>
            </w:pPr>
          </w:p>
        </w:tc>
        <w:tc>
          <w:tcPr>
            <w:tcW w:w="624" w:type="dxa"/>
          </w:tcPr>
          <w:p w14:paraId="79130CFC" w14:textId="77777777" w:rsidR="00471484" w:rsidRDefault="00471484" w:rsidP="00574093">
            <w:pPr>
              <w:pStyle w:val="TableText"/>
              <w:keepLines w:val="0"/>
              <w:rPr>
                <w:rtl/>
              </w:rPr>
            </w:pPr>
          </w:p>
        </w:tc>
        <w:tc>
          <w:tcPr>
            <w:tcW w:w="7146" w:type="dxa"/>
            <w:gridSpan w:val="3"/>
          </w:tcPr>
          <w:p w14:paraId="6AE613FC" w14:textId="00A983A7" w:rsidR="00471484" w:rsidRDefault="008537E6" w:rsidP="00775C40">
            <w:pPr>
              <w:pStyle w:val="TableBlock"/>
              <w:numPr>
                <w:ilvl w:val="0"/>
                <w:numId w:val="16"/>
              </w:numPr>
              <w:tabs>
                <w:tab w:val="left" w:pos="624"/>
              </w:tabs>
              <w:rPr>
                <w:rtl/>
              </w:rPr>
            </w:pPr>
            <w:r>
              <w:rPr>
                <w:rFonts w:hint="cs"/>
                <w:rtl/>
              </w:rPr>
              <w:t>בסעיף קטן (א), במקום "נער" יבוא "ילד".</w:t>
            </w:r>
            <w:r w:rsidR="00471484">
              <w:rPr>
                <w:rFonts w:hint="cs"/>
                <w:rtl/>
              </w:rPr>
              <w:t xml:space="preserve"> </w:t>
            </w:r>
          </w:p>
        </w:tc>
      </w:tr>
      <w:tr w:rsidR="00471484" w14:paraId="52151020" w14:textId="77777777" w:rsidTr="00E61517">
        <w:trPr>
          <w:cantSplit/>
          <w:trHeight w:val="60"/>
        </w:trPr>
        <w:tc>
          <w:tcPr>
            <w:tcW w:w="1871" w:type="dxa"/>
          </w:tcPr>
          <w:p w14:paraId="790B099A" w14:textId="77777777" w:rsidR="00471484" w:rsidRDefault="00471484" w:rsidP="00574093">
            <w:pPr>
              <w:pStyle w:val="TableSideHeading"/>
              <w:keepLines w:val="0"/>
            </w:pPr>
          </w:p>
        </w:tc>
        <w:tc>
          <w:tcPr>
            <w:tcW w:w="624" w:type="dxa"/>
          </w:tcPr>
          <w:p w14:paraId="377C5E2B" w14:textId="77777777" w:rsidR="00471484" w:rsidRDefault="00471484" w:rsidP="00574093">
            <w:pPr>
              <w:pStyle w:val="TableText"/>
              <w:keepLines w:val="0"/>
            </w:pPr>
          </w:p>
        </w:tc>
        <w:tc>
          <w:tcPr>
            <w:tcW w:w="7146" w:type="dxa"/>
            <w:gridSpan w:val="3"/>
          </w:tcPr>
          <w:p w14:paraId="39356FF6" w14:textId="531A69A2" w:rsidR="00471484" w:rsidRPr="00C34DE2" w:rsidRDefault="00471484" w:rsidP="00775C40">
            <w:pPr>
              <w:pStyle w:val="TableBlock"/>
              <w:keepLines w:val="0"/>
              <w:numPr>
                <w:ilvl w:val="0"/>
                <w:numId w:val="16"/>
              </w:numPr>
            </w:pPr>
            <w:r>
              <w:rPr>
                <w:rFonts w:hint="cs"/>
                <w:rtl/>
              </w:rPr>
              <w:t xml:space="preserve">אחרי סעיף קטן (א) יבוא: </w:t>
            </w:r>
          </w:p>
        </w:tc>
      </w:tr>
      <w:tr w:rsidR="00775C40" w14:paraId="147A68CD" w14:textId="77777777" w:rsidTr="00E61517">
        <w:trPr>
          <w:cantSplit/>
          <w:trHeight w:val="60"/>
        </w:trPr>
        <w:tc>
          <w:tcPr>
            <w:tcW w:w="1871" w:type="dxa"/>
          </w:tcPr>
          <w:p w14:paraId="10CCBEE4" w14:textId="77777777" w:rsidR="00775C40" w:rsidRDefault="00775C40" w:rsidP="00574093">
            <w:pPr>
              <w:pStyle w:val="TableSideHeading"/>
              <w:keepLines w:val="0"/>
            </w:pPr>
          </w:p>
        </w:tc>
        <w:tc>
          <w:tcPr>
            <w:tcW w:w="624" w:type="dxa"/>
          </w:tcPr>
          <w:p w14:paraId="19C3DB9D" w14:textId="77777777" w:rsidR="00775C40" w:rsidRDefault="00775C40" w:rsidP="00775C40">
            <w:pPr>
              <w:pStyle w:val="TableText"/>
            </w:pPr>
          </w:p>
        </w:tc>
        <w:tc>
          <w:tcPr>
            <w:tcW w:w="7146" w:type="dxa"/>
            <w:gridSpan w:val="3"/>
          </w:tcPr>
          <w:p w14:paraId="09CCE503" w14:textId="75961F85" w:rsidR="00775C40" w:rsidRDefault="00775C40" w:rsidP="005D5460">
            <w:pPr>
              <w:pStyle w:val="TableBlock"/>
              <w:keepLines w:val="0"/>
              <w:tabs>
                <w:tab w:val="clear" w:pos="624"/>
              </w:tabs>
              <w:rPr>
                <w:rtl/>
              </w:rPr>
            </w:pPr>
            <w:r>
              <w:rPr>
                <w:rFonts w:hint="cs"/>
                <w:rtl/>
              </w:rPr>
              <w:t>"(א1)</w:t>
            </w:r>
            <w:r>
              <w:rPr>
                <w:rtl/>
              </w:rPr>
              <w:tab/>
            </w:r>
            <w:r>
              <w:rPr>
                <w:rFonts w:hint="cs"/>
                <w:rtl/>
              </w:rPr>
              <w:t xml:space="preserve">לא יועסק צעיר במנוחה השבועית, אלא אם </w:t>
            </w:r>
            <w:r w:rsidR="00C60546">
              <w:rPr>
                <w:rFonts w:hint="cs"/>
                <w:rtl/>
              </w:rPr>
              <w:t xml:space="preserve">במקום העבודה בו הוא מועסק </w:t>
            </w:r>
            <w:r>
              <w:rPr>
                <w:rFonts w:hint="cs"/>
                <w:rtl/>
              </w:rPr>
              <w:t>הותרה העסקת עובדים במנוחה השבועית על פי חוק או על פי היתר כללי שניתן לפי סעיף 12 לחוק שעות עבודה ומנוחה, התשי"א</w:t>
            </w:r>
            <w:r w:rsidR="005D5460">
              <w:rPr>
                <w:rFonts w:hint="eastAsia"/>
                <w:rtl/>
              </w:rPr>
              <w:t>–</w:t>
            </w:r>
            <w:r>
              <w:rPr>
                <w:rFonts w:hint="cs"/>
                <w:rtl/>
              </w:rPr>
              <w:t>1951</w:t>
            </w:r>
            <w:r w:rsidR="00C60546">
              <w:rPr>
                <w:rStyle w:val="a5"/>
                <w:rtl/>
              </w:rPr>
              <w:footnoteReference w:id="3"/>
            </w:r>
            <w:r>
              <w:rPr>
                <w:rFonts w:hint="cs"/>
                <w:rtl/>
              </w:rPr>
              <w:t>."</w:t>
            </w:r>
          </w:p>
        </w:tc>
      </w:tr>
      <w:tr w:rsidR="002F1D80" w14:paraId="3D9B61D1" w14:textId="77777777" w:rsidTr="00E61517">
        <w:trPr>
          <w:cantSplit/>
          <w:trHeight w:val="60"/>
        </w:trPr>
        <w:tc>
          <w:tcPr>
            <w:tcW w:w="1871" w:type="dxa"/>
          </w:tcPr>
          <w:p w14:paraId="6C0CB9D8" w14:textId="77777777" w:rsidR="002F1D80" w:rsidRDefault="002F1D80" w:rsidP="002C3041">
            <w:pPr>
              <w:pStyle w:val="TableSideHeading"/>
              <w:keepLines w:val="0"/>
            </w:pPr>
          </w:p>
        </w:tc>
        <w:tc>
          <w:tcPr>
            <w:tcW w:w="624" w:type="dxa"/>
          </w:tcPr>
          <w:p w14:paraId="3F4286A2" w14:textId="77777777" w:rsidR="002F1D80" w:rsidRDefault="002F1D80" w:rsidP="002C3041">
            <w:pPr>
              <w:pStyle w:val="TableText"/>
              <w:keepLines w:val="0"/>
            </w:pPr>
          </w:p>
        </w:tc>
        <w:tc>
          <w:tcPr>
            <w:tcW w:w="7146" w:type="dxa"/>
            <w:gridSpan w:val="3"/>
          </w:tcPr>
          <w:p w14:paraId="7633D5BB" w14:textId="6C9EB081" w:rsidR="002F1D80" w:rsidRPr="00C34DE2" w:rsidRDefault="00471484" w:rsidP="00775C40">
            <w:pPr>
              <w:pStyle w:val="TableBlock"/>
              <w:numPr>
                <w:ilvl w:val="0"/>
                <w:numId w:val="16"/>
              </w:numPr>
              <w:tabs>
                <w:tab w:val="left" w:pos="624"/>
              </w:tabs>
            </w:pPr>
            <w:r>
              <w:rPr>
                <w:rFonts w:hint="cs"/>
                <w:rtl/>
              </w:rPr>
              <w:t xml:space="preserve">אחרי סעיף קטן (ב) </w:t>
            </w:r>
            <w:r w:rsidR="00775C40">
              <w:rPr>
                <w:rFonts w:hint="cs"/>
                <w:rtl/>
              </w:rPr>
              <w:t>יבוא:</w:t>
            </w:r>
          </w:p>
        </w:tc>
      </w:tr>
      <w:tr w:rsidR="00775C40" w14:paraId="210FD188" w14:textId="77777777" w:rsidTr="00E61517">
        <w:trPr>
          <w:cantSplit/>
          <w:trHeight w:val="60"/>
        </w:trPr>
        <w:tc>
          <w:tcPr>
            <w:tcW w:w="1871" w:type="dxa"/>
          </w:tcPr>
          <w:p w14:paraId="5B4D817C" w14:textId="77777777" w:rsidR="00775C40" w:rsidRDefault="00775C40" w:rsidP="002C3041">
            <w:pPr>
              <w:pStyle w:val="TableSideHeading"/>
              <w:keepLines w:val="0"/>
            </w:pPr>
          </w:p>
        </w:tc>
        <w:tc>
          <w:tcPr>
            <w:tcW w:w="624" w:type="dxa"/>
          </w:tcPr>
          <w:p w14:paraId="476D4FB5" w14:textId="77777777" w:rsidR="00775C40" w:rsidRDefault="00775C40" w:rsidP="00775C40">
            <w:pPr>
              <w:pStyle w:val="TableText"/>
            </w:pPr>
          </w:p>
        </w:tc>
        <w:tc>
          <w:tcPr>
            <w:tcW w:w="7146" w:type="dxa"/>
            <w:gridSpan w:val="3"/>
          </w:tcPr>
          <w:p w14:paraId="4797AE8A" w14:textId="520CF318" w:rsidR="00775C40" w:rsidRDefault="00775C40" w:rsidP="009A416B">
            <w:pPr>
              <w:pStyle w:val="TableBlock"/>
              <w:keepLines w:val="0"/>
              <w:rPr>
                <w:rtl/>
              </w:rPr>
            </w:pPr>
            <w:r>
              <w:rPr>
                <w:rFonts w:hint="cs"/>
                <w:rtl/>
              </w:rPr>
              <w:t>"(ג)</w:t>
            </w:r>
            <w:r>
              <w:rPr>
                <w:rtl/>
              </w:rPr>
              <w:tab/>
            </w:r>
            <w:r>
              <w:rPr>
                <w:rFonts w:hint="cs"/>
                <w:rtl/>
              </w:rPr>
              <w:t xml:space="preserve"> הועסק צעיר במנוחה השבועית, יחולו התנאים המפורטים להל</w:t>
            </w:r>
            <w:r w:rsidR="009A416B">
              <w:rPr>
                <w:rFonts w:hint="cs"/>
                <w:rtl/>
              </w:rPr>
              <w:t xml:space="preserve">ן </w:t>
            </w:r>
            <w:r w:rsidR="009A416B">
              <w:rPr>
                <w:rFonts w:hint="eastAsia"/>
                <w:rtl/>
              </w:rPr>
              <w:t>–</w:t>
            </w:r>
          </w:p>
        </w:tc>
      </w:tr>
      <w:tr w:rsidR="00775C40" w14:paraId="30D16992" w14:textId="77777777">
        <w:trPr>
          <w:cantSplit/>
          <w:trHeight w:val="60"/>
        </w:trPr>
        <w:tc>
          <w:tcPr>
            <w:tcW w:w="1871" w:type="dxa"/>
          </w:tcPr>
          <w:p w14:paraId="401AD82C" w14:textId="77777777" w:rsidR="00775C40" w:rsidRDefault="00775C40">
            <w:pPr>
              <w:pStyle w:val="TableSideHeading"/>
            </w:pPr>
          </w:p>
        </w:tc>
        <w:tc>
          <w:tcPr>
            <w:tcW w:w="624" w:type="dxa"/>
          </w:tcPr>
          <w:p w14:paraId="60E3E5B3" w14:textId="77777777" w:rsidR="00775C40" w:rsidRDefault="00775C40">
            <w:pPr>
              <w:pStyle w:val="TableText"/>
            </w:pPr>
          </w:p>
        </w:tc>
        <w:tc>
          <w:tcPr>
            <w:tcW w:w="624" w:type="dxa"/>
          </w:tcPr>
          <w:p w14:paraId="21EFFC70" w14:textId="77777777" w:rsidR="00775C40" w:rsidRDefault="00775C40">
            <w:pPr>
              <w:pStyle w:val="TableText"/>
            </w:pPr>
          </w:p>
        </w:tc>
        <w:tc>
          <w:tcPr>
            <w:tcW w:w="6522" w:type="dxa"/>
            <w:gridSpan w:val="2"/>
          </w:tcPr>
          <w:p w14:paraId="0EB42A8F" w14:textId="29472C35" w:rsidR="00775C40" w:rsidRPr="00775C40" w:rsidRDefault="00775C40" w:rsidP="005D5460">
            <w:pPr>
              <w:pStyle w:val="TableBlock"/>
              <w:keepLines w:val="0"/>
            </w:pPr>
            <w:r>
              <w:rPr>
                <w:rFonts w:hint="cs"/>
                <w:rtl/>
              </w:rPr>
              <w:t xml:space="preserve">(1) </w:t>
            </w:r>
            <w:r>
              <w:rPr>
                <w:rtl/>
              </w:rPr>
              <w:tab/>
            </w:r>
            <w:r>
              <w:rPr>
                <w:rFonts w:hint="cs"/>
                <w:rtl/>
              </w:rPr>
              <w:t>י</w:t>
            </w:r>
            <w:r w:rsidRPr="006D7839">
              <w:rPr>
                <w:rtl/>
              </w:rPr>
              <w:t>שולם לצעיר גמול עבודה במנוחה השבועית, לפי סעיף 17 לחוק שעות עבודה ומנוחה, התשי</w:t>
            </w:r>
            <w:r w:rsidR="005D5460">
              <w:rPr>
                <w:rFonts w:hint="cs"/>
                <w:rtl/>
              </w:rPr>
              <w:t>"א–</w:t>
            </w:r>
            <w:r w:rsidRPr="006D7839">
              <w:rPr>
                <w:rtl/>
              </w:rPr>
              <w:t>1951</w:t>
            </w:r>
            <w:r w:rsidR="009A416B">
              <w:rPr>
                <w:rStyle w:val="a5"/>
                <w:rtl/>
              </w:rPr>
              <w:footnoteReference w:id="4"/>
            </w:r>
            <w:r>
              <w:rPr>
                <w:rFonts w:hint="cs"/>
                <w:rtl/>
              </w:rPr>
              <w:t>;</w:t>
            </w:r>
          </w:p>
        </w:tc>
      </w:tr>
      <w:tr w:rsidR="00775C40" w14:paraId="64A9A13C" w14:textId="77777777">
        <w:trPr>
          <w:cantSplit/>
          <w:trHeight w:val="60"/>
        </w:trPr>
        <w:tc>
          <w:tcPr>
            <w:tcW w:w="1871" w:type="dxa"/>
          </w:tcPr>
          <w:p w14:paraId="09583E51" w14:textId="77777777" w:rsidR="00775C40" w:rsidRDefault="00775C40">
            <w:pPr>
              <w:pStyle w:val="TableSideHeading"/>
            </w:pPr>
          </w:p>
        </w:tc>
        <w:tc>
          <w:tcPr>
            <w:tcW w:w="624" w:type="dxa"/>
          </w:tcPr>
          <w:p w14:paraId="195B5004" w14:textId="77777777" w:rsidR="00775C40" w:rsidRDefault="00775C40" w:rsidP="00775C40">
            <w:pPr>
              <w:pStyle w:val="TableText"/>
            </w:pPr>
          </w:p>
        </w:tc>
        <w:tc>
          <w:tcPr>
            <w:tcW w:w="624" w:type="dxa"/>
          </w:tcPr>
          <w:p w14:paraId="5F1971D5" w14:textId="77777777" w:rsidR="00775C40" w:rsidRDefault="00775C40">
            <w:pPr>
              <w:pStyle w:val="TableText"/>
            </w:pPr>
          </w:p>
        </w:tc>
        <w:tc>
          <w:tcPr>
            <w:tcW w:w="6522" w:type="dxa"/>
            <w:gridSpan w:val="2"/>
          </w:tcPr>
          <w:p w14:paraId="6E30E40C" w14:textId="6A0FF250" w:rsidR="00775C40" w:rsidRPr="00775C40" w:rsidRDefault="00775C40" w:rsidP="009A416B">
            <w:pPr>
              <w:pStyle w:val="TableBlock"/>
              <w:keepLines w:val="0"/>
              <w:rPr>
                <w:rtl/>
              </w:rPr>
            </w:pPr>
            <w:r>
              <w:rPr>
                <w:rFonts w:hint="cs"/>
                <w:rtl/>
              </w:rPr>
              <w:t xml:space="preserve">(2) </w:t>
            </w:r>
            <w:r>
              <w:rPr>
                <w:rtl/>
              </w:rPr>
              <w:tab/>
            </w:r>
            <w:r w:rsidRPr="006D7839">
              <w:rPr>
                <w:rtl/>
              </w:rPr>
              <w:t>על אף האמור בכל היתר כללי או מיוחד החל על המעסיק</w:t>
            </w:r>
            <w:r w:rsidR="009A416B">
              <w:rPr>
                <w:rFonts w:hint="cs"/>
                <w:rtl/>
              </w:rPr>
              <w:t xml:space="preserve"> </w:t>
            </w:r>
            <w:r w:rsidR="009A416B">
              <w:rPr>
                <w:rFonts w:hint="eastAsia"/>
                <w:rtl/>
              </w:rPr>
              <w:t>–</w:t>
            </w:r>
          </w:p>
        </w:tc>
      </w:tr>
      <w:tr w:rsidR="00775C40" w14:paraId="52C7C3E9" w14:textId="77777777">
        <w:trPr>
          <w:cantSplit/>
          <w:trHeight w:val="60"/>
        </w:trPr>
        <w:tc>
          <w:tcPr>
            <w:tcW w:w="1871" w:type="dxa"/>
          </w:tcPr>
          <w:p w14:paraId="241EE615" w14:textId="77777777" w:rsidR="00775C40" w:rsidRDefault="00775C40">
            <w:pPr>
              <w:pStyle w:val="TableSideHeading"/>
            </w:pPr>
          </w:p>
        </w:tc>
        <w:tc>
          <w:tcPr>
            <w:tcW w:w="624" w:type="dxa"/>
          </w:tcPr>
          <w:p w14:paraId="506D842D" w14:textId="77777777" w:rsidR="00775C40" w:rsidRDefault="00775C40">
            <w:pPr>
              <w:pStyle w:val="TableText"/>
            </w:pPr>
          </w:p>
        </w:tc>
        <w:tc>
          <w:tcPr>
            <w:tcW w:w="624" w:type="dxa"/>
          </w:tcPr>
          <w:p w14:paraId="1474964E" w14:textId="77777777" w:rsidR="00775C40" w:rsidRDefault="00775C40">
            <w:pPr>
              <w:pStyle w:val="TableText"/>
            </w:pPr>
          </w:p>
        </w:tc>
        <w:tc>
          <w:tcPr>
            <w:tcW w:w="624" w:type="dxa"/>
          </w:tcPr>
          <w:p w14:paraId="57B6EDA6" w14:textId="77777777" w:rsidR="00775C40" w:rsidRDefault="00775C40">
            <w:pPr>
              <w:pStyle w:val="TableText"/>
            </w:pPr>
          </w:p>
        </w:tc>
        <w:tc>
          <w:tcPr>
            <w:tcW w:w="5898" w:type="dxa"/>
          </w:tcPr>
          <w:p w14:paraId="1FC7E5CE" w14:textId="59CD1435" w:rsidR="00775C40" w:rsidRPr="00775C40" w:rsidRDefault="00775C40" w:rsidP="005D5460">
            <w:pPr>
              <w:pStyle w:val="TableBlock"/>
            </w:pPr>
            <w:r w:rsidRPr="00775C40">
              <w:rPr>
                <w:rtl/>
              </w:rPr>
              <w:t>(א)</w:t>
            </w:r>
            <w:r w:rsidRPr="00775C40">
              <w:rPr>
                <w:rtl/>
              </w:rPr>
              <w:tab/>
              <w:t>צעיר לא יועס</w:t>
            </w:r>
            <w:r>
              <w:rPr>
                <w:rtl/>
              </w:rPr>
              <w:t>ק בערב הקודם ליום המנוחה השבועי</w:t>
            </w:r>
            <w:r>
              <w:rPr>
                <w:rFonts w:hint="cs"/>
                <w:rtl/>
              </w:rPr>
              <w:t>;</w:t>
            </w:r>
          </w:p>
        </w:tc>
      </w:tr>
      <w:tr w:rsidR="00775C40" w14:paraId="334B8398" w14:textId="77777777">
        <w:trPr>
          <w:cantSplit/>
          <w:trHeight w:val="60"/>
        </w:trPr>
        <w:tc>
          <w:tcPr>
            <w:tcW w:w="1871" w:type="dxa"/>
          </w:tcPr>
          <w:p w14:paraId="2DFD860B" w14:textId="77777777" w:rsidR="00775C40" w:rsidRDefault="00775C40">
            <w:pPr>
              <w:pStyle w:val="TableSideHeading"/>
            </w:pPr>
          </w:p>
        </w:tc>
        <w:tc>
          <w:tcPr>
            <w:tcW w:w="624" w:type="dxa"/>
          </w:tcPr>
          <w:p w14:paraId="720C31F4" w14:textId="77777777" w:rsidR="00775C40" w:rsidRDefault="00775C40" w:rsidP="00775C40">
            <w:pPr>
              <w:pStyle w:val="TableText"/>
            </w:pPr>
          </w:p>
        </w:tc>
        <w:tc>
          <w:tcPr>
            <w:tcW w:w="624" w:type="dxa"/>
          </w:tcPr>
          <w:p w14:paraId="58E5554D" w14:textId="77777777" w:rsidR="00775C40" w:rsidRDefault="00775C40">
            <w:pPr>
              <w:pStyle w:val="TableText"/>
            </w:pPr>
          </w:p>
        </w:tc>
        <w:tc>
          <w:tcPr>
            <w:tcW w:w="624" w:type="dxa"/>
          </w:tcPr>
          <w:p w14:paraId="710647F5" w14:textId="77777777" w:rsidR="00775C40" w:rsidRDefault="00775C40">
            <w:pPr>
              <w:pStyle w:val="TableText"/>
            </w:pPr>
          </w:p>
        </w:tc>
        <w:tc>
          <w:tcPr>
            <w:tcW w:w="5898" w:type="dxa"/>
          </w:tcPr>
          <w:p w14:paraId="19036BCE" w14:textId="0337BAEB" w:rsidR="00775C40" w:rsidRPr="00775C40" w:rsidRDefault="00775C40" w:rsidP="005D5460">
            <w:pPr>
              <w:pStyle w:val="TableBlock"/>
              <w:rPr>
                <w:rtl/>
              </w:rPr>
            </w:pPr>
            <w:r w:rsidRPr="00775C40">
              <w:rPr>
                <w:rtl/>
              </w:rPr>
              <w:t>(ב)</w:t>
            </w:r>
            <w:r w:rsidRPr="00775C40">
              <w:rPr>
                <w:rtl/>
              </w:rPr>
              <w:tab/>
              <w:t>צעיר לא יועסק מעל לשישה ימים רצופים ותינתן לו מנוחה ב</w:t>
            </w:r>
            <w:r w:rsidR="009A416B">
              <w:rPr>
                <w:rtl/>
              </w:rPr>
              <w:t>ת 36 שעות רצופות מדי שבוע ימים</w:t>
            </w:r>
            <w:r w:rsidR="009A416B">
              <w:rPr>
                <w:rFonts w:hint="cs"/>
                <w:rtl/>
              </w:rPr>
              <w:t xml:space="preserve">; </w:t>
            </w:r>
            <w:r w:rsidRPr="00775C40">
              <w:rPr>
                <w:rtl/>
              </w:rPr>
              <w:t>מנוחה זו תהיה על חשבון מנוחת הפ</w:t>
            </w:r>
            <w:r>
              <w:rPr>
                <w:rtl/>
              </w:rPr>
              <w:t>יצוי הקבועה בהיתר החל על המעסיק</w:t>
            </w:r>
            <w:r>
              <w:rPr>
                <w:rFonts w:hint="cs"/>
                <w:rtl/>
              </w:rPr>
              <w:t>;</w:t>
            </w:r>
          </w:p>
        </w:tc>
      </w:tr>
      <w:tr w:rsidR="00775C40" w14:paraId="2D8040B7" w14:textId="77777777">
        <w:trPr>
          <w:cantSplit/>
          <w:trHeight w:val="60"/>
        </w:trPr>
        <w:tc>
          <w:tcPr>
            <w:tcW w:w="1871" w:type="dxa"/>
          </w:tcPr>
          <w:p w14:paraId="263D886D" w14:textId="77777777" w:rsidR="00775C40" w:rsidRDefault="00775C40">
            <w:pPr>
              <w:pStyle w:val="TableSideHeading"/>
            </w:pPr>
          </w:p>
        </w:tc>
        <w:tc>
          <w:tcPr>
            <w:tcW w:w="624" w:type="dxa"/>
          </w:tcPr>
          <w:p w14:paraId="21A77BF1" w14:textId="77777777" w:rsidR="00775C40" w:rsidRDefault="00775C40" w:rsidP="00775C40">
            <w:pPr>
              <w:pStyle w:val="TableText"/>
            </w:pPr>
          </w:p>
        </w:tc>
        <w:tc>
          <w:tcPr>
            <w:tcW w:w="624" w:type="dxa"/>
          </w:tcPr>
          <w:p w14:paraId="314A84D3" w14:textId="77777777" w:rsidR="00775C40" w:rsidRDefault="00775C40">
            <w:pPr>
              <w:pStyle w:val="TableText"/>
            </w:pPr>
          </w:p>
        </w:tc>
        <w:tc>
          <w:tcPr>
            <w:tcW w:w="624" w:type="dxa"/>
          </w:tcPr>
          <w:p w14:paraId="12D655F1" w14:textId="77777777" w:rsidR="00775C40" w:rsidRDefault="00775C40">
            <w:pPr>
              <w:pStyle w:val="TableText"/>
            </w:pPr>
          </w:p>
        </w:tc>
        <w:tc>
          <w:tcPr>
            <w:tcW w:w="5898" w:type="dxa"/>
          </w:tcPr>
          <w:p w14:paraId="43ABB65F" w14:textId="47C23A3A" w:rsidR="00775C40" w:rsidRPr="00775C40" w:rsidRDefault="00775C40">
            <w:pPr>
              <w:pStyle w:val="TableBlock"/>
              <w:rPr>
                <w:rtl/>
              </w:rPr>
            </w:pPr>
            <w:r w:rsidRPr="00775C40">
              <w:rPr>
                <w:rtl/>
              </w:rPr>
              <w:t>(ג)</w:t>
            </w:r>
            <w:r w:rsidRPr="00775C40">
              <w:rPr>
                <w:rtl/>
              </w:rPr>
              <w:tab/>
              <w:t>אחת לארבעה שבועות לפחות, ישהה הצעיר במנוח</w:t>
            </w:r>
            <w:r>
              <w:rPr>
                <w:rtl/>
              </w:rPr>
              <w:t>ה השבועית ביום המנוחה הרגיל שלו</w:t>
            </w:r>
            <w:r>
              <w:rPr>
                <w:rFonts w:hint="cs"/>
                <w:rtl/>
              </w:rPr>
              <w:t>;</w:t>
            </w:r>
          </w:p>
        </w:tc>
      </w:tr>
      <w:tr w:rsidR="00775C40" w14:paraId="0EE08399" w14:textId="77777777">
        <w:trPr>
          <w:cantSplit/>
          <w:trHeight w:val="60"/>
        </w:trPr>
        <w:tc>
          <w:tcPr>
            <w:tcW w:w="1871" w:type="dxa"/>
          </w:tcPr>
          <w:p w14:paraId="164C1459" w14:textId="77777777" w:rsidR="00775C40" w:rsidRDefault="00775C40">
            <w:pPr>
              <w:pStyle w:val="TableSideHeading"/>
            </w:pPr>
          </w:p>
        </w:tc>
        <w:tc>
          <w:tcPr>
            <w:tcW w:w="624" w:type="dxa"/>
          </w:tcPr>
          <w:p w14:paraId="7FB5639C" w14:textId="77777777" w:rsidR="00775C40" w:rsidRDefault="00775C40">
            <w:pPr>
              <w:pStyle w:val="TableText"/>
            </w:pPr>
          </w:p>
        </w:tc>
        <w:tc>
          <w:tcPr>
            <w:tcW w:w="624" w:type="dxa"/>
          </w:tcPr>
          <w:p w14:paraId="6CBB4A3C" w14:textId="77777777" w:rsidR="00775C40" w:rsidRDefault="00775C40">
            <w:pPr>
              <w:pStyle w:val="TableText"/>
            </w:pPr>
          </w:p>
        </w:tc>
        <w:tc>
          <w:tcPr>
            <w:tcW w:w="6522" w:type="dxa"/>
            <w:gridSpan w:val="2"/>
          </w:tcPr>
          <w:p w14:paraId="681BD5A8" w14:textId="463B3452" w:rsidR="00775C40" w:rsidRDefault="00775C40" w:rsidP="008537E6">
            <w:pPr>
              <w:pStyle w:val="TableBlock"/>
            </w:pPr>
            <w:r>
              <w:rPr>
                <w:rFonts w:hint="cs"/>
                <w:rtl/>
              </w:rPr>
              <w:t xml:space="preserve">(3) </w:t>
            </w:r>
            <w:r>
              <w:rPr>
                <w:rtl/>
              </w:rPr>
              <w:tab/>
            </w:r>
            <w:r>
              <w:rPr>
                <w:rFonts w:hint="cs"/>
                <w:rtl/>
              </w:rPr>
              <w:t xml:space="preserve">המעסיק </w:t>
            </w:r>
            <w:r w:rsidR="008537E6">
              <w:rPr>
                <w:rFonts w:hint="cs"/>
                <w:rtl/>
              </w:rPr>
              <w:t>יחזיר</w:t>
            </w:r>
            <w:r>
              <w:rPr>
                <w:rFonts w:hint="cs"/>
                <w:rtl/>
              </w:rPr>
              <w:t xml:space="preserve"> את הצעיר לביתו בסיום העבודה</w:t>
            </w:r>
            <w:r w:rsidR="008537E6">
              <w:rPr>
                <w:rFonts w:hint="cs"/>
                <w:rtl/>
              </w:rPr>
              <w:t xml:space="preserve"> בעצמו או באמצעות אחר מטעמו</w:t>
            </w:r>
            <w:r w:rsidR="005D5460">
              <w:rPr>
                <w:rFonts w:hint="cs"/>
                <w:rtl/>
              </w:rPr>
              <w:t>.</w:t>
            </w:r>
          </w:p>
        </w:tc>
      </w:tr>
      <w:tr w:rsidR="006D7839" w14:paraId="345500FE" w14:textId="77777777" w:rsidTr="00E61517">
        <w:trPr>
          <w:cantSplit/>
          <w:trHeight w:val="60"/>
        </w:trPr>
        <w:tc>
          <w:tcPr>
            <w:tcW w:w="1871" w:type="dxa"/>
          </w:tcPr>
          <w:p w14:paraId="386AA7C2" w14:textId="573B3BEC" w:rsidR="006D7839" w:rsidRDefault="008537E6" w:rsidP="002C3041">
            <w:pPr>
              <w:pStyle w:val="TableSideHeading"/>
              <w:keepLines w:val="0"/>
            </w:pPr>
            <w:r>
              <w:rPr>
                <w:rFonts w:hint="cs"/>
                <w:rtl/>
              </w:rPr>
              <w:t xml:space="preserve">תיקון </w:t>
            </w:r>
            <w:r w:rsidR="006D7839">
              <w:rPr>
                <w:rFonts w:hint="cs"/>
                <w:rtl/>
              </w:rPr>
              <w:t>סעיף 33ג</w:t>
            </w:r>
          </w:p>
        </w:tc>
        <w:tc>
          <w:tcPr>
            <w:tcW w:w="624" w:type="dxa"/>
          </w:tcPr>
          <w:p w14:paraId="6EB27E49" w14:textId="1FFAD9CD" w:rsidR="006D7839" w:rsidRDefault="006D7839" w:rsidP="006D7839">
            <w:pPr>
              <w:pStyle w:val="TableText"/>
            </w:pPr>
            <w:r>
              <w:rPr>
                <w:rFonts w:hint="cs"/>
                <w:rtl/>
              </w:rPr>
              <w:t>2.</w:t>
            </w:r>
          </w:p>
        </w:tc>
        <w:tc>
          <w:tcPr>
            <w:tcW w:w="7146" w:type="dxa"/>
            <w:gridSpan w:val="3"/>
          </w:tcPr>
          <w:p w14:paraId="50A3BB4B" w14:textId="23FBF28F" w:rsidR="006D7839" w:rsidRDefault="008537E6" w:rsidP="005D5460">
            <w:pPr>
              <w:pStyle w:val="TableBlock"/>
              <w:tabs>
                <w:tab w:val="clear" w:pos="624"/>
              </w:tabs>
              <w:rPr>
                <w:rtl/>
              </w:rPr>
            </w:pPr>
            <w:r>
              <w:rPr>
                <w:rFonts w:hint="cs"/>
                <w:rtl/>
              </w:rPr>
              <w:t>ב</w:t>
            </w:r>
            <w:r w:rsidR="006D7839">
              <w:rPr>
                <w:rFonts w:hint="cs"/>
                <w:rtl/>
              </w:rPr>
              <w:t>סעיף 33ג</w:t>
            </w:r>
            <w:r>
              <w:rPr>
                <w:rFonts w:hint="cs"/>
                <w:rtl/>
              </w:rPr>
              <w:t xml:space="preserve"> לחוק העיקרי, אחרי סעיף קטן </w:t>
            </w:r>
            <w:r w:rsidR="006D7839">
              <w:rPr>
                <w:rFonts w:hint="cs"/>
                <w:rtl/>
              </w:rPr>
              <w:t>(ג) יבוא:</w:t>
            </w:r>
          </w:p>
        </w:tc>
      </w:tr>
      <w:tr w:rsidR="005D5460" w14:paraId="0BCFF268" w14:textId="77777777" w:rsidTr="00E61517">
        <w:trPr>
          <w:cantSplit/>
          <w:trHeight w:val="60"/>
        </w:trPr>
        <w:tc>
          <w:tcPr>
            <w:tcW w:w="1871" w:type="dxa"/>
          </w:tcPr>
          <w:p w14:paraId="5083EC78" w14:textId="77777777" w:rsidR="005D5460" w:rsidRDefault="005D5460" w:rsidP="002C3041">
            <w:pPr>
              <w:pStyle w:val="TableSideHeading"/>
              <w:keepLines w:val="0"/>
              <w:rPr>
                <w:rtl/>
              </w:rPr>
            </w:pPr>
          </w:p>
        </w:tc>
        <w:tc>
          <w:tcPr>
            <w:tcW w:w="624" w:type="dxa"/>
          </w:tcPr>
          <w:p w14:paraId="70139973" w14:textId="77777777" w:rsidR="005D5460" w:rsidRDefault="005D5460" w:rsidP="005D5460">
            <w:pPr>
              <w:pStyle w:val="TableText"/>
              <w:rPr>
                <w:rtl/>
              </w:rPr>
            </w:pPr>
          </w:p>
        </w:tc>
        <w:tc>
          <w:tcPr>
            <w:tcW w:w="7146" w:type="dxa"/>
            <w:gridSpan w:val="3"/>
          </w:tcPr>
          <w:p w14:paraId="3AF2B329" w14:textId="0DA35DF4" w:rsidR="005D5460" w:rsidRPr="005D5460" w:rsidRDefault="005D5460" w:rsidP="005D5460">
            <w:pPr>
              <w:pStyle w:val="TableBlock"/>
              <w:rPr>
                <w:rtl/>
              </w:rPr>
            </w:pPr>
            <w:r w:rsidRPr="005D5460">
              <w:rPr>
                <w:rFonts w:hint="cs"/>
                <w:rtl/>
              </w:rPr>
              <w:t xml:space="preserve">"(ד) </w:t>
            </w:r>
            <w:r w:rsidRPr="005D5460">
              <w:rPr>
                <w:rtl/>
              </w:rPr>
              <w:tab/>
            </w:r>
            <w:r w:rsidRPr="005D5460">
              <w:rPr>
                <w:rFonts w:hint="cs"/>
                <w:rtl/>
              </w:rPr>
              <w:t xml:space="preserve">מעסיק שהעסיק צעיר במנוחה השבועית ולא החזיר את הצעיר לביתו בסיום העבודה, בניגוד להוראות סעיף 21(ג)(3), דינו </w:t>
            </w:r>
            <w:r w:rsidRPr="005D5460">
              <w:rPr>
                <w:rtl/>
              </w:rPr>
              <w:t>–</w:t>
            </w:r>
            <w:r w:rsidRPr="005D5460">
              <w:rPr>
                <w:rFonts w:hint="cs"/>
                <w:rtl/>
              </w:rPr>
              <w:t xml:space="preserve"> קנס כאמור בסעיף קטן (א)".</w:t>
            </w:r>
          </w:p>
        </w:tc>
      </w:tr>
    </w:tbl>
    <w:p w14:paraId="7F6961CA" w14:textId="77777777" w:rsidR="002D1EE3" w:rsidRDefault="002D1EE3" w:rsidP="005E6CC1">
      <w:pPr>
        <w:pStyle w:val="HeadDivreiHesber"/>
        <w:spacing w:line="276" w:lineRule="auto"/>
        <w:rPr>
          <w:rtl/>
        </w:rPr>
      </w:pPr>
      <w:bookmarkStart w:id="8" w:name="_GoBack"/>
      <w:r w:rsidRPr="0027450A">
        <w:rPr>
          <w:rFonts w:hint="cs"/>
          <w:rtl/>
        </w:rPr>
        <w:t>דברי הסבר</w:t>
      </w:r>
    </w:p>
    <w:p w14:paraId="7F6961CB" w14:textId="55D6C8CC" w:rsidR="00E13C27" w:rsidRDefault="006D1AB6" w:rsidP="005E6CC1">
      <w:pPr>
        <w:pStyle w:val="Hesber"/>
        <w:spacing w:line="276" w:lineRule="auto"/>
        <w:rPr>
          <w:rtl/>
        </w:rPr>
      </w:pPr>
      <w:r>
        <w:rPr>
          <w:rFonts w:hint="cs"/>
          <w:rtl/>
        </w:rPr>
        <w:t>חוק עבודת הנוער, התשי"ג</w:t>
      </w:r>
      <w:r w:rsidR="009A416B">
        <w:rPr>
          <w:rFonts w:hint="eastAsia"/>
          <w:rtl/>
        </w:rPr>
        <w:t>–</w:t>
      </w:r>
      <w:r>
        <w:rPr>
          <w:rFonts w:hint="cs"/>
          <w:rtl/>
        </w:rPr>
        <w:t xml:space="preserve">1953, </w:t>
      </w:r>
      <w:r w:rsidR="009A416B">
        <w:rPr>
          <w:rFonts w:hint="cs"/>
          <w:rtl/>
        </w:rPr>
        <w:t xml:space="preserve">חוקק </w:t>
      </w:r>
      <w:r>
        <w:rPr>
          <w:rFonts w:hint="cs"/>
          <w:rtl/>
        </w:rPr>
        <w:t xml:space="preserve">בתקופה בה הנוער בחלקו הגדול </w:t>
      </w:r>
      <w:r w:rsidR="009A416B">
        <w:rPr>
          <w:rFonts w:hint="cs"/>
          <w:rtl/>
        </w:rPr>
        <w:t>עבד</w:t>
      </w:r>
      <w:r>
        <w:rPr>
          <w:rFonts w:hint="cs"/>
          <w:rtl/>
        </w:rPr>
        <w:t xml:space="preserve"> לאורך כל ימות השבוע. מאז, דברים רבים השתנו וכיום הנוער, ברובו המוחלט, לומד במהלך השבוע כולו ונאסר עליו לעבוד ביום המנוחה השבועי, גם במקומות עבודה שהחוק מתיר לעבוד בהם במנוחה השבועית.</w:t>
      </w:r>
    </w:p>
    <w:p w14:paraId="24394ECE" w14:textId="028DEBBA" w:rsidR="006D1AB6" w:rsidRDefault="006D1AB6" w:rsidP="005E6CC1">
      <w:pPr>
        <w:pStyle w:val="Hesber"/>
        <w:spacing w:line="276" w:lineRule="auto"/>
        <w:rPr>
          <w:rtl/>
        </w:rPr>
      </w:pPr>
      <w:r>
        <w:rPr>
          <w:rFonts w:hint="cs"/>
          <w:rtl/>
        </w:rPr>
        <w:t xml:space="preserve">הצעת חוק זו </w:t>
      </w:r>
      <w:r w:rsidR="009A416B">
        <w:rPr>
          <w:rFonts w:hint="cs"/>
          <w:rtl/>
        </w:rPr>
        <w:t>נועדה</w:t>
      </w:r>
      <w:r>
        <w:rPr>
          <w:rFonts w:hint="cs"/>
          <w:rtl/>
        </w:rPr>
        <w:t xml:space="preserve"> לתקן עוול </w:t>
      </w:r>
      <w:r w:rsidR="009A416B">
        <w:rPr>
          <w:rFonts w:hint="cs"/>
          <w:rtl/>
        </w:rPr>
        <w:t>לעניין בני נוער</w:t>
      </w:r>
      <w:r>
        <w:rPr>
          <w:rFonts w:hint="cs"/>
          <w:rtl/>
        </w:rPr>
        <w:t xml:space="preserve"> המעוניינים לסייע בכלכלת הבית או לעבוד למען רווחתם האישית ולאפשר להם לפרוס את שבוע העבודה שלהם באופן התואם את צרכיהם ונוחיותם</w:t>
      </w:r>
      <w:r w:rsidR="00FC2665">
        <w:rPr>
          <w:rFonts w:hint="cs"/>
          <w:rtl/>
        </w:rPr>
        <w:t xml:space="preserve"> ו</w:t>
      </w:r>
      <w:r w:rsidR="00775C40">
        <w:rPr>
          <w:rFonts w:hint="cs"/>
          <w:rtl/>
        </w:rPr>
        <w:t>שי</w:t>
      </w:r>
      <w:r w:rsidR="00FC2665">
        <w:rPr>
          <w:rFonts w:hint="cs"/>
          <w:rtl/>
        </w:rPr>
        <w:t>אפש</w:t>
      </w:r>
      <w:r>
        <w:rPr>
          <w:rFonts w:hint="cs"/>
          <w:rtl/>
        </w:rPr>
        <w:t>ר</w:t>
      </w:r>
      <w:r w:rsidR="00FC2665">
        <w:rPr>
          <w:rFonts w:hint="cs"/>
          <w:rtl/>
        </w:rPr>
        <w:t xml:space="preserve"> להם </w:t>
      </w:r>
      <w:r w:rsidR="00775C40">
        <w:rPr>
          <w:rFonts w:hint="cs"/>
          <w:rtl/>
        </w:rPr>
        <w:t>להגדיל את הכנסתם</w:t>
      </w:r>
      <w:r>
        <w:rPr>
          <w:rFonts w:hint="cs"/>
          <w:rtl/>
        </w:rPr>
        <w:t>. זאת, במקביל לשמירה על אורחות חייהם ועל התנאים הסוציאליים המגיעים להם הן כבני נוער והן כעובדים מן המניין.</w:t>
      </w:r>
    </w:p>
    <w:p w14:paraId="6A79E408" w14:textId="30EE3750" w:rsidR="00E30247" w:rsidRDefault="00E30247" w:rsidP="005E6CC1">
      <w:pPr>
        <w:pStyle w:val="Hesber"/>
        <w:spacing w:line="276" w:lineRule="auto"/>
        <w:rPr>
          <w:rtl/>
        </w:rPr>
      </w:pPr>
      <w:r>
        <w:rPr>
          <w:rFonts w:hint="cs"/>
          <w:rtl/>
        </w:rPr>
        <w:t>יתרה מכך, הצעה זו תסייע רבות למשק, במיו</w:t>
      </w:r>
      <w:r w:rsidR="00D76F79">
        <w:rPr>
          <w:rFonts w:hint="cs"/>
          <w:rtl/>
        </w:rPr>
        <w:t>חד לאור משבר הקורונה הפו</w:t>
      </w:r>
      <w:r>
        <w:rPr>
          <w:rFonts w:hint="cs"/>
          <w:rtl/>
        </w:rPr>
        <w:t>קד אותו והמחסור החמור בעובדים בענפי התיירות והמסחר, בהם מותרת עבודה במנוחה השבועית לפי חוק.</w:t>
      </w:r>
    </w:p>
    <w:p w14:paraId="065C474F" w14:textId="252498B4" w:rsidR="006D1AB6" w:rsidRDefault="006D1AB6" w:rsidP="005E6CC1">
      <w:pPr>
        <w:pStyle w:val="Hesber"/>
        <w:spacing w:line="276" w:lineRule="auto"/>
        <w:rPr>
          <w:rtl/>
        </w:rPr>
      </w:pPr>
      <w:r>
        <w:rPr>
          <w:rFonts w:hint="cs"/>
          <w:rtl/>
        </w:rPr>
        <w:t xml:space="preserve">בינואר 2013, החליט שר התמ"ת דאז, שלום שמחון, לאחר </w:t>
      </w:r>
      <w:r w:rsidR="00F44C2A">
        <w:rPr>
          <w:rFonts w:hint="cs"/>
          <w:rtl/>
        </w:rPr>
        <w:t xml:space="preserve">המלצתה של המועצה לענייני נוער עובד, לתקן את החוק ולאפשר עבודת נוער במנוחה השבועית לאורך השנה כולה. עם זאת, </w:t>
      </w:r>
      <w:r w:rsidR="00775C40">
        <w:rPr>
          <w:rFonts w:hint="cs"/>
          <w:rtl/>
        </w:rPr>
        <w:t>ב</w:t>
      </w:r>
      <w:r w:rsidR="009A416B">
        <w:rPr>
          <w:rFonts w:hint="cs"/>
          <w:rtl/>
        </w:rPr>
        <w:t xml:space="preserve">טרם הוגשה הצעת חוק </w:t>
      </w:r>
      <w:r w:rsidR="00F44C2A">
        <w:rPr>
          <w:rFonts w:hint="cs"/>
          <w:rtl/>
        </w:rPr>
        <w:t>ממשלתית</w:t>
      </w:r>
      <w:r w:rsidR="009A416B">
        <w:rPr>
          <w:rFonts w:hint="cs"/>
          <w:rtl/>
        </w:rPr>
        <w:t xml:space="preserve"> בעניין</w:t>
      </w:r>
      <w:r w:rsidR="00F44C2A">
        <w:rPr>
          <w:rFonts w:hint="cs"/>
          <w:rtl/>
        </w:rPr>
        <w:t xml:space="preserve">, פוזרה הכנסת והדבר לא יצא </w:t>
      </w:r>
      <w:r w:rsidR="009A416B">
        <w:rPr>
          <w:rFonts w:hint="cs"/>
          <w:rtl/>
        </w:rPr>
        <w:t>לפ</w:t>
      </w:r>
      <w:r w:rsidR="00F44C2A">
        <w:rPr>
          <w:rFonts w:hint="cs"/>
          <w:rtl/>
        </w:rPr>
        <w:t>ועל.</w:t>
      </w:r>
      <w:r w:rsidR="0064604F">
        <w:rPr>
          <w:rFonts w:hint="cs"/>
          <w:rtl/>
        </w:rPr>
        <w:t xml:space="preserve"> בסיכום הפגישה שנערכה בין יו"ר המועצה לענייני נוער עובד לבין השר ב-</w:t>
      </w:r>
      <w:r w:rsidR="009A416B">
        <w:rPr>
          <w:rFonts w:hint="cs"/>
          <w:rtl/>
        </w:rPr>
        <w:t>27.1.2013</w:t>
      </w:r>
      <w:r w:rsidR="0064604F">
        <w:rPr>
          <w:rFonts w:hint="cs"/>
          <w:rtl/>
        </w:rPr>
        <w:t xml:space="preserve"> נכתב: "השר בירך על המלצות הו</w:t>
      </w:r>
      <w:r w:rsidR="009A416B">
        <w:rPr>
          <w:rFonts w:hint="cs"/>
          <w:rtl/>
        </w:rPr>
        <w:t>ו</w:t>
      </w:r>
      <w:r w:rsidR="0064604F">
        <w:rPr>
          <w:rFonts w:hint="cs"/>
          <w:rtl/>
        </w:rPr>
        <w:t>עדה לגבי מתן אפשרות להעסקת בני נוער ביום המנוחה השבועי. השר הנחה להרחיב את ההמלצות כדי לאפשר לבני נוער מעל גיל 16 תעסוקה בימי המנוחה במהלך כל השנה..."</w:t>
      </w:r>
    </w:p>
    <w:p w14:paraId="165E7604" w14:textId="79700723" w:rsidR="00661CA9" w:rsidRDefault="00F44C2A" w:rsidP="005E6CC1">
      <w:pPr>
        <w:pStyle w:val="Hesber"/>
        <w:spacing w:line="276" w:lineRule="auto"/>
        <w:rPr>
          <w:rtl/>
        </w:rPr>
      </w:pPr>
      <w:r>
        <w:rPr>
          <w:rFonts w:hint="cs"/>
          <w:rtl/>
        </w:rPr>
        <w:t xml:space="preserve">הצעת חוק </w:t>
      </w:r>
      <w:r w:rsidR="009A416B">
        <w:rPr>
          <w:rFonts w:hint="cs"/>
          <w:rtl/>
        </w:rPr>
        <w:t>מטרתה</w:t>
      </w:r>
      <w:r>
        <w:rPr>
          <w:rFonts w:hint="cs"/>
          <w:rtl/>
        </w:rPr>
        <w:t xml:space="preserve"> לאפשר עבודת נוער במנוחה השבועית, במקומות המותרים על פי חוק או על פי היתר לפי סעיף 12 לחוק שעות עבודה ומנוחה, התשי"א</w:t>
      </w:r>
      <w:r w:rsidR="009A416B">
        <w:rPr>
          <w:rFonts w:hint="eastAsia"/>
          <w:rtl/>
        </w:rPr>
        <w:t>–</w:t>
      </w:r>
      <w:r>
        <w:rPr>
          <w:rFonts w:hint="cs"/>
          <w:rtl/>
        </w:rPr>
        <w:t xml:space="preserve">1951. </w:t>
      </w:r>
      <w:r w:rsidR="00E30247">
        <w:rPr>
          <w:rFonts w:hint="cs"/>
          <w:rtl/>
        </w:rPr>
        <w:t xml:space="preserve">עם זאת, </w:t>
      </w:r>
      <w:r w:rsidR="00BC2F1A">
        <w:rPr>
          <w:rFonts w:hint="cs"/>
          <w:rtl/>
        </w:rPr>
        <w:t>מוצע לקבוע</w:t>
      </w:r>
      <w:r w:rsidR="00E30247">
        <w:rPr>
          <w:rFonts w:hint="cs"/>
          <w:rtl/>
        </w:rPr>
        <w:t xml:space="preserve"> תנאי</w:t>
      </w:r>
      <w:r w:rsidR="009A416B">
        <w:rPr>
          <w:rFonts w:hint="cs"/>
          <w:rtl/>
        </w:rPr>
        <w:t>ם</w:t>
      </w:r>
      <w:r w:rsidR="00E30247">
        <w:rPr>
          <w:rFonts w:hint="cs"/>
          <w:rtl/>
        </w:rPr>
        <w:t xml:space="preserve"> </w:t>
      </w:r>
      <w:r w:rsidR="00775C40">
        <w:rPr>
          <w:rFonts w:hint="cs"/>
          <w:rtl/>
        </w:rPr>
        <w:t xml:space="preserve">שיחולו על </w:t>
      </w:r>
      <w:r w:rsidR="00E30247">
        <w:rPr>
          <w:rFonts w:hint="cs"/>
          <w:rtl/>
        </w:rPr>
        <w:t xml:space="preserve">מעסיק בבואו להעסיק נוער במנוחה השבועית, לרבות תשלום מוגדל </w:t>
      </w:r>
      <w:r w:rsidR="00BC2F1A">
        <w:rPr>
          <w:rFonts w:hint="cs"/>
          <w:rtl/>
        </w:rPr>
        <w:t xml:space="preserve">(בדומה לתשלום למבוגר לפי </w:t>
      </w:r>
      <w:r w:rsidR="00E30247">
        <w:rPr>
          <w:rFonts w:hint="cs"/>
          <w:rtl/>
        </w:rPr>
        <w:t>חוק שעות עבודה ומנוחה</w:t>
      </w:r>
      <w:r w:rsidR="00BC2F1A">
        <w:rPr>
          <w:rFonts w:hint="cs"/>
          <w:rtl/>
        </w:rPr>
        <w:t>)</w:t>
      </w:r>
      <w:r w:rsidR="00E30247">
        <w:rPr>
          <w:rFonts w:hint="cs"/>
          <w:rtl/>
        </w:rPr>
        <w:t>, איסור העסקה בערב הקודם ליום המנוחה השבועי על מנת לשמור על שלמות המשפחה וחשיבות ערב יום המנוחה.</w:t>
      </w:r>
      <w:r w:rsidR="00661CA9">
        <w:rPr>
          <w:rFonts w:hint="cs"/>
          <w:rtl/>
        </w:rPr>
        <w:t xml:space="preserve"> כמו כן, צעיר לא יועסק מעבר ל-6 ימים ברציפות ואחת לארבעה שבועות ישהה במנוחה ביום המנוחה הקבוע שלו. בנוסף, על המעסיק לדאוג להחזרת העובד לביתו בתום המשמרת </w:t>
      </w:r>
      <w:r w:rsidR="009A416B">
        <w:rPr>
          <w:rFonts w:hint="cs"/>
          <w:rtl/>
        </w:rPr>
        <w:t>ויוטל קנס למי שיפר הוראה זו.</w:t>
      </w:r>
    </w:p>
    <w:p w14:paraId="49B2F9D5" w14:textId="77777777" w:rsidR="00FC77BA" w:rsidRDefault="005E6CC1">
      <w:pPr>
        <w:spacing w:before="0" w:line="360" w:lineRule="auto"/>
        <w:jc w:val="left"/>
      </w:pPr>
      <w:bookmarkStart w:id="9" w:name="selectedDocDateB"/>
      <w:bookmarkEnd w:id="9"/>
      <w:bookmarkEnd w:id="8"/>
      <w:r>
        <w:rPr>
          <w:rFonts w:ascii="David" w:eastAsia="David" w:hAnsi="David" w:cs="David" w:hint="cs"/>
          <w:sz w:val="26"/>
          <w:szCs w:val="26"/>
          <w:rtl/>
        </w:rPr>
        <w:t>--------------------------------</w:t>
      </w:r>
    </w:p>
    <w:p w14:paraId="72274EBF" w14:textId="77777777" w:rsidR="00FC77BA" w:rsidRDefault="005E6CC1">
      <w:pPr>
        <w:spacing w:before="0" w:line="360" w:lineRule="auto"/>
        <w:jc w:val="left"/>
      </w:pPr>
      <w:r>
        <w:rPr>
          <w:rFonts w:ascii="David" w:eastAsia="David" w:hAnsi="David" w:cs="David" w:hint="cs"/>
          <w:sz w:val="26"/>
          <w:szCs w:val="26"/>
          <w:rtl/>
        </w:rPr>
        <w:t>הוגשה ליו"ר הכנסת והסגנים</w:t>
      </w:r>
    </w:p>
    <w:p w14:paraId="6904E494" w14:textId="77777777" w:rsidR="00FC77BA" w:rsidRDefault="005E6CC1">
      <w:pPr>
        <w:spacing w:before="0" w:line="360" w:lineRule="auto"/>
        <w:jc w:val="left"/>
      </w:pPr>
      <w:r>
        <w:rPr>
          <w:rFonts w:ascii="David" w:eastAsia="David" w:hAnsi="David" w:cs="David" w:hint="cs"/>
          <w:sz w:val="26"/>
          <w:szCs w:val="26"/>
          <w:rtl/>
        </w:rPr>
        <w:t>והונחה על שולחן הכנסת ביום</w:t>
      </w:r>
    </w:p>
    <w:p w14:paraId="7BC1F0E2" w14:textId="77777777" w:rsidR="00FC77BA" w:rsidRDefault="005E6CC1">
      <w:pPr>
        <w:spacing w:before="0" w:line="360" w:lineRule="auto"/>
        <w:jc w:val="left"/>
      </w:pPr>
      <w:r>
        <w:rPr>
          <w:rFonts w:ascii="David" w:eastAsia="David" w:hAnsi="David" w:cs="David" w:hint="cs"/>
          <w:sz w:val="26"/>
          <w:szCs w:val="26"/>
          <w:rtl/>
        </w:rPr>
        <w:t>י"ט בחשוון התשפ"ב (25.10.</w:t>
      </w:r>
      <w:r>
        <w:rPr>
          <w:rFonts w:ascii="David" w:eastAsia="David" w:hAnsi="David" w:cs="David" w:hint="cs"/>
          <w:sz w:val="26"/>
          <w:szCs w:val="26"/>
          <w:rtl/>
        </w:rPr>
        <w:t xml:space="preserve">2021) </w:t>
      </w:r>
    </w:p>
    <w:p w14:paraId="7F6E68AF" w14:textId="77777777" w:rsidR="00FC77BA" w:rsidRDefault="00FC77BA">
      <w:pPr>
        <w:spacing w:before="0" w:line="276" w:lineRule="auto"/>
        <w:jc w:val="left"/>
      </w:pPr>
    </w:p>
    <w:sectPr w:rsidR="00FC77BA" w:rsidSect="001207F8">
      <w:footerReference w:type="even" r:id="rId11"/>
      <w:footerReference w:type="default" r:id="rId12"/>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6B4C1" w14:textId="77777777" w:rsidR="00D142D3" w:rsidRDefault="00D142D3">
      <w:r>
        <w:separator/>
      </w:r>
    </w:p>
  </w:endnote>
  <w:endnote w:type="continuationSeparator" w:id="0">
    <w:p w14:paraId="0E546755" w14:textId="77777777" w:rsidR="00D142D3" w:rsidRDefault="00D142D3">
      <w:r>
        <w:continuationSeparator/>
      </w:r>
    </w:p>
  </w:endnote>
  <w:endnote w:type="continuationNotice" w:id="1">
    <w:p w14:paraId="24369900" w14:textId="77777777" w:rsidR="00D142D3" w:rsidRDefault="00D142D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end"/>
    </w:r>
  </w:p>
  <w:p w14:paraId="7F6961D6" w14:textId="77777777" w:rsidR="002C3041" w:rsidRDefault="002C304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0537826"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separate"/>
    </w:r>
    <w:r w:rsidR="005E6CC1">
      <w:rPr>
        <w:rStyle w:val="aa"/>
        <w:noProof/>
        <w:rtl/>
      </w:rPr>
      <w:t>2</w:t>
    </w:r>
    <w:r>
      <w:rPr>
        <w:rStyle w:val="aa"/>
        <w:rtl/>
      </w:rPr>
      <w:fldChar w:fldCharType="end"/>
    </w:r>
  </w:p>
  <w:p w14:paraId="7F6961D8" w14:textId="77777777" w:rsidR="002C3041" w:rsidRDefault="002C304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674C0" w14:textId="77777777" w:rsidR="00D142D3" w:rsidRDefault="00D142D3">
      <w:r>
        <w:separator/>
      </w:r>
    </w:p>
  </w:footnote>
  <w:footnote w:type="continuationSeparator" w:id="0">
    <w:p w14:paraId="401CF485" w14:textId="77777777" w:rsidR="00D142D3" w:rsidRDefault="00D142D3">
      <w:r>
        <w:continuationSeparator/>
      </w:r>
    </w:p>
  </w:footnote>
  <w:footnote w:type="continuationNotice" w:id="1">
    <w:p w14:paraId="173A6451" w14:textId="77777777" w:rsidR="00D142D3" w:rsidRDefault="00D142D3"/>
  </w:footnote>
  <w:footnote w:id="2">
    <w:p w14:paraId="3B62CDAA" w14:textId="77777777" w:rsidR="00471484" w:rsidRDefault="00471484" w:rsidP="00471484">
      <w:pPr>
        <w:pStyle w:val="a4"/>
      </w:pPr>
      <w:r>
        <w:rPr>
          <w:rStyle w:val="a5"/>
        </w:rPr>
        <w:footnoteRef/>
      </w:r>
      <w:r>
        <w:rPr>
          <w:rtl/>
        </w:rPr>
        <w:t xml:space="preserve"> </w:t>
      </w:r>
      <w:r>
        <w:rPr>
          <w:rFonts w:hint="cs"/>
          <w:rtl/>
        </w:rPr>
        <w:t>ס"ח התשי"ג, עמ' 296.</w:t>
      </w:r>
    </w:p>
  </w:footnote>
  <w:footnote w:id="3">
    <w:p w14:paraId="0D9B9E80" w14:textId="1401DAD0" w:rsidR="00C60546" w:rsidRDefault="00C60546">
      <w:pPr>
        <w:pStyle w:val="a4"/>
      </w:pPr>
      <w:r>
        <w:rPr>
          <w:rStyle w:val="a5"/>
        </w:rPr>
        <w:footnoteRef/>
      </w:r>
      <w:r>
        <w:rPr>
          <w:rtl/>
        </w:rPr>
        <w:t xml:space="preserve"> </w:t>
      </w:r>
      <w:r>
        <w:rPr>
          <w:rFonts w:hint="cs"/>
          <w:rtl/>
        </w:rPr>
        <w:t>ס"ח התשי"א, עמ' 204.</w:t>
      </w:r>
    </w:p>
  </w:footnote>
  <w:footnote w:id="4">
    <w:p w14:paraId="2A77BA35" w14:textId="77777777" w:rsidR="009A416B" w:rsidRDefault="009A416B" w:rsidP="009A416B">
      <w:pPr>
        <w:pStyle w:val="a4"/>
      </w:pPr>
      <w:r>
        <w:rPr>
          <w:rStyle w:val="a5"/>
        </w:rPr>
        <w:footnoteRef/>
      </w:r>
      <w:r>
        <w:rPr>
          <w:rtl/>
        </w:rPr>
        <w:t xml:space="preserve"> </w:t>
      </w:r>
      <w:r>
        <w:rPr>
          <w:rFonts w:hint="cs"/>
          <w:rtl/>
        </w:rPr>
        <w:t>ס"ח התשי"א, עמ' 204.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4C2411"/>
    <w:multiLevelType w:val="hybridMultilevel"/>
    <w:tmpl w:val="DE76E9CC"/>
    <w:lvl w:ilvl="0" w:tplc="53262E48">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AE203C"/>
    <w:multiLevelType w:val="hybridMultilevel"/>
    <w:tmpl w:val="DE76E9CC"/>
    <w:lvl w:ilvl="0" w:tplc="53262E48">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506B5D"/>
    <w:multiLevelType w:val="hybridMultilevel"/>
    <w:tmpl w:val="5D643802"/>
    <w:lvl w:ilvl="0" w:tplc="3A985402">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5A20BB"/>
    <w:multiLevelType w:val="hybridMultilevel"/>
    <w:tmpl w:val="4CF23D30"/>
    <w:lvl w:ilvl="0" w:tplc="31A62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C4028F"/>
    <w:multiLevelType w:val="hybridMultilevel"/>
    <w:tmpl w:val="C3AE776A"/>
    <w:lvl w:ilvl="0" w:tplc="98DE0AE0">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1F0F71"/>
    <w:multiLevelType w:val="hybridMultilevel"/>
    <w:tmpl w:val="DE76E9CC"/>
    <w:lvl w:ilvl="0" w:tplc="53262E48">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4C2B6E"/>
    <w:multiLevelType w:val="hybridMultilevel"/>
    <w:tmpl w:val="9F341C4E"/>
    <w:lvl w:ilvl="0" w:tplc="EE4ED590">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9D8353F"/>
    <w:multiLevelType w:val="hybridMultilevel"/>
    <w:tmpl w:val="C04E19B8"/>
    <w:lvl w:ilvl="0" w:tplc="0FACA6DC">
      <w:start w:val="1"/>
      <w:numFmt w:val="hebrew1"/>
      <w:lvlRestart w:val="0"/>
      <w:lvlText w:val="(%1)"/>
      <w:lvlJc w:val="left"/>
      <w:pPr>
        <w:tabs>
          <w:tab w:val="num" w:pos="1344"/>
        </w:tabs>
        <w:ind w:left="720" w:firstLine="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9"/>
  </w:num>
  <w:num w:numId="13">
    <w:abstractNumId w:val="12"/>
  </w:num>
  <w:num w:numId="14">
    <w:abstractNumId w:val="20"/>
  </w:num>
  <w:num w:numId="15">
    <w:abstractNumId w:val="15"/>
  </w:num>
  <w:num w:numId="16">
    <w:abstractNumId w:val="18"/>
  </w:num>
  <w:num w:numId="17">
    <w:abstractNumId w:val="16"/>
  </w:num>
  <w:num w:numId="18">
    <w:abstractNumId w:val="14"/>
  </w:num>
  <w:num w:numId="19">
    <w:abstractNumId w:val="17"/>
  </w:num>
  <w:num w:numId="20">
    <w:abstractNumId w:val="21"/>
  </w:num>
  <w:num w:numId="21">
    <w:abstractNumId w:val="1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5B27"/>
    <w:rsid w:val="00063A3E"/>
    <w:rsid w:val="00072CAC"/>
    <w:rsid w:val="0007681A"/>
    <w:rsid w:val="000A542E"/>
    <w:rsid w:val="00102B6B"/>
    <w:rsid w:val="001052D4"/>
    <w:rsid w:val="0010644B"/>
    <w:rsid w:val="001207F8"/>
    <w:rsid w:val="00121924"/>
    <w:rsid w:val="001279A8"/>
    <w:rsid w:val="0014195F"/>
    <w:rsid w:val="00152609"/>
    <w:rsid w:val="00153E1B"/>
    <w:rsid w:val="001A0623"/>
    <w:rsid w:val="001C23B0"/>
    <w:rsid w:val="001D7AAF"/>
    <w:rsid w:val="00203A7F"/>
    <w:rsid w:val="0021633A"/>
    <w:rsid w:val="002200A1"/>
    <w:rsid w:val="002362BF"/>
    <w:rsid w:val="00241B97"/>
    <w:rsid w:val="002425D1"/>
    <w:rsid w:val="00246756"/>
    <w:rsid w:val="00251E58"/>
    <w:rsid w:val="00254605"/>
    <w:rsid w:val="00266D86"/>
    <w:rsid w:val="002728B4"/>
    <w:rsid w:val="0027600C"/>
    <w:rsid w:val="00292712"/>
    <w:rsid w:val="002A487D"/>
    <w:rsid w:val="002C2E29"/>
    <w:rsid w:val="002C3041"/>
    <w:rsid w:val="002D1EE3"/>
    <w:rsid w:val="002F1D80"/>
    <w:rsid w:val="003232A2"/>
    <w:rsid w:val="00325C14"/>
    <w:rsid w:val="0036422C"/>
    <w:rsid w:val="003710F6"/>
    <w:rsid w:val="00386E88"/>
    <w:rsid w:val="00396585"/>
    <w:rsid w:val="003D6E38"/>
    <w:rsid w:val="003D74A0"/>
    <w:rsid w:val="004033D8"/>
    <w:rsid w:val="004073F0"/>
    <w:rsid w:val="00412A7D"/>
    <w:rsid w:val="00416B4D"/>
    <w:rsid w:val="00417CFC"/>
    <w:rsid w:val="00471484"/>
    <w:rsid w:val="004A06DC"/>
    <w:rsid w:val="004B24ED"/>
    <w:rsid w:val="004B6625"/>
    <w:rsid w:val="004D2D82"/>
    <w:rsid w:val="004D3876"/>
    <w:rsid w:val="004E4552"/>
    <w:rsid w:val="004E6CDF"/>
    <w:rsid w:val="00553C9D"/>
    <w:rsid w:val="00562A66"/>
    <w:rsid w:val="005B064E"/>
    <w:rsid w:val="005D51AE"/>
    <w:rsid w:val="005D5460"/>
    <w:rsid w:val="005E6CC1"/>
    <w:rsid w:val="0062674B"/>
    <w:rsid w:val="006363B2"/>
    <w:rsid w:val="00644940"/>
    <w:rsid w:val="0064604F"/>
    <w:rsid w:val="00661CA9"/>
    <w:rsid w:val="006818A9"/>
    <w:rsid w:val="006A2D81"/>
    <w:rsid w:val="006C1D0D"/>
    <w:rsid w:val="006D1AB6"/>
    <w:rsid w:val="006D7839"/>
    <w:rsid w:val="0070601E"/>
    <w:rsid w:val="00712C72"/>
    <w:rsid w:val="00735FE9"/>
    <w:rsid w:val="00763CAA"/>
    <w:rsid w:val="00765F66"/>
    <w:rsid w:val="00775C40"/>
    <w:rsid w:val="0078664F"/>
    <w:rsid w:val="007A27CE"/>
    <w:rsid w:val="007C3FA6"/>
    <w:rsid w:val="007D585A"/>
    <w:rsid w:val="007D5A12"/>
    <w:rsid w:val="007E59F9"/>
    <w:rsid w:val="00810BCD"/>
    <w:rsid w:val="00812C98"/>
    <w:rsid w:val="00814D92"/>
    <w:rsid w:val="0083181D"/>
    <w:rsid w:val="00843EB2"/>
    <w:rsid w:val="008537E6"/>
    <w:rsid w:val="00865572"/>
    <w:rsid w:val="00874BBC"/>
    <w:rsid w:val="00892135"/>
    <w:rsid w:val="00895449"/>
    <w:rsid w:val="00897879"/>
    <w:rsid w:val="008A6870"/>
    <w:rsid w:val="008C2DDC"/>
    <w:rsid w:val="008C7516"/>
    <w:rsid w:val="008E6EC7"/>
    <w:rsid w:val="008F0D63"/>
    <w:rsid w:val="008F1308"/>
    <w:rsid w:val="008F2C35"/>
    <w:rsid w:val="008F6665"/>
    <w:rsid w:val="00904591"/>
    <w:rsid w:val="00905E5F"/>
    <w:rsid w:val="0091204F"/>
    <w:rsid w:val="009203DB"/>
    <w:rsid w:val="00923CD4"/>
    <w:rsid w:val="00930EFE"/>
    <w:rsid w:val="00941D50"/>
    <w:rsid w:val="00943386"/>
    <w:rsid w:val="009456B6"/>
    <w:rsid w:val="00957589"/>
    <w:rsid w:val="00966D06"/>
    <w:rsid w:val="00982412"/>
    <w:rsid w:val="00983A8D"/>
    <w:rsid w:val="009A0DB8"/>
    <w:rsid w:val="009A416B"/>
    <w:rsid w:val="009A7257"/>
    <w:rsid w:val="009D6E0A"/>
    <w:rsid w:val="009E1E33"/>
    <w:rsid w:val="00A14672"/>
    <w:rsid w:val="00A26BD6"/>
    <w:rsid w:val="00A443CF"/>
    <w:rsid w:val="00A6611D"/>
    <w:rsid w:val="00A82CB7"/>
    <w:rsid w:val="00A942C1"/>
    <w:rsid w:val="00AA2F03"/>
    <w:rsid w:val="00AC36F7"/>
    <w:rsid w:val="00AC63A4"/>
    <w:rsid w:val="00AD239E"/>
    <w:rsid w:val="00B10265"/>
    <w:rsid w:val="00B16A99"/>
    <w:rsid w:val="00B21211"/>
    <w:rsid w:val="00B35784"/>
    <w:rsid w:val="00B733A7"/>
    <w:rsid w:val="00B75C91"/>
    <w:rsid w:val="00B975AD"/>
    <w:rsid w:val="00BC2F1A"/>
    <w:rsid w:val="00BC45FB"/>
    <w:rsid w:val="00BF148D"/>
    <w:rsid w:val="00C23B1A"/>
    <w:rsid w:val="00C310EB"/>
    <w:rsid w:val="00C60546"/>
    <w:rsid w:val="00C9176A"/>
    <w:rsid w:val="00CF1AA2"/>
    <w:rsid w:val="00D142D3"/>
    <w:rsid w:val="00D17774"/>
    <w:rsid w:val="00D63620"/>
    <w:rsid w:val="00D76F79"/>
    <w:rsid w:val="00D8410D"/>
    <w:rsid w:val="00D867D7"/>
    <w:rsid w:val="00DB7060"/>
    <w:rsid w:val="00DE3153"/>
    <w:rsid w:val="00E06736"/>
    <w:rsid w:val="00E13C27"/>
    <w:rsid w:val="00E30247"/>
    <w:rsid w:val="00E33BBD"/>
    <w:rsid w:val="00E374F2"/>
    <w:rsid w:val="00E45103"/>
    <w:rsid w:val="00E55A60"/>
    <w:rsid w:val="00E61517"/>
    <w:rsid w:val="00E62778"/>
    <w:rsid w:val="00E635A2"/>
    <w:rsid w:val="00E63D38"/>
    <w:rsid w:val="00E665B9"/>
    <w:rsid w:val="00EA01E6"/>
    <w:rsid w:val="00EA3DE8"/>
    <w:rsid w:val="00EA758F"/>
    <w:rsid w:val="00ED4A6F"/>
    <w:rsid w:val="00EF3A3A"/>
    <w:rsid w:val="00F406B5"/>
    <w:rsid w:val="00F44C2A"/>
    <w:rsid w:val="00F628D6"/>
    <w:rsid w:val="00F67051"/>
    <w:rsid w:val="00F86A1E"/>
    <w:rsid w:val="00FA5E88"/>
    <w:rsid w:val="00FC2665"/>
    <w:rsid w:val="00FC77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00D1F7CA-4600-45E9-A3C8-14C986A27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autoRedefine/>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5">
    <w:name w:val="footnote reference"/>
    <w:basedOn w:val="a0"/>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6">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7">
    <w:name w:val="header"/>
    <w:basedOn w:val="a"/>
    <w:rsid w:val="00B975AD"/>
    <w:pPr>
      <w:tabs>
        <w:tab w:val="center" w:pos="4153"/>
        <w:tab w:val="right" w:pos="8306"/>
      </w:tabs>
    </w:pPr>
  </w:style>
  <w:style w:type="paragraph" w:styleId="a8">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9">
    <w:name w:val="Title"/>
    <w:basedOn w:val="a"/>
    <w:qFormat/>
    <w:rsid w:val="00943386"/>
    <w:pPr>
      <w:jc w:val="center"/>
    </w:pPr>
    <w:rPr>
      <w:rFonts w:cs="David"/>
      <w:b/>
      <w:bCs/>
      <w:sz w:val="28"/>
      <w:szCs w:val="28"/>
      <w:u w:val="single"/>
    </w:rPr>
  </w:style>
  <w:style w:type="character" w:styleId="aa">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b">
    <w:name w:val="Balloon Text"/>
    <w:basedOn w:val="a"/>
    <w:link w:val="ac"/>
    <w:semiHidden/>
    <w:unhideWhenUsed/>
    <w:rsid w:val="00325C14"/>
    <w:pPr>
      <w:spacing w:before="0" w:line="240" w:lineRule="auto"/>
    </w:pPr>
    <w:rPr>
      <w:rFonts w:ascii="Tahoma" w:hAnsi="Tahoma" w:cs="Tahoma"/>
      <w:sz w:val="16"/>
      <w:szCs w:val="16"/>
    </w:rPr>
  </w:style>
  <w:style w:type="character" w:customStyle="1" w:styleId="ac">
    <w:name w:val="טקסט בלונים תו"/>
    <w:basedOn w:val="a0"/>
    <w:link w:val="ab"/>
    <w:semiHidden/>
    <w:rsid w:val="00325C14"/>
    <w:rPr>
      <w:rFonts w:ascii="Tahoma" w:hAnsi="Tahoma" w:cs="Tahoma"/>
      <w:color w:val="000000"/>
      <w:spacing w:val="1"/>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ABE13442BF316646AF5951F2A6F4E844" ma:contentTypeVersion="" ma:contentTypeDescription="צור מסמך חדש." ma:contentTypeScope="" ma:versionID="3e09f08e861ef8c9ca8a66bc33319a22">
  <xsd:schema xmlns:xsd="http://www.w3.org/2001/XMLSchema" xmlns:xs="http://www.w3.org/2001/XMLSchema" xmlns:p="http://schemas.microsoft.com/office/2006/metadata/properties" xmlns:ns2="290d5b49-c690-4c6f-bbb9-1e50dab33eee" targetNamespace="http://schemas.microsoft.com/office/2006/metadata/properties" ma:root="true" ma:fieldsID="d7dd2f529bbe50785394ddfd47ca1ac1" ns2:_="">
    <xsd:import namespace="290d5b49-c690-4c6f-bbb9-1e50dab33ee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d5b49-c690-4c6f-bbb9-1e50dab33eee" elementFormDefault="qualified">
    <xsd:import namespace="http://schemas.microsoft.com/office/2006/documentManagement/types"/>
    <xsd:import namespace="http://schemas.microsoft.com/office/infopath/2007/PartnerControls"/>
    <xsd:element name="SharedWithUsers" ma:index="8" nillable="true" ma:displayName="משותף עם"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28DF6-9A60-4A46-9A9F-8508F001A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d5b49-c690-4c6f-bbb9-1e50dab33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3.xml><?xml version="1.0" encoding="utf-8"?>
<ds:datastoreItem xmlns:ds="http://schemas.openxmlformats.org/officeDocument/2006/customXml" ds:itemID="{88F4AFE3-9455-419C-8851-785A55F4451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90d5b49-c690-4c6f-bbb9-1e50dab33eee"/>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59895CD-E991-4207-87A4-F7823EB3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Pages>
  <Words>511</Words>
  <Characters>2919</Characters>
  <Application>Microsoft Office Word</Application>
  <DocSecurity>0</DocSecurity>
  <Lines>24</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3424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לילך יעיש</cp:lastModifiedBy>
  <cp:revision>16</cp:revision>
  <cp:lastPrinted>2021-10-24T09:33:00Z</cp:lastPrinted>
  <dcterms:created xsi:type="dcterms:W3CDTF">2015-04-20T09:58:00Z</dcterms:created>
  <dcterms:modified xsi:type="dcterms:W3CDTF">2021-10-24T09:33:00Z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0x010100ABE13442BF316646AF5951F2A6F4E844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2162295</vt:r8>
  </property>
</Properties>
</file>