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2163489</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יואב קיש</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פ/2377/24</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77D495F5" w:rsidR="00E13C27" w:rsidRDefault="00A443CF" w:rsidP="0013202E">
      <w:pPr>
        <w:pStyle w:val="HeadHatzaotHok"/>
        <w:rPr>
          <w:rtl/>
        </w:rPr>
      </w:pPr>
      <w:bookmarkStart w:id="7" w:name="LGS_Subject"/>
      <w:r>
        <w:rPr>
          <w:rFonts w:hint="cs"/>
          <w:rtl/>
        </w:rPr>
        <w:t>הצעת חוק רשות מקרקעי ישראל (תיקון – הקצאת קרקעות בנגב ובגליל לחיילים משוחררים), התשפ"ב–2021</w:t>
      </w:r>
      <w:bookmarkEnd w:id="7"/>
    </w:p>
    <w:p w14:paraId="31C54429" w14:textId="77777777" w:rsidR="0013202E" w:rsidRPr="00F67051" w:rsidRDefault="0013202E" w:rsidP="0013202E">
      <w:pPr>
        <w:pStyle w:val="HeadHatzaotHok"/>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4650"/>
      </w:tblGrid>
      <w:tr w:rsidR="0013202E" w:rsidRPr="00C34DE2" w14:paraId="61C6E351" w14:textId="77777777" w:rsidTr="00F04BE1">
        <w:trPr>
          <w:cantSplit/>
        </w:trPr>
        <w:tc>
          <w:tcPr>
            <w:tcW w:w="1871" w:type="dxa"/>
          </w:tcPr>
          <w:p w14:paraId="0593038A" w14:textId="59392E37" w:rsidR="0013202E" w:rsidRDefault="0013202E" w:rsidP="0013202E">
            <w:pPr>
              <w:pStyle w:val="TableSideHeading"/>
              <w:keepLines w:val="0"/>
            </w:pPr>
            <w:r>
              <w:rPr>
                <w:rFonts w:hint="cs"/>
                <w:rtl/>
              </w:rPr>
              <w:t>הוספת סעיף 4כג</w:t>
            </w:r>
          </w:p>
        </w:tc>
        <w:tc>
          <w:tcPr>
            <w:tcW w:w="624" w:type="dxa"/>
          </w:tcPr>
          <w:p w14:paraId="73FB6F17" w14:textId="77777777" w:rsidR="0013202E" w:rsidRDefault="0013202E" w:rsidP="00F04BE1">
            <w:pPr>
              <w:pStyle w:val="TableText"/>
              <w:keepLines w:val="0"/>
            </w:pPr>
            <w:r>
              <w:rPr>
                <w:rFonts w:hint="cs"/>
                <w:rtl/>
              </w:rPr>
              <w:t>1.</w:t>
            </w:r>
          </w:p>
        </w:tc>
        <w:tc>
          <w:tcPr>
            <w:tcW w:w="7146" w:type="dxa"/>
            <w:gridSpan w:val="5"/>
          </w:tcPr>
          <w:p w14:paraId="0FE1BAC5" w14:textId="77777777" w:rsidR="0013202E" w:rsidRPr="00C34DE2" w:rsidRDefault="0013202E" w:rsidP="00F04BE1">
            <w:pPr>
              <w:pStyle w:val="TableBlock"/>
            </w:pPr>
            <w:r>
              <w:rPr>
                <w:rFonts w:hint="cs"/>
                <w:rtl/>
              </w:rPr>
              <w:t>בחוק רשות מקרקעי ישראל, התש"ך</w:t>
            </w:r>
            <w:r>
              <w:rPr>
                <w:rFonts w:hint="eastAsia"/>
                <w:rtl/>
              </w:rPr>
              <w:t>–</w:t>
            </w:r>
            <w:r>
              <w:rPr>
                <w:rFonts w:hint="cs"/>
                <w:rtl/>
              </w:rPr>
              <w:t>1960</w:t>
            </w:r>
            <w:r>
              <w:rPr>
                <w:rStyle w:val="a6"/>
                <w:rtl/>
              </w:rPr>
              <w:footnoteReference w:id="2"/>
            </w:r>
            <w:r>
              <w:rPr>
                <w:rFonts w:hint="cs"/>
                <w:rtl/>
              </w:rPr>
              <w:t>, אחרי סעיף 4כב יבוא:</w:t>
            </w:r>
          </w:p>
        </w:tc>
      </w:tr>
      <w:tr w:rsidR="0013202E" w14:paraId="442FFE5D" w14:textId="77777777" w:rsidTr="00F04BE1">
        <w:trPr>
          <w:cantSplit/>
        </w:trPr>
        <w:tc>
          <w:tcPr>
            <w:tcW w:w="1871" w:type="dxa"/>
          </w:tcPr>
          <w:p w14:paraId="260B8CC5" w14:textId="77777777" w:rsidR="0013202E" w:rsidRDefault="0013202E" w:rsidP="00F04BE1">
            <w:pPr>
              <w:pStyle w:val="TableSideHeading"/>
            </w:pPr>
          </w:p>
        </w:tc>
        <w:tc>
          <w:tcPr>
            <w:tcW w:w="624" w:type="dxa"/>
          </w:tcPr>
          <w:p w14:paraId="24241C16" w14:textId="77777777" w:rsidR="0013202E" w:rsidRDefault="0013202E" w:rsidP="00F04BE1">
            <w:pPr>
              <w:pStyle w:val="TableText"/>
            </w:pPr>
          </w:p>
        </w:tc>
        <w:tc>
          <w:tcPr>
            <w:tcW w:w="1872" w:type="dxa"/>
            <w:gridSpan w:val="3"/>
          </w:tcPr>
          <w:p w14:paraId="18564C84" w14:textId="77777777" w:rsidR="0013202E" w:rsidRPr="00B83458" w:rsidRDefault="0013202E" w:rsidP="00F04BE1">
            <w:pPr>
              <w:pStyle w:val="TableInnerSideHeading"/>
              <w:ind w:right="0"/>
              <w:rPr>
                <w:rtl/>
              </w:rPr>
            </w:pPr>
            <w:r w:rsidRPr="00B83458">
              <w:rPr>
                <w:rFonts w:hint="cs"/>
                <w:rtl/>
              </w:rPr>
              <w:t>"הקצאת קרקעות לחיילים משוחררים</w:t>
            </w:r>
          </w:p>
        </w:tc>
        <w:tc>
          <w:tcPr>
            <w:tcW w:w="624" w:type="dxa"/>
          </w:tcPr>
          <w:p w14:paraId="41C2133C" w14:textId="77777777" w:rsidR="0013202E" w:rsidRDefault="0013202E" w:rsidP="00F04BE1">
            <w:pPr>
              <w:pStyle w:val="TableText"/>
            </w:pPr>
            <w:r>
              <w:rPr>
                <w:rFonts w:hint="cs"/>
                <w:rtl/>
              </w:rPr>
              <w:t>4כג.</w:t>
            </w:r>
          </w:p>
        </w:tc>
        <w:tc>
          <w:tcPr>
            <w:tcW w:w="4650" w:type="dxa"/>
          </w:tcPr>
          <w:p w14:paraId="4D68AFE0" w14:textId="77777777" w:rsidR="0013202E" w:rsidRDefault="0013202E" w:rsidP="00F04BE1">
            <w:pPr>
              <w:pStyle w:val="TableBlock"/>
            </w:pPr>
            <w:r>
              <w:rPr>
                <w:rFonts w:hint="cs"/>
                <w:rtl/>
              </w:rPr>
              <w:t>(א)</w:t>
            </w:r>
            <w:r>
              <w:rPr>
                <w:rtl/>
              </w:rPr>
              <w:tab/>
            </w:r>
            <w:r>
              <w:rPr>
                <w:rFonts w:hint="cs"/>
                <w:rtl/>
              </w:rPr>
              <w:t>הרשות תקצה לחיילים משוחררים, בלא תמורה, קרקע לשם בניית בתי מגורים ביישובים שבתחום אזורי עדיפות לאומית, ששטחה לא יפחת מ-200 מטר ולא יעלה על 500 מטר; על אף הוראות סעיף 4יז, הבעלות בקרקע שהוקצתה בהתאם להוראות סעיף זה לא תועבר למי שקיבל בה זכויות.</w:t>
            </w:r>
          </w:p>
        </w:tc>
      </w:tr>
      <w:tr w:rsidR="0013202E" w14:paraId="02325F76" w14:textId="77777777" w:rsidTr="00F04BE1">
        <w:trPr>
          <w:cantSplit/>
          <w:trHeight w:val="60"/>
        </w:trPr>
        <w:tc>
          <w:tcPr>
            <w:tcW w:w="1871" w:type="dxa"/>
          </w:tcPr>
          <w:p w14:paraId="003E1566" w14:textId="77777777" w:rsidR="0013202E" w:rsidRDefault="0013202E" w:rsidP="00F04BE1">
            <w:pPr>
              <w:pStyle w:val="TableSideHeading"/>
            </w:pPr>
          </w:p>
        </w:tc>
        <w:tc>
          <w:tcPr>
            <w:tcW w:w="624" w:type="dxa"/>
          </w:tcPr>
          <w:p w14:paraId="68C794D6" w14:textId="77777777" w:rsidR="0013202E" w:rsidRDefault="0013202E" w:rsidP="00F04BE1">
            <w:pPr>
              <w:pStyle w:val="TableText"/>
            </w:pPr>
          </w:p>
        </w:tc>
        <w:tc>
          <w:tcPr>
            <w:tcW w:w="624" w:type="dxa"/>
          </w:tcPr>
          <w:p w14:paraId="4BA5CB15" w14:textId="77777777" w:rsidR="0013202E" w:rsidRDefault="0013202E" w:rsidP="00F04BE1">
            <w:pPr>
              <w:pStyle w:val="TableText"/>
            </w:pPr>
          </w:p>
        </w:tc>
        <w:tc>
          <w:tcPr>
            <w:tcW w:w="624" w:type="dxa"/>
          </w:tcPr>
          <w:p w14:paraId="326CB7BA" w14:textId="77777777" w:rsidR="0013202E" w:rsidRDefault="0013202E" w:rsidP="00F04BE1">
            <w:pPr>
              <w:pStyle w:val="TableText"/>
            </w:pPr>
          </w:p>
        </w:tc>
        <w:tc>
          <w:tcPr>
            <w:tcW w:w="624" w:type="dxa"/>
          </w:tcPr>
          <w:p w14:paraId="0FD11EE8" w14:textId="77777777" w:rsidR="0013202E" w:rsidRDefault="0013202E" w:rsidP="00F04BE1">
            <w:pPr>
              <w:pStyle w:val="TableText"/>
            </w:pPr>
          </w:p>
        </w:tc>
        <w:tc>
          <w:tcPr>
            <w:tcW w:w="624" w:type="dxa"/>
          </w:tcPr>
          <w:p w14:paraId="649B76EE" w14:textId="77777777" w:rsidR="0013202E" w:rsidRDefault="0013202E" w:rsidP="00F04BE1">
            <w:pPr>
              <w:pStyle w:val="TableText"/>
            </w:pPr>
          </w:p>
        </w:tc>
        <w:tc>
          <w:tcPr>
            <w:tcW w:w="4650" w:type="dxa"/>
          </w:tcPr>
          <w:p w14:paraId="3B2E81B2" w14:textId="77777777" w:rsidR="0013202E" w:rsidRDefault="0013202E" w:rsidP="00F04BE1">
            <w:pPr>
              <w:pStyle w:val="TableBlock"/>
            </w:pPr>
            <w:r>
              <w:rPr>
                <w:rFonts w:hint="cs"/>
                <w:rtl/>
              </w:rPr>
              <w:t>(ב)</w:t>
            </w:r>
            <w:r>
              <w:rPr>
                <w:rtl/>
              </w:rPr>
              <w:tab/>
            </w:r>
            <w:r>
              <w:rPr>
                <w:rFonts w:hint="cs"/>
                <w:rtl/>
              </w:rPr>
              <w:t xml:space="preserve">בסעיף זה </w:t>
            </w:r>
            <w:r>
              <w:rPr>
                <w:rFonts w:hint="eastAsia"/>
                <w:rtl/>
              </w:rPr>
              <w:t>–</w:t>
            </w:r>
          </w:p>
        </w:tc>
      </w:tr>
      <w:tr w:rsidR="0013202E" w:rsidRPr="009852EF" w14:paraId="3992F3C0" w14:textId="77777777" w:rsidTr="00F04BE1">
        <w:trPr>
          <w:cantSplit/>
          <w:trHeight w:val="60"/>
        </w:trPr>
        <w:tc>
          <w:tcPr>
            <w:tcW w:w="1871" w:type="dxa"/>
          </w:tcPr>
          <w:p w14:paraId="6184E484" w14:textId="77777777" w:rsidR="0013202E" w:rsidRDefault="0013202E" w:rsidP="00F04BE1">
            <w:pPr>
              <w:pStyle w:val="TableSideHeading"/>
            </w:pPr>
          </w:p>
        </w:tc>
        <w:tc>
          <w:tcPr>
            <w:tcW w:w="624" w:type="dxa"/>
          </w:tcPr>
          <w:p w14:paraId="423F9411" w14:textId="77777777" w:rsidR="0013202E" w:rsidRDefault="0013202E" w:rsidP="00F04BE1">
            <w:pPr>
              <w:pStyle w:val="TableText"/>
            </w:pPr>
          </w:p>
        </w:tc>
        <w:tc>
          <w:tcPr>
            <w:tcW w:w="624" w:type="dxa"/>
          </w:tcPr>
          <w:p w14:paraId="1C20212D" w14:textId="77777777" w:rsidR="0013202E" w:rsidRDefault="0013202E" w:rsidP="00F04BE1">
            <w:pPr>
              <w:pStyle w:val="TableText"/>
            </w:pPr>
          </w:p>
        </w:tc>
        <w:tc>
          <w:tcPr>
            <w:tcW w:w="624" w:type="dxa"/>
          </w:tcPr>
          <w:p w14:paraId="17A57C63" w14:textId="77777777" w:rsidR="0013202E" w:rsidRDefault="0013202E" w:rsidP="00F04BE1">
            <w:pPr>
              <w:pStyle w:val="TableText"/>
            </w:pPr>
          </w:p>
        </w:tc>
        <w:tc>
          <w:tcPr>
            <w:tcW w:w="624" w:type="dxa"/>
          </w:tcPr>
          <w:p w14:paraId="42A1AEEB" w14:textId="77777777" w:rsidR="0013202E" w:rsidRDefault="0013202E" w:rsidP="00F04BE1">
            <w:pPr>
              <w:pStyle w:val="TableText"/>
            </w:pPr>
          </w:p>
        </w:tc>
        <w:tc>
          <w:tcPr>
            <w:tcW w:w="624" w:type="dxa"/>
          </w:tcPr>
          <w:p w14:paraId="4FC035C0" w14:textId="77777777" w:rsidR="0013202E" w:rsidRDefault="0013202E" w:rsidP="00F04BE1">
            <w:pPr>
              <w:pStyle w:val="TableText"/>
            </w:pPr>
          </w:p>
        </w:tc>
        <w:tc>
          <w:tcPr>
            <w:tcW w:w="4650" w:type="dxa"/>
          </w:tcPr>
          <w:p w14:paraId="1BDAF26D" w14:textId="77777777" w:rsidR="0013202E" w:rsidRPr="009852EF" w:rsidRDefault="0013202E" w:rsidP="00F04BE1">
            <w:pPr>
              <w:pStyle w:val="TableBlockOutdent"/>
              <w:rPr>
                <w:rtl/>
              </w:rPr>
            </w:pPr>
            <w:r>
              <w:rPr>
                <w:rFonts w:hint="cs"/>
                <w:rtl/>
              </w:rPr>
              <w:t xml:space="preserve">"אזור עדיפות לאומית" – כמשמעותו בפרק כ"ו לחוק </w:t>
            </w:r>
            <w:r w:rsidRPr="00770D6F">
              <w:rPr>
                <w:rtl/>
              </w:rPr>
              <w:t xml:space="preserve">ההתייעלות הכלכלית (תיקוני חקיקה ליישום התכנית הכלכלית לשנים 2009 ו-2010), </w:t>
            </w:r>
            <w:r>
              <w:rPr>
                <w:rFonts w:hint="cs"/>
                <w:rtl/>
              </w:rPr>
              <w:t>ה</w:t>
            </w:r>
            <w:r>
              <w:rPr>
                <w:rtl/>
              </w:rPr>
              <w:t>תשס"ט</w:t>
            </w:r>
            <w:r>
              <w:rPr>
                <w:rFonts w:hint="cs"/>
                <w:rtl/>
              </w:rPr>
              <w:t>–</w:t>
            </w:r>
            <w:r w:rsidRPr="00770D6F">
              <w:rPr>
                <w:rtl/>
              </w:rPr>
              <w:t>2009</w:t>
            </w:r>
            <w:r>
              <w:rPr>
                <w:rStyle w:val="a6"/>
                <w:rtl/>
              </w:rPr>
              <w:footnoteReference w:id="3"/>
            </w:r>
            <w:r>
              <w:rPr>
                <w:rFonts w:hint="cs"/>
                <w:rtl/>
              </w:rPr>
              <w:t>;</w:t>
            </w:r>
          </w:p>
        </w:tc>
      </w:tr>
      <w:tr w:rsidR="0013202E" w:rsidRPr="002D11EE" w14:paraId="4A6CBFA1" w14:textId="77777777" w:rsidTr="00F04BE1">
        <w:trPr>
          <w:cantSplit/>
          <w:trHeight w:val="60"/>
        </w:trPr>
        <w:tc>
          <w:tcPr>
            <w:tcW w:w="1871" w:type="dxa"/>
          </w:tcPr>
          <w:p w14:paraId="559DD069" w14:textId="77777777" w:rsidR="0013202E" w:rsidRDefault="0013202E" w:rsidP="00F04BE1">
            <w:pPr>
              <w:pStyle w:val="TableSideHeading"/>
            </w:pPr>
          </w:p>
        </w:tc>
        <w:tc>
          <w:tcPr>
            <w:tcW w:w="624" w:type="dxa"/>
          </w:tcPr>
          <w:p w14:paraId="225126CF" w14:textId="77777777" w:rsidR="0013202E" w:rsidRDefault="0013202E" w:rsidP="00F04BE1">
            <w:pPr>
              <w:pStyle w:val="TableText"/>
            </w:pPr>
          </w:p>
        </w:tc>
        <w:tc>
          <w:tcPr>
            <w:tcW w:w="624" w:type="dxa"/>
          </w:tcPr>
          <w:p w14:paraId="1E4AA4CC" w14:textId="77777777" w:rsidR="0013202E" w:rsidRDefault="0013202E" w:rsidP="00F04BE1">
            <w:pPr>
              <w:pStyle w:val="TableText"/>
            </w:pPr>
          </w:p>
        </w:tc>
        <w:tc>
          <w:tcPr>
            <w:tcW w:w="624" w:type="dxa"/>
          </w:tcPr>
          <w:p w14:paraId="30A0F888" w14:textId="77777777" w:rsidR="0013202E" w:rsidRDefault="0013202E" w:rsidP="00F04BE1">
            <w:pPr>
              <w:pStyle w:val="TableText"/>
            </w:pPr>
          </w:p>
        </w:tc>
        <w:tc>
          <w:tcPr>
            <w:tcW w:w="624" w:type="dxa"/>
          </w:tcPr>
          <w:p w14:paraId="2A6B4BC1" w14:textId="77777777" w:rsidR="0013202E" w:rsidRDefault="0013202E" w:rsidP="00F04BE1">
            <w:pPr>
              <w:pStyle w:val="TableText"/>
            </w:pPr>
          </w:p>
        </w:tc>
        <w:tc>
          <w:tcPr>
            <w:tcW w:w="624" w:type="dxa"/>
          </w:tcPr>
          <w:p w14:paraId="7145F67D" w14:textId="77777777" w:rsidR="0013202E" w:rsidRDefault="0013202E" w:rsidP="00F04BE1">
            <w:pPr>
              <w:pStyle w:val="TableText"/>
            </w:pPr>
          </w:p>
        </w:tc>
        <w:tc>
          <w:tcPr>
            <w:tcW w:w="4650" w:type="dxa"/>
          </w:tcPr>
          <w:p w14:paraId="240E0F46" w14:textId="77777777" w:rsidR="0013202E" w:rsidRPr="002D11EE" w:rsidRDefault="0013202E" w:rsidP="00F04BE1">
            <w:pPr>
              <w:pStyle w:val="TableBlockOutdent"/>
              <w:rPr>
                <w:rtl/>
              </w:rPr>
            </w:pPr>
            <w:r w:rsidRPr="002D11EE">
              <w:rPr>
                <w:rtl/>
              </w:rPr>
              <w:t>"</w:t>
            </w:r>
            <w:r w:rsidRPr="002D11EE">
              <w:rPr>
                <w:rFonts w:hint="cs"/>
                <w:rtl/>
              </w:rPr>
              <w:t xml:space="preserve">חייל משוחרר" </w:t>
            </w:r>
            <w:r w:rsidRPr="002D11EE">
              <w:rPr>
                <w:rtl/>
              </w:rPr>
              <w:t>–</w:t>
            </w:r>
            <w:r w:rsidRPr="002D11EE">
              <w:rPr>
                <w:rFonts w:hint="cs"/>
                <w:rtl/>
              </w:rPr>
              <w:t xml:space="preserve"> כהגדרתו בחוק קליטת חיילים משוחררים, התשנ"ד</w:t>
            </w:r>
            <w:r w:rsidRPr="002D11EE">
              <w:rPr>
                <w:rFonts w:hint="eastAsia"/>
                <w:rtl/>
              </w:rPr>
              <w:t>–</w:t>
            </w:r>
            <w:r w:rsidRPr="002D11EE">
              <w:rPr>
                <w:rFonts w:hint="cs"/>
                <w:rtl/>
              </w:rPr>
              <w:t>1994</w:t>
            </w:r>
            <w:r w:rsidRPr="003F63EF">
              <w:rPr>
                <w:rStyle w:val="a6"/>
                <w:rtl/>
              </w:rPr>
              <w:footnoteReference w:id="4"/>
            </w:r>
            <w:r w:rsidRPr="002D11EE">
              <w:rPr>
                <w:rFonts w:hint="cs"/>
                <w:rtl/>
              </w:rPr>
              <w:t>."</w:t>
            </w:r>
          </w:p>
        </w:tc>
      </w:tr>
    </w:tbl>
    <w:p w14:paraId="49005D1A" w14:textId="77777777" w:rsidR="0013202E" w:rsidRDefault="0013202E" w:rsidP="0013202E">
      <w:pPr>
        <w:pStyle w:val="HeadDivreiHesber"/>
        <w:rPr>
          <w:rtl/>
        </w:rPr>
      </w:pPr>
      <w:r w:rsidRPr="0027450A">
        <w:rPr>
          <w:rFonts w:hint="cs"/>
          <w:rtl/>
        </w:rPr>
        <w:t>דברי הסבר</w:t>
      </w:r>
    </w:p>
    <w:p w14:paraId="2E009194" w14:textId="77777777" w:rsidR="0013202E" w:rsidRPr="003A42F3" w:rsidRDefault="0013202E" w:rsidP="003A42F3">
      <w:pPr>
        <w:pStyle w:val="Hesber1st"/>
        <w:tabs>
          <w:tab w:val="clear" w:pos="680"/>
        </w:tabs>
        <w:rPr>
          <w:rtl/>
        </w:rPr>
      </w:pPr>
      <w:r w:rsidRPr="003A42F3">
        <w:rPr>
          <w:rFonts w:hint="cs"/>
          <w:rtl/>
        </w:rPr>
        <w:t xml:space="preserve">מדינת ישראל, מאז הקמתה, חרטה על דגלה את הרצון לפתח את הנגב והגליל. במקביל, לאחר הקמת צה"ל, חיפשו ממשלות ישראל דרכים לתגמל את החיילים אשר שירתו את המדינה שנים רבות. </w:t>
      </w:r>
    </w:p>
    <w:p w14:paraId="66DD9A27" w14:textId="77777777" w:rsidR="0013202E" w:rsidRPr="00B83458" w:rsidRDefault="0013202E" w:rsidP="0013202E">
      <w:pPr>
        <w:pStyle w:val="Hesber"/>
        <w:rPr>
          <w:rtl/>
        </w:rPr>
      </w:pPr>
      <w:r>
        <w:rPr>
          <w:rFonts w:hint="cs"/>
          <w:rtl/>
        </w:rPr>
        <w:t>מטרת</w:t>
      </w:r>
      <w:r w:rsidRPr="00B83458">
        <w:rPr>
          <w:rFonts w:hint="cs"/>
          <w:rtl/>
        </w:rPr>
        <w:t xml:space="preserve"> הצעת </w:t>
      </w:r>
      <w:r>
        <w:rPr>
          <w:rFonts w:hint="cs"/>
          <w:rtl/>
        </w:rPr>
        <w:t>ה</w:t>
      </w:r>
      <w:r w:rsidRPr="00B83458">
        <w:rPr>
          <w:rFonts w:hint="cs"/>
          <w:rtl/>
        </w:rPr>
        <w:t>חוק לענות על שני ערכים אלו:</w:t>
      </w:r>
      <w:r>
        <w:rPr>
          <w:rFonts w:hint="cs"/>
          <w:rtl/>
        </w:rPr>
        <w:t xml:space="preserve"> תגמול למשרתי המדינה ו</w:t>
      </w:r>
      <w:r w:rsidRPr="00B83458">
        <w:rPr>
          <w:rFonts w:hint="cs"/>
          <w:rtl/>
        </w:rPr>
        <w:t xml:space="preserve">פיתוח הפריפריה על ידי מי </w:t>
      </w:r>
      <w:r w:rsidRPr="00B83458">
        <w:rPr>
          <w:rFonts w:hint="cs"/>
          <w:rtl/>
        </w:rPr>
        <w:lastRenderedPageBreak/>
        <w:t>שהוכיח כבר את יכולותיו בתרומה למען הכלל</w:t>
      </w:r>
      <w:r>
        <w:rPr>
          <w:rFonts w:hint="cs"/>
          <w:rtl/>
        </w:rPr>
        <w:t>, וזאת על ידי עידוד התיישבות צעירה</w:t>
      </w:r>
      <w:r w:rsidRPr="00B83458">
        <w:rPr>
          <w:rFonts w:hint="cs"/>
          <w:rtl/>
        </w:rPr>
        <w:t xml:space="preserve"> בנגב</w:t>
      </w:r>
      <w:r>
        <w:rPr>
          <w:rFonts w:hint="cs"/>
          <w:rtl/>
        </w:rPr>
        <w:t xml:space="preserve"> ובגליל,</w:t>
      </w:r>
      <w:r w:rsidRPr="00B83458">
        <w:rPr>
          <w:rFonts w:hint="cs"/>
          <w:rtl/>
        </w:rPr>
        <w:t xml:space="preserve"> מתוך הכרה </w:t>
      </w:r>
      <w:r>
        <w:rPr>
          <w:rFonts w:hint="cs"/>
          <w:rtl/>
        </w:rPr>
        <w:t>בכך ש</w:t>
      </w:r>
      <w:r w:rsidRPr="00B83458">
        <w:rPr>
          <w:rFonts w:hint="cs"/>
          <w:rtl/>
        </w:rPr>
        <w:t>ההתיישבות באזורים אלו עשויה לכלול אתגרים ביטחוניים ומוסריים ייחודיים.</w:t>
      </w:r>
    </w:p>
    <w:p w14:paraId="5E6FBDA2" w14:textId="77777777" w:rsidR="0013202E" w:rsidRDefault="0013202E" w:rsidP="0013202E">
      <w:pPr>
        <w:pStyle w:val="Hesber"/>
        <w:rPr>
          <w:rtl/>
        </w:rPr>
      </w:pPr>
      <w:r w:rsidRPr="00B83458">
        <w:rPr>
          <w:rFonts w:hint="cs"/>
          <w:rtl/>
        </w:rPr>
        <w:t>בנוסף לכך</w:t>
      </w:r>
      <w:r>
        <w:rPr>
          <w:rFonts w:hint="cs"/>
          <w:rtl/>
        </w:rPr>
        <w:t>, יהיה זה ראוי</w:t>
      </w:r>
      <w:r w:rsidRPr="00B83458">
        <w:rPr>
          <w:rFonts w:hint="cs"/>
          <w:rtl/>
        </w:rPr>
        <w:t xml:space="preserve"> להעניק קרקעות כתגמול על נאמנות בעבר</w:t>
      </w:r>
      <w:r>
        <w:rPr>
          <w:rFonts w:hint="cs"/>
          <w:rtl/>
        </w:rPr>
        <w:t>,</w:t>
      </w:r>
      <w:r w:rsidRPr="00B83458">
        <w:rPr>
          <w:rFonts w:hint="cs"/>
          <w:rtl/>
        </w:rPr>
        <w:t xml:space="preserve"> במקום בו מתיישבים ערכיים אלו יוכלו להמשיך ולממש גם בעתיד ערכים חברתיים נוספים </w:t>
      </w:r>
      <w:r>
        <w:rPr>
          <w:rFonts w:hint="cs"/>
          <w:rtl/>
        </w:rPr>
        <w:t>הנובעים מ</w:t>
      </w:r>
      <w:r w:rsidRPr="00B83458">
        <w:rPr>
          <w:rFonts w:hint="cs"/>
          <w:rtl/>
        </w:rPr>
        <w:t xml:space="preserve">עצם </w:t>
      </w:r>
      <w:r>
        <w:rPr>
          <w:rFonts w:hint="cs"/>
          <w:rtl/>
        </w:rPr>
        <w:t>ה</w:t>
      </w:r>
      <w:r w:rsidRPr="00B83458">
        <w:rPr>
          <w:rFonts w:hint="cs"/>
          <w:rtl/>
        </w:rPr>
        <w:t>התיישבות במקום.</w:t>
      </w:r>
    </w:p>
    <w:p w14:paraId="7FCAC62A" w14:textId="77777777" w:rsidR="0013202E" w:rsidRDefault="0013202E" w:rsidP="0013202E">
      <w:pPr>
        <w:pStyle w:val="Hesber"/>
        <w:rPr>
          <w:rtl/>
        </w:rPr>
      </w:pPr>
      <w:r>
        <w:rPr>
          <w:rFonts w:hint="cs"/>
          <w:rtl/>
        </w:rPr>
        <w:t>לפיכך, מוצע לקבוע כי רשות מקרקעי ישראל תקצה לחיילים משוחררים קרקעות בנגב ובגליל, בלא תמורה, לשם בניית בתי מגורים. לפי המוצע, קרקעות כאמור לא יועברו לבעלותם של החיילים המשוחררים שיממשו את זכאותם.</w:t>
      </w:r>
    </w:p>
    <w:p w14:paraId="2A3544E4" w14:textId="77777777" w:rsidR="00377500" w:rsidRDefault="0013202E" w:rsidP="0013202E">
      <w:pPr>
        <w:pStyle w:val="Hesber"/>
        <w:rPr>
          <w:rtl/>
        </w:rPr>
      </w:pPr>
      <w:r>
        <w:rPr>
          <w:rFonts w:hint="cs"/>
          <w:rtl/>
        </w:rPr>
        <w:t xml:space="preserve">הצעת חוק דומה בעיקרה הונחה על שולחן הכנסת העשרים ושלוש על ידי חבר הכנסת עודד פורר וקבוצת חברי הכנסת (פ/2002/23). </w:t>
      </w:r>
    </w:p>
    <w:p w14:paraId="2121430E" w14:textId="52A0EAD4" w:rsidR="0013202E" w:rsidRDefault="0013202E" w:rsidP="0013202E">
      <w:pPr>
        <w:pStyle w:val="Hesber"/>
        <w:rPr>
          <w:rtl/>
        </w:rPr>
      </w:pPr>
      <w:r>
        <w:rPr>
          <w:rFonts w:hint="cs"/>
          <w:rtl/>
        </w:rPr>
        <w:t xml:space="preserve">הצעת חוק זהה הונחה על שולחן הכנסת העשרים וארבע </w:t>
      </w:r>
      <w:bookmarkStart w:id="8" w:name="_GoBack"/>
      <w:bookmarkEnd w:id="8"/>
      <w:r>
        <w:rPr>
          <w:rFonts w:hint="cs"/>
          <w:rtl/>
        </w:rPr>
        <w:t>על ידי חבר הכנסת אלי כהן (פ/2158/24).</w:t>
      </w:r>
    </w:p>
    <w:p w14:paraId="26C86197" w14:textId="257CE811" w:rsidR="00377500" w:rsidRDefault="00377500" w:rsidP="0013202E">
      <w:pPr>
        <w:pStyle w:val="Hesber"/>
        <w:rPr>
          <w:rtl/>
        </w:rPr>
      </w:pPr>
      <w:r>
        <w:rPr>
          <w:rFonts w:hint="cs"/>
          <w:rtl/>
        </w:rPr>
        <w:t>הצעת החוק זהה לפ/2158/24 ולפיכך לא נבדקה מחדש על ידי הלשכה המשפטית של הכנסת.</w:t>
      </w:r>
    </w:p>
    <w:p w14:paraId="7F6961AE" w14:textId="77777777" w:rsidR="00E13C27" w:rsidRDefault="00E13C27" w:rsidP="0021633A">
      <w:pPr>
        <w:pStyle w:val="HeadDivreiHesber"/>
        <w:spacing w:before="0" w:after="0"/>
        <w:rPr>
          <w:rtl/>
        </w:rPr>
      </w:pPr>
    </w:p>
    <w:p w14:paraId="7F6961CB" w14:textId="77777777" w:rsidR="00E13C27" w:rsidRDefault="00E13C27" w:rsidP="0013202E">
      <w:pPr>
        <w:pStyle w:val="Hesber"/>
        <w:ind w:firstLine="0"/>
        <w:rPr>
          <w:rtl/>
        </w:rPr>
      </w:pPr>
    </w:p>
    <w:p w14:paraId="7ADBBA5A" w14:textId="77777777" w:rsidR="00C276B3" w:rsidRDefault="0074192F">
      <w:pPr>
        <w:spacing w:before="0" w:line="360" w:lineRule="auto"/>
        <w:jc w:val="left"/>
      </w:pPr>
      <w:bookmarkStart w:id="9" w:name="selectedDocDateB"/>
      <w:bookmarkEnd w:id="9"/>
      <w:r>
        <w:rPr>
          <w:rFonts w:ascii="David" w:eastAsia="David" w:hAnsi="David" w:cs="David" w:hint="cs"/>
          <w:sz w:val="26"/>
          <w:szCs w:val="26"/>
          <w:rtl/>
        </w:rPr>
        <w:t>--------------------------------</w:t>
      </w:r>
    </w:p>
    <w:p w14:paraId="5A891364" w14:textId="77777777" w:rsidR="00C276B3" w:rsidRDefault="0074192F">
      <w:pPr>
        <w:spacing w:before="0" w:line="360" w:lineRule="auto"/>
        <w:jc w:val="left"/>
      </w:pPr>
      <w:r>
        <w:rPr>
          <w:rFonts w:ascii="David" w:eastAsia="David" w:hAnsi="David" w:cs="David" w:hint="cs"/>
          <w:sz w:val="26"/>
          <w:szCs w:val="26"/>
          <w:rtl/>
        </w:rPr>
        <w:t>הוגשה ליו"ר הכנסת והסגנים</w:t>
      </w:r>
    </w:p>
    <w:p w14:paraId="57B9D78A" w14:textId="77777777" w:rsidR="00C276B3" w:rsidRDefault="0074192F">
      <w:pPr>
        <w:spacing w:before="0" w:line="360" w:lineRule="auto"/>
        <w:jc w:val="left"/>
      </w:pPr>
      <w:r>
        <w:rPr>
          <w:rFonts w:ascii="David" w:eastAsia="David" w:hAnsi="David" w:cs="David" w:hint="cs"/>
          <w:sz w:val="26"/>
          <w:szCs w:val="26"/>
          <w:rtl/>
        </w:rPr>
        <w:t>והונחה על שולחן הכנסת ביום</w:t>
      </w:r>
    </w:p>
    <w:p w14:paraId="0F8EBEC6" w14:textId="77777777" w:rsidR="00C276B3" w:rsidRDefault="0074192F">
      <w:pPr>
        <w:spacing w:before="0" w:line="360" w:lineRule="auto"/>
        <w:jc w:val="left"/>
      </w:pPr>
      <w:r>
        <w:rPr>
          <w:rFonts w:ascii="David" w:eastAsia="David" w:hAnsi="David" w:cs="David" w:hint="cs"/>
          <w:sz w:val="26"/>
          <w:szCs w:val="26"/>
          <w:rtl/>
        </w:rPr>
        <w:t xml:space="preserve">י"ט בחשוון התשפ"ב (25.10.2021) </w:t>
      </w:r>
    </w:p>
    <w:p w14:paraId="7C58EF28" w14:textId="77777777" w:rsidR="00C276B3" w:rsidRDefault="00C276B3">
      <w:pPr>
        <w:spacing w:before="0" w:line="276" w:lineRule="auto"/>
        <w:jc w:val="left"/>
      </w:pPr>
    </w:p>
    <w:sectPr w:rsidR="00C276B3"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7" w14:textId="308A6F03"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74192F">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14162510" w14:textId="77777777" w:rsidR="0013202E" w:rsidRDefault="0013202E" w:rsidP="0013202E">
      <w:pPr>
        <w:pStyle w:val="a4"/>
        <w:rPr>
          <w:rtl/>
        </w:rPr>
      </w:pPr>
      <w:r>
        <w:rPr>
          <w:rStyle w:val="a6"/>
        </w:rPr>
        <w:footnoteRef/>
      </w:r>
      <w:r>
        <w:rPr>
          <w:rtl/>
        </w:rPr>
        <w:t xml:space="preserve"> </w:t>
      </w:r>
      <w:r>
        <w:rPr>
          <w:rFonts w:hint="cs"/>
          <w:rtl/>
        </w:rPr>
        <w:t>ס"ח התש"ך, עמ' 57.</w:t>
      </w:r>
    </w:p>
  </w:footnote>
  <w:footnote w:id="3">
    <w:p w14:paraId="30989A66" w14:textId="77777777" w:rsidR="0013202E" w:rsidRDefault="0013202E" w:rsidP="0013202E">
      <w:pPr>
        <w:pStyle w:val="a4"/>
        <w:rPr>
          <w:rtl/>
        </w:rPr>
      </w:pPr>
      <w:r>
        <w:rPr>
          <w:rStyle w:val="a6"/>
        </w:rPr>
        <w:footnoteRef/>
      </w:r>
      <w:r>
        <w:rPr>
          <w:rtl/>
        </w:rPr>
        <w:t xml:space="preserve"> </w:t>
      </w:r>
      <w:r>
        <w:rPr>
          <w:rFonts w:hint="cs"/>
          <w:rtl/>
        </w:rPr>
        <w:t>ס"ח התשס"ט, עמ' 157.</w:t>
      </w:r>
    </w:p>
  </w:footnote>
  <w:footnote w:id="4">
    <w:p w14:paraId="69680EBF" w14:textId="77777777" w:rsidR="0013202E" w:rsidRDefault="0013202E" w:rsidP="0013202E">
      <w:pPr>
        <w:pStyle w:val="a4"/>
        <w:rPr>
          <w:rtl/>
        </w:rPr>
      </w:pPr>
      <w:r>
        <w:rPr>
          <w:rStyle w:val="a6"/>
        </w:rPr>
        <w:footnoteRef/>
      </w:r>
      <w:r>
        <w:rPr>
          <w:rtl/>
        </w:rPr>
        <w:t xml:space="preserve"> </w:t>
      </w:r>
      <w:r>
        <w:rPr>
          <w:rFonts w:hint="cs"/>
          <w:rtl/>
        </w:rPr>
        <w:t>ס"ח התשנ"ד, עמ' 132.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3202E"/>
    <w:rsid w:val="0014195F"/>
    <w:rsid w:val="00152609"/>
    <w:rsid w:val="00153E1B"/>
    <w:rsid w:val="001A0623"/>
    <w:rsid w:val="001C23B0"/>
    <w:rsid w:val="001D7AAF"/>
    <w:rsid w:val="00203A7F"/>
    <w:rsid w:val="0021633A"/>
    <w:rsid w:val="002200A1"/>
    <w:rsid w:val="002362BF"/>
    <w:rsid w:val="00240272"/>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77500"/>
    <w:rsid w:val="00386E88"/>
    <w:rsid w:val="00396585"/>
    <w:rsid w:val="003A42F3"/>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4192F"/>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276B3"/>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7EF99BC5-62FE-4527-9349-DE58AB59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13202E"/>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2EE5F9D-1899-44B6-9DE4-7BA0FE987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5CB254B-2E9A-4D5D-83A8-DFD9C5EF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346</Words>
  <Characters>1733</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7</cp:revision>
  <cp:lastPrinted>2013-07-04T08:25:00Z</cp:lastPrinted>
  <dcterms:created xsi:type="dcterms:W3CDTF">2015-04-20T09:58:00Z</dcterms:created>
  <dcterms:modified xsi:type="dcterms:W3CDTF">2021-10-24T05:38:00Z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2163489</vt:r8>
  </property>
</Properties>
</file>