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35A2" w:rsidR="002C2E29" w:rsidP="00E635A2" w:rsidRDefault="004033D8" w14:paraId="7F6961A1" w14:textId="77777777">
      <w:pPr>
        <w:jc w:val="right"/>
        <w:rPr>
          <w:rFonts w:cs="David"/>
          <w:b/>
          <w:bCs/>
          <w:sz w:val="20"/>
          <w:szCs w:val="20"/>
        </w:rPr>
      </w:pPr>
      <w:r w:rsidRPr="00E635A2">
        <w:rPr>
          <w:rFonts w:hint="cs" w:cs="David"/>
          <w:sz w:val="20"/>
          <w:szCs w:val="20"/>
          <w:rtl/>
        </w:rPr>
        <w:t xml:space="preserve">מספר פנימי: </w:t>
      </w:r>
      <w:bookmarkStart w:name="LGS_Internal_ID" w:id="0"/>
      <w:r>
        <w:rPr>
          <w:rFonts w:hint="cs" w:cs="David"/>
          <w:sz w:val="20"/>
          <w:szCs w:val="20"/>
          <w:rtl/>
        </w:rPr>
        <w:t>2163443</w:t>
      </w:r>
      <w:bookmarkEnd w:id="0"/>
    </w:p>
    <w:p w:rsidRPr="00DB7060" w:rsidR="00E13C27" w:rsidP="00A443CF" w:rsidRDefault="00E13C27" w14:paraId="7F6961A2" w14:textId="53D639AE">
      <w:pPr>
        <w:pStyle w:val="HeadHatzaotHok"/>
        <w:rPr>
          <w:sz w:val="28"/>
          <w:szCs w:val="28"/>
          <w:rtl/>
        </w:rPr>
      </w:pPr>
      <w:r w:rsidRPr="00DB7060">
        <w:rPr>
          <w:rFonts w:hint="cs"/>
          <w:sz w:val="28"/>
          <w:szCs w:val="28"/>
          <w:rtl/>
        </w:rPr>
        <w:t xml:space="preserve">הכנסת </w:t>
      </w:r>
      <w:bookmarkStart w:name="LGS_Knesset_Num" w:id="1"/>
      <w:r>
        <w:rPr>
          <w:rFonts w:hint="cs"/>
          <w:sz w:val="28"/>
          <w:szCs w:val="28"/>
          <w:rtl/>
        </w:rPr>
        <w:t>העשרים וארבע</w:t>
      </w:r>
      <w:bookmarkEnd w:id="1"/>
    </w:p>
    <w:p w:rsidRPr="00F67051" w:rsidR="00E13C27" w:rsidP="00E13C27" w:rsidRDefault="00E13C27" w14:paraId="7F6961A3" w14:textId="77777777">
      <w:pPr>
        <w:rPr>
          <w:rFonts w:cs="David"/>
          <w:b/>
          <w:bCs/>
          <w:sz w:val="26"/>
          <w:szCs w:val="26"/>
          <w:rtl/>
        </w:rPr>
      </w:pPr>
    </w:p>
    <w:p w:rsidRPr="00CF1AA2" w:rsidR="00E13C27" w:rsidP="00413025" w:rsidRDefault="008F6665" w14:paraId="7F6961AA" w14:textId="3F981F2E">
      <w:pPr>
        <w:pStyle w:val="David"/>
        <w:spacing w:line="360" w:lineRule="auto"/>
        <w:ind w:left="3544"/>
        <w:rPr>
          <w:b/>
          <w:bCs/>
          <w:sz w:val="16"/>
          <w:szCs w:val="16"/>
          <w:rtl/>
        </w:rPr>
      </w:pPr>
      <w:bookmarkStart w:name="LGS_Initiators_List" w:id="2"/>
      <w:r>
        <w:rPr>
          <w:b/>
          <w:bCs/>
          <w:rtl/>
        </w:rPr>
        <w:t>יוזמים:      חברי הכנסת</w:t>
      </w:r>
      <w:bookmarkEnd w:id="2"/>
      <w:r w:rsidRPr="00F67051" w:rsidR="00B35784">
        <w:rPr>
          <w:b/>
          <w:bCs/>
        </w:rPr>
        <w:tab/>
      </w:r>
      <w:bookmarkStart w:name="LGS_PM_Names" w:id="3"/>
      <w:r>
        <w:rPr>
          <w:rFonts w:hint="cs"/>
          <w:b/>
          <w:bCs/>
          <w:rtl/>
        </w:rPr>
        <w:t>יום טוב חי כלפון</w:t>
      </w:r>
      <w:r>
        <w:br/>
      </w:r>
      <w:r>
        <w:rPr>
          <w:rFonts w:hint="cs"/>
          <w:b/>
          <w:bCs/>
          <w:rtl/>
        </w:rPr>
        <w:t xml:space="preserve"> </w:t>
      </w:r>
      <w:r>
        <w:tab/>
      </w:r>
      <w:r>
        <w:tab/>
      </w:r>
      <w:r>
        <w:tab/>
      </w:r>
      <w:r>
        <w:tab/>
      </w:r>
      <w:r>
        <w:rPr>
          <w:rFonts w:hint="cs"/>
          <w:b/>
          <w:bCs/>
          <w:rtl/>
        </w:rPr>
        <w:t>ניר אורבך</w:t>
      </w:r>
      <w:r>
        <w:br/>
      </w:r>
      <w:r>
        <w:rPr>
          <w:rFonts w:hint="cs"/>
          <w:b/>
          <w:bCs/>
          <w:rtl/>
        </w:rPr>
        <w:t xml:space="preserve"> </w:t>
      </w:r>
      <w:r>
        <w:tab/>
      </w:r>
      <w:r>
        <w:tab/>
      </w:r>
      <w:r>
        <w:tab/>
      </w:r>
      <w:r>
        <w:tab/>
      </w:r>
      <w:r>
        <w:rPr>
          <w:rFonts w:hint="cs"/>
          <w:b/>
          <w:bCs/>
          <w:rtl/>
        </w:rPr>
        <w:t>שירלי פינטו קדוש</w:t>
      </w:r>
      <w:r>
        <w:br/>
      </w:r>
      <w:r>
        <w:rPr>
          <w:rFonts w:hint="cs"/>
          <w:b/>
          <w:bCs/>
          <w:rtl/>
        </w:rPr>
        <w:t xml:space="preserve"> </w:t>
      </w:r>
      <w:r>
        <w:tab/>
      </w:r>
      <w:r>
        <w:tab/>
      </w:r>
      <w:r>
        <w:tab/>
      </w:r>
      <w:r>
        <w:tab/>
      </w:r>
      <w:r>
        <w:rPr>
          <w:rFonts w:hint="cs"/>
          <w:b/>
          <w:bCs/>
          <w:rtl/>
        </w:rPr>
        <w:t>שרן מרים השכל</w:t>
      </w:r>
      <w:r>
        <w:br/>
      </w:r>
      <w:r>
        <w:rPr>
          <w:rFonts w:hint="cs"/>
          <w:b/>
          <w:bCs/>
          <w:rtl/>
        </w:rPr>
        <w:t xml:space="preserve"> </w:t>
      </w:r>
      <w:r>
        <w:tab/>
      </w:r>
      <w:r>
        <w:tab/>
      </w:r>
      <w:r>
        <w:tab/>
      </w:r>
      <w:r>
        <w:tab/>
      </w:r>
      <w:r>
        <w:rPr>
          <w:rFonts w:hint="cs"/>
          <w:b/>
          <w:bCs/>
          <w:rtl/>
        </w:rPr>
        <w:t>צבי האוזר</w:t>
      </w:r>
      <w:bookmarkStart w:name="LGS_Join_List" w:id="4"/>
      <w:bookmarkEnd w:id="3"/>
      <w:r w:rsidR="007D585A">
        <w:rPr>
          <w:rtl/>
        </w:rPr>
        <w:t xml:space="preserve"> </w:t>
      </w:r>
      <w:bookmarkEnd w:id="4"/>
      <w:r w:rsidRPr="00CF1AA2" w:rsidR="002200A1">
        <w:rPr>
          <w:rFonts w:hint="cs"/>
          <w:rtl/>
        </w:rPr>
        <w:tab/>
      </w:r>
      <w:bookmarkStart w:name="LGS_PM_NamesJoin" w:id="5"/>
      <w:r w:rsidR="007D585A">
        <w:rPr>
          <w:rFonts w:hint="cs"/>
          <w:rtl/>
        </w:rPr>
        <w:t xml:space="preserve"> </w:t>
      </w:r>
      <w:bookmarkEnd w:id="5"/>
    </w:p>
    <w:p w:rsidRPr="00904591" w:rsidR="00904591" w:rsidP="0036422C" w:rsidRDefault="00266D86" w14:paraId="34DB4103" w14:textId="77777777">
      <w:pPr>
        <w:pStyle w:val="David"/>
        <w:spacing w:before="0" w:line="360" w:lineRule="auto"/>
        <w:ind w:left="3544"/>
        <w:rPr>
          <w:sz w:val="4"/>
          <w:szCs w:val="4"/>
          <w:rtl/>
        </w:rPr>
      </w:pPr>
      <w:r>
        <w:t>____</w:t>
      </w:r>
      <w:r w:rsidR="00E374F2">
        <w:t>__</w:t>
      </w:r>
      <w:r>
        <w:t>________________________________________</w:t>
      </w:r>
      <w:r w:rsidRPr="00E06736" w:rsidR="00E06736">
        <w:tab/>
      </w:r>
      <w:r w:rsidRPr="00E06736" w:rsidR="00E13C27">
        <w:rPr>
          <w:rFonts w:hint="cs"/>
          <w:rtl/>
        </w:rPr>
        <w:tab/>
      </w:r>
      <w:r w:rsidRPr="00E06736" w:rsidR="00E13C27">
        <w:rPr>
          <w:rFonts w:hint="cs"/>
          <w:rtl/>
        </w:rPr>
        <w:tab/>
      </w:r>
      <w:r w:rsidRPr="00E06736" w:rsidR="00E13C27">
        <w:rPr>
          <w:rFonts w:hint="cs"/>
          <w:rtl/>
        </w:rPr>
        <w:tab/>
      </w:r>
      <w:r w:rsidR="00904591">
        <w:t xml:space="preserve">           </w:t>
      </w:r>
    </w:p>
    <w:p w:rsidRPr="00E06736" w:rsidR="00E13C27" w:rsidP="00904591" w:rsidRDefault="00904591" w14:paraId="7F6961AB" w14:textId="256138AA">
      <w:pPr>
        <w:pStyle w:val="David"/>
        <w:spacing w:before="0" w:line="240" w:lineRule="auto"/>
        <w:ind w:left="3544"/>
        <w:rPr>
          <w:rtl/>
        </w:rPr>
      </w:pPr>
      <w:r>
        <w:t xml:space="preserve">                                            </w:t>
      </w:r>
      <w:r w:rsidR="008F1308">
        <w:t xml:space="preserve"> </w:t>
      </w:r>
      <w:bookmarkStart w:name="Private_Number" w:id="6"/>
      <w:r>
        <w:rPr>
          <w:rFonts w:hint="cs"/>
          <w:rtl/>
        </w:rPr>
        <w:t>פ/2386/24</w:t>
      </w:r>
      <w:bookmarkEnd w:id="6"/>
    </w:p>
    <w:p w:rsidR="00E13C27" w:rsidP="00E13C27" w:rsidRDefault="00E13C27" w14:paraId="7F6961AC" w14:textId="77777777">
      <w:pPr>
        <w:spacing w:before="0" w:line="360" w:lineRule="auto"/>
        <w:ind w:left="2880" w:firstLine="720"/>
        <w:rPr>
          <w:rFonts w:cs="David"/>
          <w:sz w:val="26"/>
          <w:szCs w:val="26"/>
          <w:rtl/>
        </w:rPr>
      </w:pPr>
    </w:p>
    <w:p w:rsidRPr="00F67051" w:rsidR="00E13C27" w:rsidP="0021633A" w:rsidRDefault="00A443CF" w14:paraId="7F6961AD" w14:textId="77777777">
      <w:pPr>
        <w:pStyle w:val="HeadHatzaotHok"/>
        <w:rPr>
          <w:rtl/>
        </w:rPr>
      </w:pPr>
      <w:bookmarkStart w:name="LGS_Subject" w:id="7"/>
      <w:r xmlns:w="http://schemas.openxmlformats.org/wordprocessingml/2006/main">
        <w:rPr xmlns:w="http://schemas.openxmlformats.org/wordprocessingml/2006/main">
          <w:rFonts w:hint="cs"/>
          <w:rtl/>
        </w:rPr>
        <w:t xml:space="preserve">הצעת חוק לתיקון פקודת האגודות השיתופיות (מספר בתי אב ביישוב קהילתי), התשפ"ב–2021</w:t>
      </w:r>
      <w:bookmarkEnd w:id="7"/>
    </w:p>
    <w:p w:rsidR="00E13C27" w:rsidP="0021633A" w:rsidRDefault="00E13C27" w14:paraId="7F6961AE" w14:textId="77777777">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19"/>
      </w:tblGrid>
      <w:tr w:rsidRPr="009D26BF" w:rsidR="009D26BF" w:rsidTr="00EE06E8" w14:paraId="7CBE00FC" w14:textId="77777777">
        <w:trPr>
          <w:cantSplit/>
        </w:trPr>
        <w:tc>
          <w:tcPr>
            <w:tcW w:w="1871" w:type="dxa"/>
          </w:tcPr>
          <w:p w:rsidRPr="009D26BF" w:rsidR="009D26BF" w:rsidP="00EE06E8" w:rsidRDefault="009D26BF" w14:paraId="139A2F16" w14:textId="77777777">
            <w:pPr>
              <w:pStyle w:val="TableSideHeading"/>
              <w:keepLines w:val="0"/>
              <w:rPr>
                <w:color w:val="auto"/>
                <w:lang w:eastAsia="en-US"/>
              </w:rPr>
            </w:pPr>
            <w:r w:rsidRPr="009D26BF">
              <w:rPr>
                <w:rFonts w:hint="cs"/>
                <w:color w:val="auto"/>
                <w:rtl/>
                <w:lang w:eastAsia="en-US"/>
              </w:rPr>
              <w:t>תיקון סעיף 2</w:t>
            </w:r>
          </w:p>
        </w:tc>
        <w:tc>
          <w:tcPr>
            <w:tcW w:w="624" w:type="dxa"/>
          </w:tcPr>
          <w:p w:rsidRPr="009D26BF" w:rsidR="009D26BF" w:rsidP="009D26BF" w:rsidRDefault="009D26BF" w14:paraId="1D0D1C23" w14:textId="77777777">
            <w:pPr>
              <w:tabs>
                <w:tab w:val="left" w:pos="624"/>
                <w:tab w:val="left" w:pos="1247"/>
              </w:tabs>
              <w:autoSpaceDE/>
              <w:autoSpaceDN/>
              <w:adjustRightInd/>
              <w:snapToGrid w:val="0"/>
              <w:spacing w:before="0" w:line="360" w:lineRule="auto"/>
              <w:ind w:firstLine="0"/>
              <w:contextualSpacing/>
              <w:jc w:val="left"/>
              <w:textAlignment w:val="auto"/>
              <w:rPr>
                <w:rFonts w:ascii="Arial" w:hAnsi="Arial" w:eastAsia="Arial Unicode MS" w:cs="David"/>
                <w:snapToGrid w:val="0"/>
                <w:color w:val="auto"/>
                <w:spacing w:val="0"/>
                <w:sz w:val="20"/>
                <w:szCs w:val="26"/>
                <w:lang w:eastAsia="en-US"/>
              </w:rPr>
            </w:pPr>
            <w:r w:rsidRPr="009D26BF">
              <w:rPr>
                <w:rFonts w:hint="cs" w:ascii="Arial" w:hAnsi="Arial" w:eastAsia="Arial Unicode MS" w:cs="David"/>
                <w:snapToGrid w:val="0"/>
                <w:color w:val="auto"/>
                <w:spacing w:val="0"/>
                <w:sz w:val="20"/>
                <w:szCs w:val="26"/>
                <w:rtl/>
                <w:lang w:eastAsia="en-US"/>
              </w:rPr>
              <w:t>1.</w:t>
            </w:r>
          </w:p>
        </w:tc>
        <w:tc>
          <w:tcPr>
            <w:tcW w:w="7143" w:type="dxa"/>
            <w:gridSpan w:val="2"/>
          </w:tcPr>
          <w:p w:rsidRPr="009D26BF" w:rsidR="009D26BF" w:rsidP="009D26BF" w:rsidRDefault="009D26BF" w14:paraId="1AFD2696" w14:textId="77777777">
            <w:pPr>
              <w:keepLines/>
              <w:tabs>
                <w:tab w:val="left" w:pos="624"/>
                <w:tab w:val="left" w:pos="1247"/>
              </w:tabs>
              <w:autoSpaceDE/>
              <w:autoSpaceDN/>
              <w:adjustRightInd/>
              <w:snapToGrid w:val="0"/>
              <w:spacing w:before="0" w:line="360" w:lineRule="auto"/>
              <w:ind w:firstLine="0"/>
              <w:contextualSpacing/>
              <w:textAlignment w:val="auto"/>
              <w:rPr>
                <w:rFonts w:ascii="Arial" w:hAnsi="Arial" w:eastAsia="Arial Unicode MS" w:cs="David"/>
                <w:snapToGrid w:val="0"/>
                <w:color w:val="auto"/>
                <w:spacing w:val="0"/>
                <w:sz w:val="20"/>
                <w:szCs w:val="26"/>
                <w:rtl/>
                <w:lang w:eastAsia="en-US"/>
              </w:rPr>
            </w:pPr>
            <w:r w:rsidRPr="009D26BF">
              <w:rPr>
                <w:rFonts w:hint="cs" w:ascii="Arial" w:hAnsi="Arial" w:eastAsia="Arial Unicode MS" w:cs="David"/>
                <w:snapToGrid w:val="0"/>
                <w:color w:val="auto"/>
                <w:spacing w:val="0"/>
                <w:sz w:val="20"/>
                <w:szCs w:val="26"/>
                <w:rtl/>
                <w:lang w:eastAsia="en-US"/>
              </w:rPr>
              <w:t>בפקודת האגודות השיתופיות</w:t>
            </w:r>
            <w:r w:rsidRPr="009D26BF">
              <w:rPr>
                <w:rFonts w:ascii="David" w:hAnsi="David" w:eastAsia="Arial Unicode MS" w:cs="David"/>
                <w:snapToGrid w:val="0"/>
                <w:color w:val="auto"/>
                <w:spacing w:val="0"/>
                <w:sz w:val="26"/>
                <w:szCs w:val="26"/>
                <w:vertAlign w:val="superscript"/>
                <w:rtl/>
                <w:lang w:eastAsia="en-US"/>
              </w:rPr>
              <w:footnoteReference w:id="2"/>
            </w:r>
            <w:r w:rsidRPr="009D26BF">
              <w:rPr>
                <w:rFonts w:hint="cs" w:ascii="Arial" w:hAnsi="Arial" w:eastAsia="Arial Unicode MS" w:cs="David"/>
                <w:snapToGrid w:val="0"/>
                <w:color w:val="auto"/>
                <w:spacing w:val="0"/>
                <w:sz w:val="20"/>
                <w:szCs w:val="26"/>
                <w:rtl/>
                <w:lang w:eastAsia="en-US"/>
              </w:rPr>
              <w:t>, בסעיף 2 –</w:t>
            </w:r>
          </w:p>
        </w:tc>
      </w:tr>
      <w:tr w:rsidRPr="009D26BF" w:rsidR="009D26BF" w:rsidTr="00EE06E8" w14:paraId="4D2E93C8" w14:textId="77777777">
        <w:trPr>
          <w:cantSplit/>
        </w:trPr>
        <w:tc>
          <w:tcPr>
            <w:tcW w:w="1871" w:type="dxa"/>
          </w:tcPr>
          <w:p w:rsidRPr="009D26BF" w:rsidR="009D26BF" w:rsidP="009D26BF" w:rsidRDefault="009D26BF" w14:paraId="2038C21A" w14:textId="77777777">
            <w:pPr>
              <w:tabs>
                <w:tab w:val="left" w:pos="624"/>
                <w:tab w:val="left" w:pos="1247"/>
              </w:tabs>
              <w:autoSpaceDE/>
              <w:autoSpaceDN/>
              <w:adjustRightInd/>
              <w:snapToGrid w:val="0"/>
              <w:spacing w:before="0" w:line="360" w:lineRule="auto"/>
              <w:ind w:firstLine="0"/>
              <w:contextualSpacing/>
              <w:jc w:val="left"/>
              <w:textAlignment w:val="auto"/>
              <w:outlineLvl w:val="2"/>
              <w:rPr>
                <w:rFonts w:ascii="Arial" w:hAnsi="Arial" w:eastAsia="Arial Unicode MS" w:cs="David"/>
                <w:snapToGrid w:val="0"/>
                <w:color w:val="auto"/>
                <w:spacing w:val="0"/>
                <w:sz w:val="20"/>
                <w:szCs w:val="26"/>
                <w:rtl/>
                <w:lang w:eastAsia="en-US"/>
              </w:rPr>
            </w:pPr>
          </w:p>
        </w:tc>
        <w:tc>
          <w:tcPr>
            <w:tcW w:w="624" w:type="dxa"/>
          </w:tcPr>
          <w:p w:rsidRPr="009D26BF" w:rsidR="009D26BF" w:rsidP="009D26BF" w:rsidRDefault="009D26BF" w14:paraId="3C7B3158" w14:textId="77777777">
            <w:pPr>
              <w:tabs>
                <w:tab w:val="left" w:pos="624"/>
                <w:tab w:val="left" w:pos="1247"/>
              </w:tabs>
              <w:autoSpaceDE/>
              <w:autoSpaceDN/>
              <w:adjustRightInd/>
              <w:snapToGrid w:val="0"/>
              <w:spacing w:before="0" w:line="360" w:lineRule="auto"/>
              <w:ind w:firstLine="0"/>
              <w:contextualSpacing/>
              <w:jc w:val="left"/>
              <w:textAlignment w:val="auto"/>
              <w:rPr>
                <w:rFonts w:ascii="Arial" w:hAnsi="Arial" w:eastAsia="Arial Unicode MS" w:cs="David"/>
                <w:snapToGrid w:val="0"/>
                <w:color w:val="auto"/>
                <w:spacing w:val="0"/>
                <w:sz w:val="20"/>
                <w:szCs w:val="26"/>
                <w:rtl/>
                <w:lang w:eastAsia="en-US"/>
              </w:rPr>
            </w:pPr>
          </w:p>
        </w:tc>
        <w:tc>
          <w:tcPr>
            <w:tcW w:w="7143" w:type="dxa"/>
            <w:gridSpan w:val="2"/>
          </w:tcPr>
          <w:p w:rsidRPr="009D26BF" w:rsidR="009D26BF" w:rsidP="009D26BF" w:rsidRDefault="009D26BF" w14:paraId="5D20C4E6" w14:textId="77777777">
            <w:pPr>
              <w:keepLines/>
              <w:tabs>
                <w:tab w:val="left" w:pos="624"/>
                <w:tab w:val="left" w:pos="1247"/>
              </w:tabs>
              <w:autoSpaceDE/>
              <w:autoSpaceDN/>
              <w:adjustRightInd/>
              <w:snapToGrid w:val="0"/>
              <w:spacing w:before="0" w:line="360" w:lineRule="auto"/>
              <w:ind w:firstLine="0"/>
              <w:contextualSpacing/>
              <w:textAlignment w:val="auto"/>
              <w:rPr>
                <w:rFonts w:ascii="Arial" w:hAnsi="Arial" w:eastAsia="Arial Unicode MS" w:cs="David"/>
                <w:snapToGrid w:val="0"/>
                <w:color w:val="auto"/>
                <w:spacing w:val="0"/>
                <w:sz w:val="20"/>
                <w:szCs w:val="26"/>
                <w:rtl/>
                <w:lang w:eastAsia="en-US"/>
              </w:rPr>
            </w:pPr>
            <w:r w:rsidRPr="009D26BF">
              <w:rPr>
                <w:rFonts w:hint="cs" w:ascii="Arial" w:hAnsi="Arial" w:eastAsia="Arial Unicode MS" w:cs="David"/>
                <w:snapToGrid w:val="0"/>
                <w:color w:val="auto"/>
                <w:spacing w:val="0"/>
                <w:sz w:val="20"/>
                <w:szCs w:val="26"/>
                <w:rtl/>
                <w:lang w:eastAsia="en-US"/>
              </w:rPr>
              <w:t>(1)</w:t>
            </w:r>
            <w:r w:rsidRPr="009D26BF">
              <w:rPr>
                <w:rFonts w:hint="cs" w:ascii="Arial" w:hAnsi="Arial" w:eastAsia="Arial Unicode MS" w:cs="David"/>
                <w:snapToGrid w:val="0"/>
                <w:color w:val="auto"/>
                <w:spacing w:val="0"/>
                <w:sz w:val="20"/>
                <w:szCs w:val="26"/>
                <w:rtl/>
                <w:lang w:eastAsia="en-US"/>
              </w:rPr>
              <w:tab/>
              <w:t>אחרי ההגדרה "</w:t>
            </w:r>
            <w:r w:rsidRPr="009D26BF">
              <w:rPr>
                <w:rFonts w:ascii="Arial" w:hAnsi="Arial" w:eastAsia="Arial Unicode MS" w:cs="David"/>
                <w:snapToGrid w:val="0"/>
                <w:color w:val="auto"/>
                <w:spacing w:val="0"/>
                <w:sz w:val="20"/>
                <w:szCs w:val="26"/>
                <w:rtl/>
                <w:lang w:eastAsia="en-US"/>
              </w:rPr>
              <w:t>אגודה מרכזית</w:t>
            </w:r>
            <w:r w:rsidRPr="009D26BF">
              <w:rPr>
                <w:rFonts w:hint="cs" w:ascii="Arial" w:hAnsi="Arial" w:eastAsia="Arial Unicode MS" w:cs="David"/>
                <w:snapToGrid w:val="0"/>
                <w:color w:val="auto"/>
                <w:spacing w:val="0"/>
                <w:sz w:val="20"/>
                <w:szCs w:val="26"/>
                <w:rtl/>
                <w:lang w:eastAsia="en-US"/>
              </w:rPr>
              <w:t>" יבוא:</w:t>
            </w:r>
          </w:p>
        </w:tc>
      </w:tr>
      <w:tr w:rsidRPr="009D26BF" w:rsidR="009D26BF" w:rsidTr="00EE06E8" w14:paraId="2ABC6001" w14:textId="77777777">
        <w:trPr>
          <w:cantSplit/>
        </w:trPr>
        <w:tc>
          <w:tcPr>
            <w:tcW w:w="1871" w:type="dxa"/>
          </w:tcPr>
          <w:p w:rsidRPr="009D26BF" w:rsidR="009D26BF" w:rsidP="009D26BF" w:rsidRDefault="009D26BF" w14:paraId="0EE82C89" w14:textId="77777777">
            <w:pPr>
              <w:keepLines/>
              <w:tabs>
                <w:tab w:val="left" w:pos="624"/>
                <w:tab w:val="left" w:pos="1247"/>
              </w:tabs>
              <w:autoSpaceDE/>
              <w:autoSpaceDN/>
              <w:adjustRightInd/>
              <w:snapToGrid w:val="0"/>
              <w:spacing w:before="0" w:line="360" w:lineRule="auto"/>
              <w:ind w:firstLine="0"/>
              <w:contextualSpacing/>
              <w:jc w:val="left"/>
              <w:textAlignment w:val="auto"/>
              <w:outlineLvl w:val="2"/>
              <w:rPr>
                <w:rFonts w:ascii="Arial" w:hAnsi="Arial" w:eastAsia="Arial Unicode MS" w:cs="David"/>
                <w:snapToGrid w:val="0"/>
                <w:color w:val="auto"/>
                <w:spacing w:val="0"/>
                <w:sz w:val="20"/>
                <w:szCs w:val="26"/>
                <w:lang w:eastAsia="en-US"/>
              </w:rPr>
            </w:pPr>
          </w:p>
        </w:tc>
        <w:tc>
          <w:tcPr>
            <w:tcW w:w="624" w:type="dxa"/>
          </w:tcPr>
          <w:p w:rsidRPr="009D26BF" w:rsidR="009D26BF" w:rsidP="009D26BF" w:rsidRDefault="009D26BF" w14:paraId="7C01452E" w14:textId="77777777">
            <w:pPr>
              <w:keepLines/>
              <w:tabs>
                <w:tab w:val="left" w:pos="624"/>
                <w:tab w:val="left" w:pos="1247"/>
              </w:tabs>
              <w:autoSpaceDE/>
              <w:autoSpaceDN/>
              <w:adjustRightInd/>
              <w:snapToGrid w:val="0"/>
              <w:spacing w:before="0" w:line="360" w:lineRule="auto"/>
              <w:ind w:firstLine="0"/>
              <w:contextualSpacing/>
              <w:jc w:val="left"/>
              <w:textAlignment w:val="auto"/>
              <w:rPr>
                <w:rFonts w:ascii="Arial" w:hAnsi="Arial" w:eastAsia="Arial Unicode MS" w:cs="David"/>
                <w:snapToGrid w:val="0"/>
                <w:color w:val="auto"/>
                <w:spacing w:val="0"/>
                <w:sz w:val="20"/>
                <w:szCs w:val="26"/>
                <w:lang w:eastAsia="en-US"/>
              </w:rPr>
            </w:pPr>
          </w:p>
        </w:tc>
        <w:tc>
          <w:tcPr>
            <w:tcW w:w="7143" w:type="dxa"/>
            <w:gridSpan w:val="2"/>
          </w:tcPr>
          <w:p w:rsidRPr="009D26BF" w:rsidR="009D26BF" w:rsidP="009D26BF" w:rsidRDefault="009D26BF" w14:paraId="57C7E581" w14:textId="77777777">
            <w:pPr>
              <w:keepLines/>
              <w:tabs>
                <w:tab w:val="left" w:pos="624"/>
                <w:tab w:val="left" w:pos="1247"/>
              </w:tabs>
              <w:autoSpaceDE/>
              <w:autoSpaceDN/>
              <w:adjustRightInd/>
              <w:snapToGrid w:val="0"/>
              <w:spacing w:before="0" w:line="360" w:lineRule="auto"/>
              <w:ind w:left="624" w:hanging="624"/>
              <w:contextualSpacing/>
              <w:textAlignment w:val="auto"/>
              <w:rPr>
                <w:rFonts w:ascii="Arial" w:hAnsi="Arial" w:eastAsia="Arial Unicode MS" w:cs="David"/>
                <w:snapToGrid w:val="0"/>
                <w:color w:val="auto"/>
                <w:spacing w:val="0"/>
                <w:sz w:val="20"/>
                <w:szCs w:val="26"/>
                <w:lang w:eastAsia="en-US"/>
              </w:rPr>
            </w:pPr>
            <w:r w:rsidRPr="009D26BF">
              <w:rPr>
                <w:rFonts w:ascii="Arial" w:hAnsi="Arial" w:eastAsia="Arial Unicode MS" w:cs="David"/>
                <w:snapToGrid w:val="0"/>
                <w:color w:val="auto"/>
                <w:spacing w:val="0"/>
                <w:sz w:val="20"/>
                <w:szCs w:val="26"/>
                <w:rtl/>
                <w:lang w:eastAsia="en-US"/>
              </w:rPr>
              <w:t>"אזור" – כהגדרתו בחוק לתיקון ולהארכת תקפן של תקנות שעת-חירום (יהודה והשומרון – שיפוט בעבירות ועזרה משפטית), התש</w:t>
            </w:r>
            <w:r w:rsidRPr="009D26BF">
              <w:rPr>
                <w:rFonts w:hint="eastAsia" w:ascii="Arial" w:hAnsi="Arial" w:eastAsia="Arial Unicode MS" w:cs="David"/>
                <w:snapToGrid w:val="0"/>
                <w:color w:val="auto"/>
                <w:spacing w:val="0"/>
                <w:sz w:val="20"/>
                <w:szCs w:val="26"/>
                <w:rtl/>
                <w:lang w:eastAsia="en-US"/>
              </w:rPr>
              <w:t>כ</w:t>
            </w:r>
            <w:r w:rsidRPr="009D26BF">
              <w:rPr>
                <w:rFonts w:ascii="Arial" w:hAnsi="Arial" w:eastAsia="Arial Unicode MS" w:cs="David"/>
                <w:snapToGrid w:val="0"/>
                <w:color w:val="auto"/>
                <w:spacing w:val="0"/>
                <w:sz w:val="20"/>
                <w:szCs w:val="26"/>
                <w:rtl/>
                <w:lang w:eastAsia="en-US"/>
              </w:rPr>
              <w:t>"ז–1967</w:t>
            </w:r>
            <w:r w:rsidRPr="009D26BF">
              <w:rPr>
                <w:rFonts w:ascii="David" w:hAnsi="David" w:eastAsia="Arial Unicode MS" w:cs="David"/>
                <w:snapToGrid w:val="0"/>
                <w:color w:val="auto"/>
                <w:spacing w:val="0"/>
                <w:sz w:val="26"/>
                <w:szCs w:val="26"/>
                <w:vertAlign w:val="superscript"/>
                <w:rtl/>
                <w:lang w:eastAsia="en-US"/>
              </w:rPr>
              <w:footnoteReference w:id="3"/>
            </w:r>
            <w:r w:rsidRPr="009D26BF">
              <w:rPr>
                <w:rFonts w:ascii="Arial" w:hAnsi="Arial" w:eastAsia="Arial Unicode MS" w:cs="David"/>
                <w:snapToGrid w:val="0"/>
                <w:color w:val="auto"/>
                <w:spacing w:val="0"/>
                <w:sz w:val="20"/>
                <w:szCs w:val="26"/>
                <w:rtl/>
                <w:lang w:eastAsia="en-US"/>
              </w:rPr>
              <w:t>;</w:t>
            </w:r>
          </w:p>
        </w:tc>
      </w:tr>
      <w:tr w:rsidRPr="009D26BF" w:rsidR="009D26BF" w:rsidTr="00EE06E8" w14:paraId="19A33A21" w14:textId="77777777">
        <w:trPr>
          <w:cantSplit/>
        </w:trPr>
        <w:tc>
          <w:tcPr>
            <w:tcW w:w="1871" w:type="dxa"/>
          </w:tcPr>
          <w:p w:rsidRPr="009D26BF" w:rsidR="009D26BF" w:rsidP="009D26BF" w:rsidRDefault="009D26BF" w14:paraId="17BBCD8C" w14:textId="77777777">
            <w:pPr>
              <w:keepLines/>
              <w:tabs>
                <w:tab w:val="left" w:pos="624"/>
                <w:tab w:val="left" w:pos="1247"/>
              </w:tabs>
              <w:autoSpaceDE/>
              <w:autoSpaceDN/>
              <w:adjustRightInd/>
              <w:snapToGrid w:val="0"/>
              <w:spacing w:before="0" w:line="360" w:lineRule="auto"/>
              <w:ind w:firstLine="0"/>
              <w:contextualSpacing/>
              <w:jc w:val="left"/>
              <w:textAlignment w:val="auto"/>
              <w:outlineLvl w:val="2"/>
              <w:rPr>
                <w:rFonts w:ascii="Arial" w:hAnsi="Arial" w:eastAsia="Arial Unicode MS" w:cs="David"/>
                <w:snapToGrid w:val="0"/>
                <w:color w:val="auto"/>
                <w:spacing w:val="0"/>
                <w:sz w:val="20"/>
                <w:szCs w:val="26"/>
                <w:lang w:eastAsia="en-US"/>
              </w:rPr>
            </w:pPr>
          </w:p>
        </w:tc>
        <w:tc>
          <w:tcPr>
            <w:tcW w:w="624" w:type="dxa"/>
          </w:tcPr>
          <w:p w:rsidRPr="009D26BF" w:rsidR="009D26BF" w:rsidP="009D26BF" w:rsidRDefault="009D26BF" w14:paraId="1AC93CC4" w14:textId="77777777">
            <w:pPr>
              <w:keepLines/>
              <w:tabs>
                <w:tab w:val="left" w:pos="624"/>
                <w:tab w:val="left" w:pos="1247"/>
              </w:tabs>
              <w:autoSpaceDE/>
              <w:autoSpaceDN/>
              <w:adjustRightInd/>
              <w:snapToGrid w:val="0"/>
              <w:spacing w:before="0" w:line="360" w:lineRule="auto"/>
              <w:ind w:firstLine="0"/>
              <w:contextualSpacing/>
              <w:jc w:val="left"/>
              <w:textAlignment w:val="auto"/>
              <w:rPr>
                <w:rFonts w:ascii="Arial" w:hAnsi="Arial" w:eastAsia="Arial Unicode MS" w:cs="David"/>
                <w:snapToGrid w:val="0"/>
                <w:color w:val="auto"/>
                <w:spacing w:val="0"/>
                <w:sz w:val="20"/>
                <w:szCs w:val="26"/>
                <w:lang w:eastAsia="en-US"/>
              </w:rPr>
            </w:pPr>
          </w:p>
        </w:tc>
        <w:tc>
          <w:tcPr>
            <w:tcW w:w="7143" w:type="dxa"/>
            <w:gridSpan w:val="2"/>
          </w:tcPr>
          <w:p w:rsidRPr="009D26BF" w:rsidR="009D26BF" w:rsidP="009D26BF" w:rsidRDefault="009D26BF" w14:paraId="352CFAEE" w14:textId="77777777">
            <w:pPr>
              <w:keepLines/>
              <w:tabs>
                <w:tab w:val="left" w:pos="624"/>
                <w:tab w:val="left" w:pos="1247"/>
              </w:tabs>
              <w:autoSpaceDE/>
              <w:autoSpaceDN/>
              <w:adjustRightInd/>
              <w:snapToGrid w:val="0"/>
              <w:spacing w:before="0" w:line="360" w:lineRule="auto"/>
              <w:ind w:firstLine="0"/>
              <w:contextualSpacing/>
              <w:textAlignment w:val="auto"/>
              <w:rPr>
                <w:rFonts w:ascii="Arial" w:hAnsi="Arial" w:eastAsia="Arial Unicode MS" w:cs="David"/>
                <w:snapToGrid w:val="0"/>
                <w:color w:val="auto"/>
                <w:spacing w:val="0"/>
                <w:sz w:val="20"/>
                <w:szCs w:val="26"/>
                <w:lang w:eastAsia="en-US"/>
              </w:rPr>
            </w:pPr>
            <w:r w:rsidRPr="009D26BF">
              <w:rPr>
                <w:rFonts w:hint="cs" w:ascii="Arial" w:hAnsi="Arial" w:eastAsia="Arial Unicode MS" w:cs="David"/>
                <w:snapToGrid w:val="0"/>
                <w:color w:val="auto"/>
                <w:spacing w:val="0"/>
                <w:sz w:val="20"/>
                <w:szCs w:val="26"/>
                <w:rtl/>
                <w:lang w:eastAsia="en-US"/>
              </w:rPr>
              <w:t>(2)</w:t>
            </w:r>
            <w:r w:rsidRPr="009D26BF">
              <w:rPr>
                <w:rFonts w:ascii="Arial" w:hAnsi="Arial" w:eastAsia="Arial Unicode MS" w:cs="David"/>
                <w:snapToGrid w:val="0"/>
                <w:color w:val="auto"/>
                <w:spacing w:val="0"/>
                <w:sz w:val="20"/>
                <w:szCs w:val="26"/>
                <w:rtl/>
                <w:lang w:eastAsia="en-US"/>
              </w:rPr>
              <w:tab/>
            </w:r>
            <w:r w:rsidRPr="009D26BF">
              <w:rPr>
                <w:rFonts w:hint="cs" w:ascii="Arial" w:hAnsi="Arial" w:eastAsia="Arial Unicode MS" w:cs="David"/>
                <w:snapToGrid w:val="0"/>
                <w:color w:val="auto"/>
                <w:spacing w:val="0"/>
                <w:sz w:val="20"/>
                <w:szCs w:val="26"/>
                <w:rtl/>
                <w:lang w:eastAsia="en-US"/>
              </w:rPr>
              <w:t>בהגדרה "יישוב קהילתי" –</w:t>
            </w:r>
          </w:p>
        </w:tc>
      </w:tr>
      <w:tr w:rsidRPr="009D26BF" w:rsidR="009D26BF" w:rsidTr="00EE06E8" w14:paraId="6C172177" w14:textId="77777777">
        <w:trPr>
          <w:cantSplit/>
        </w:trPr>
        <w:tc>
          <w:tcPr>
            <w:tcW w:w="1871" w:type="dxa"/>
          </w:tcPr>
          <w:p w:rsidRPr="009D26BF" w:rsidR="009D26BF" w:rsidP="009D26BF" w:rsidRDefault="009D26BF" w14:paraId="25F9CA46" w14:textId="77777777">
            <w:pPr>
              <w:keepLines/>
              <w:tabs>
                <w:tab w:val="left" w:pos="624"/>
                <w:tab w:val="left" w:pos="1247"/>
              </w:tabs>
              <w:autoSpaceDE/>
              <w:autoSpaceDN/>
              <w:adjustRightInd/>
              <w:snapToGrid w:val="0"/>
              <w:spacing w:before="0" w:line="360" w:lineRule="auto"/>
              <w:ind w:firstLine="0"/>
              <w:contextualSpacing/>
              <w:jc w:val="left"/>
              <w:textAlignment w:val="auto"/>
              <w:outlineLvl w:val="2"/>
              <w:rPr>
                <w:rFonts w:ascii="Arial" w:hAnsi="Arial" w:eastAsia="Arial Unicode MS" w:cs="David"/>
                <w:snapToGrid w:val="0"/>
                <w:color w:val="auto"/>
                <w:spacing w:val="0"/>
                <w:sz w:val="20"/>
                <w:szCs w:val="26"/>
                <w:lang w:eastAsia="en-US"/>
              </w:rPr>
            </w:pPr>
          </w:p>
        </w:tc>
        <w:tc>
          <w:tcPr>
            <w:tcW w:w="624" w:type="dxa"/>
          </w:tcPr>
          <w:p w:rsidRPr="009D26BF" w:rsidR="009D26BF" w:rsidP="009D26BF" w:rsidRDefault="009D26BF" w14:paraId="7AD1A170" w14:textId="77777777">
            <w:pPr>
              <w:keepLines/>
              <w:tabs>
                <w:tab w:val="left" w:pos="624"/>
                <w:tab w:val="left" w:pos="1247"/>
              </w:tabs>
              <w:autoSpaceDE/>
              <w:autoSpaceDN/>
              <w:adjustRightInd/>
              <w:snapToGrid w:val="0"/>
              <w:spacing w:before="0" w:line="360" w:lineRule="auto"/>
              <w:ind w:firstLine="0"/>
              <w:contextualSpacing/>
              <w:jc w:val="left"/>
              <w:textAlignment w:val="auto"/>
              <w:rPr>
                <w:rFonts w:ascii="Arial" w:hAnsi="Arial" w:eastAsia="Arial Unicode MS" w:cs="David"/>
                <w:snapToGrid w:val="0"/>
                <w:color w:val="auto"/>
                <w:spacing w:val="0"/>
                <w:sz w:val="20"/>
                <w:szCs w:val="26"/>
                <w:lang w:eastAsia="en-US"/>
              </w:rPr>
            </w:pPr>
          </w:p>
        </w:tc>
        <w:tc>
          <w:tcPr>
            <w:tcW w:w="624" w:type="dxa"/>
          </w:tcPr>
          <w:p w:rsidRPr="009D26BF" w:rsidR="009D26BF" w:rsidP="009D26BF" w:rsidRDefault="009D26BF" w14:paraId="572B46DD" w14:textId="77777777">
            <w:pPr>
              <w:keepLines/>
              <w:tabs>
                <w:tab w:val="left" w:pos="624"/>
                <w:tab w:val="left" w:pos="1247"/>
              </w:tabs>
              <w:autoSpaceDE/>
              <w:autoSpaceDN/>
              <w:adjustRightInd/>
              <w:snapToGrid w:val="0"/>
              <w:spacing w:before="0" w:line="360" w:lineRule="auto"/>
              <w:ind w:firstLine="0"/>
              <w:contextualSpacing/>
              <w:jc w:val="left"/>
              <w:textAlignment w:val="auto"/>
              <w:rPr>
                <w:rFonts w:ascii="Arial" w:hAnsi="Arial" w:eastAsia="Arial Unicode MS" w:cs="David"/>
                <w:snapToGrid w:val="0"/>
                <w:color w:val="auto"/>
                <w:spacing w:val="0"/>
                <w:sz w:val="20"/>
                <w:szCs w:val="26"/>
                <w:lang w:eastAsia="en-US"/>
              </w:rPr>
            </w:pPr>
          </w:p>
        </w:tc>
        <w:tc>
          <w:tcPr>
            <w:tcW w:w="6519" w:type="dxa"/>
          </w:tcPr>
          <w:p w:rsidRPr="009D26BF" w:rsidR="009D26BF" w:rsidP="009D26BF" w:rsidRDefault="009D26BF" w14:paraId="324A6BD2" w14:textId="77777777">
            <w:pPr>
              <w:keepLines/>
              <w:tabs>
                <w:tab w:val="left" w:pos="624"/>
                <w:tab w:val="left" w:pos="1247"/>
              </w:tabs>
              <w:autoSpaceDE/>
              <w:autoSpaceDN/>
              <w:adjustRightInd/>
              <w:snapToGrid w:val="0"/>
              <w:spacing w:before="0" w:line="360" w:lineRule="auto"/>
              <w:ind w:firstLine="0"/>
              <w:contextualSpacing/>
              <w:textAlignment w:val="auto"/>
              <w:rPr>
                <w:rFonts w:ascii="Arial" w:hAnsi="Arial" w:eastAsia="Arial Unicode MS" w:cs="David"/>
                <w:snapToGrid w:val="0"/>
                <w:color w:val="auto"/>
                <w:spacing w:val="0"/>
                <w:sz w:val="20"/>
                <w:szCs w:val="26"/>
                <w:lang w:eastAsia="en-US"/>
              </w:rPr>
            </w:pPr>
            <w:r w:rsidRPr="009D26BF">
              <w:rPr>
                <w:rFonts w:hint="cs" w:ascii="Arial" w:hAnsi="Arial" w:eastAsia="Arial Unicode MS" w:cs="David"/>
                <w:snapToGrid w:val="0"/>
                <w:color w:val="auto"/>
                <w:spacing w:val="0"/>
                <w:sz w:val="20"/>
                <w:szCs w:val="26"/>
                <w:rtl/>
                <w:lang w:eastAsia="en-US"/>
              </w:rPr>
              <w:t>(א</w:t>
            </w:r>
            <w:r w:rsidRPr="009D26BF">
              <w:rPr>
                <w:rFonts w:ascii="Arial" w:hAnsi="Arial" w:eastAsia="Arial Unicode MS" w:cs="David"/>
                <w:snapToGrid w:val="0"/>
                <w:color w:val="auto"/>
                <w:spacing w:val="0"/>
                <w:sz w:val="20"/>
                <w:szCs w:val="26"/>
                <w:rtl/>
                <w:lang w:eastAsia="en-US"/>
              </w:rPr>
              <w:t>)</w:t>
            </w:r>
            <w:r w:rsidRPr="009D26BF">
              <w:rPr>
                <w:rFonts w:ascii="Arial" w:hAnsi="Arial" w:eastAsia="Arial Unicode MS" w:cs="David"/>
                <w:snapToGrid w:val="0"/>
                <w:color w:val="auto"/>
                <w:spacing w:val="0"/>
                <w:sz w:val="20"/>
                <w:szCs w:val="26"/>
                <w:rtl/>
                <w:lang w:eastAsia="en-US"/>
              </w:rPr>
              <w:tab/>
            </w:r>
            <w:r w:rsidRPr="009D26BF">
              <w:rPr>
                <w:rFonts w:hint="cs" w:ascii="Arial" w:hAnsi="Arial" w:eastAsia="Arial Unicode MS" w:cs="David"/>
                <w:snapToGrid w:val="0"/>
                <w:color w:val="auto"/>
                <w:spacing w:val="0"/>
                <w:sz w:val="20"/>
                <w:szCs w:val="26"/>
                <w:rtl/>
                <w:lang w:eastAsia="en-US"/>
              </w:rPr>
              <w:t>במקום "או בנגב" יבוא "בנגב, בעמק עירון, בדרום הר חברון, ב</w:t>
            </w:r>
            <w:r w:rsidRPr="009D26BF">
              <w:rPr>
                <w:rFonts w:ascii="Arial" w:hAnsi="Arial" w:eastAsia="Arial Unicode MS" w:cs="David"/>
                <w:snapToGrid w:val="0"/>
                <w:color w:val="auto"/>
                <w:spacing w:val="0"/>
                <w:sz w:val="20"/>
                <w:szCs w:val="26"/>
                <w:rtl/>
                <w:lang w:eastAsia="en-US"/>
              </w:rPr>
              <w:t xml:space="preserve">חבל עדולם, </w:t>
            </w:r>
            <w:r w:rsidRPr="009D26BF">
              <w:rPr>
                <w:rFonts w:hint="cs" w:ascii="Arial" w:hAnsi="Arial" w:eastAsia="Arial Unicode MS" w:cs="David"/>
                <w:snapToGrid w:val="0"/>
                <w:color w:val="auto"/>
                <w:spacing w:val="0"/>
                <w:sz w:val="20"/>
                <w:szCs w:val="26"/>
                <w:rtl/>
                <w:lang w:eastAsia="en-US"/>
              </w:rPr>
              <w:t>חבל לכיש או באזור";</w:t>
            </w:r>
          </w:p>
        </w:tc>
      </w:tr>
      <w:tr w:rsidRPr="009D26BF" w:rsidR="009D26BF" w:rsidTr="00EE06E8" w14:paraId="24265D50" w14:textId="77777777">
        <w:trPr>
          <w:cantSplit/>
        </w:trPr>
        <w:tc>
          <w:tcPr>
            <w:tcW w:w="1871" w:type="dxa"/>
          </w:tcPr>
          <w:p w:rsidRPr="009D26BF" w:rsidR="009D26BF" w:rsidP="009D26BF" w:rsidRDefault="009D26BF" w14:paraId="4E6BCBB0" w14:textId="77777777">
            <w:pPr>
              <w:keepLines/>
              <w:tabs>
                <w:tab w:val="left" w:pos="624"/>
                <w:tab w:val="left" w:pos="1247"/>
              </w:tabs>
              <w:autoSpaceDE/>
              <w:autoSpaceDN/>
              <w:adjustRightInd/>
              <w:snapToGrid w:val="0"/>
              <w:spacing w:before="0" w:line="360" w:lineRule="auto"/>
              <w:ind w:firstLine="0"/>
              <w:contextualSpacing/>
              <w:jc w:val="left"/>
              <w:textAlignment w:val="auto"/>
              <w:outlineLvl w:val="2"/>
              <w:rPr>
                <w:rFonts w:ascii="Arial" w:hAnsi="Arial" w:eastAsia="Arial Unicode MS" w:cs="David"/>
                <w:snapToGrid w:val="0"/>
                <w:color w:val="auto"/>
                <w:spacing w:val="0"/>
                <w:sz w:val="20"/>
                <w:szCs w:val="26"/>
                <w:lang w:eastAsia="en-US"/>
              </w:rPr>
            </w:pPr>
          </w:p>
        </w:tc>
        <w:tc>
          <w:tcPr>
            <w:tcW w:w="624" w:type="dxa"/>
          </w:tcPr>
          <w:p w:rsidRPr="009D26BF" w:rsidR="009D26BF" w:rsidP="009D26BF" w:rsidRDefault="009D26BF" w14:paraId="187209B7" w14:textId="77777777">
            <w:pPr>
              <w:keepLines/>
              <w:tabs>
                <w:tab w:val="left" w:pos="624"/>
                <w:tab w:val="left" w:pos="1247"/>
              </w:tabs>
              <w:autoSpaceDE/>
              <w:autoSpaceDN/>
              <w:adjustRightInd/>
              <w:snapToGrid w:val="0"/>
              <w:spacing w:before="0" w:line="360" w:lineRule="auto"/>
              <w:ind w:firstLine="0"/>
              <w:contextualSpacing/>
              <w:jc w:val="left"/>
              <w:textAlignment w:val="auto"/>
              <w:rPr>
                <w:rFonts w:ascii="Arial" w:hAnsi="Arial" w:eastAsia="Arial Unicode MS" w:cs="David"/>
                <w:snapToGrid w:val="0"/>
                <w:color w:val="auto"/>
                <w:spacing w:val="0"/>
                <w:sz w:val="20"/>
                <w:szCs w:val="26"/>
                <w:lang w:eastAsia="en-US"/>
              </w:rPr>
            </w:pPr>
          </w:p>
        </w:tc>
        <w:tc>
          <w:tcPr>
            <w:tcW w:w="624" w:type="dxa"/>
          </w:tcPr>
          <w:p w:rsidRPr="009D26BF" w:rsidR="009D26BF" w:rsidP="009D26BF" w:rsidRDefault="009D26BF" w14:paraId="69EB5EBC" w14:textId="77777777">
            <w:pPr>
              <w:keepLines/>
              <w:tabs>
                <w:tab w:val="left" w:pos="624"/>
                <w:tab w:val="left" w:pos="1247"/>
              </w:tabs>
              <w:autoSpaceDE/>
              <w:autoSpaceDN/>
              <w:adjustRightInd/>
              <w:snapToGrid w:val="0"/>
              <w:spacing w:before="0" w:line="360" w:lineRule="auto"/>
              <w:ind w:firstLine="0"/>
              <w:contextualSpacing/>
              <w:jc w:val="left"/>
              <w:textAlignment w:val="auto"/>
              <w:rPr>
                <w:rFonts w:ascii="Arial" w:hAnsi="Arial" w:eastAsia="Arial Unicode MS" w:cs="David"/>
                <w:snapToGrid w:val="0"/>
                <w:color w:val="auto"/>
                <w:spacing w:val="0"/>
                <w:sz w:val="20"/>
                <w:szCs w:val="26"/>
                <w:lang w:eastAsia="en-US"/>
              </w:rPr>
            </w:pPr>
          </w:p>
        </w:tc>
        <w:tc>
          <w:tcPr>
            <w:tcW w:w="6519" w:type="dxa"/>
          </w:tcPr>
          <w:p w:rsidRPr="009D26BF" w:rsidR="009D26BF" w:rsidP="009D26BF" w:rsidRDefault="009D26BF" w14:paraId="059E476A" w14:textId="77777777">
            <w:pPr>
              <w:keepLines/>
              <w:tabs>
                <w:tab w:val="left" w:pos="624"/>
                <w:tab w:val="left" w:pos="1247"/>
              </w:tabs>
              <w:autoSpaceDE/>
              <w:autoSpaceDN/>
              <w:adjustRightInd/>
              <w:snapToGrid w:val="0"/>
              <w:spacing w:before="0" w:line="360" w:lineRule="auto"/>
              <w:ind w:firstLine="0"/>
              <w:contextualSpacing/>
              <w:textAlignment w:val="auto"/>
              <w:rPr>
                <w:rFonts w:ascii="Arial" w:hAnsi="Arial" w:eastAsia="Arial Unicode MS" w:cs="David"/>
                <w:snapToGrid w:val="0"/>
                <w:color w:val="auto"/>
                <w:spacing w:val="0"/>
                <w:sz w:val="20"/>
                <w:szCs w:val="26"/>
                <w:rtl/>
                <w:lang w:eastAsia="en-US"/>
              </w:rPr>
            </w:pPr>
            <w:r w:rsidRPr="009D26BF">
              <w:rPr>
                <w:rFonts w:hint="cs" w:ascii="Arial" w:hAnsi="Arial" w:eastAsia="Arial Unicode MS" w:cs="David"/>
                <w:snapToGrid w:val="0"/>
                <w:color w:val="auto"/>
                <w:spacing w:val="0"/>
                <w:sz w:val="20"/>
                <w:szCs w:val="26"/>
                <w:rtl/>
                <w:lang w:eastAsia="en-US"/>
              </w:rPr>
              <w:t>(ב)</w:t>
            </w:r>
            <w:r w:rsidRPr="009D26BF">
              <w:rPr>
                <w:rFonts w:ascii="Arial" w:hAnsi="Arial" w:eastAsia="Arial Unicode MS" w:cs="David"/>
                <w:snapToGrid w:val="0"/>
                <w:color w:val="auto"/>
                <w:spacing w:val="0"/>
                <w:sz w:val="20"/>
                <w:szCs w:val="26"/>
                <w:rtl/>
                <w:lang w:eastAsia="en-US"/>
              </w:rPr>
              <w:tab/>
            </w:r>
            <w:r w:rsidRPr="009D26BF">
              <w:rPr>
                <w:rFonts w:hint="cs" w:ascii="Arial" w:hAnsi="Arial" w:eastAsia="Arial Unicode MS" w:cs="David"/>
                <w:snapToGrid w:val="0"/>
                <w:color w:val="auto"/>
                <w:spacing w:val="0"/>
                <w:sz w:val="20"/>
                <w:szCs w:val="26"/>
                <w:rtl/>
                <w:lang w:eastAsia="en-US"/>
              </w:rPr>
              <w:t>בפסקה (1) אחרי "בתי האב" יבוא "</w:t>
            </w:r>
            <w:r w:rsidRPr="009D26BF">
              <w:rPr>
                <w:rFonts w:ascii="Arial" w:hAnsi="Arial" w:eastAsia="Arial Unicode MS" w:cs="David"/>
                <w:snapToGrid w:val="0"/>
                <w:color w:val="auto"/>
                <w:spacing w:val="0"/>
                <w:sz w:val="20"/>
                <w:szCs w:val="26"/>
                <w:rtl/>
                <w:lang w:eastAsia="en-US"/>
              </w:rPr>
              <w:t xml:space="preserve">המגרשים </w:t>
            </w:r>
            <w:r w:rsidRPr="009D26BF">
              <w:rPr>
                <w:rFonts w:hint="cs" w:ascii="Arial" w:hAnsi="Arial" w:eastAsia="Arial Unicode MS" w:cs="David"/>
                <w:snapToGrid w:val="0"/>
                <w:color w:val="auto"/>
                <w:spacing w:val="0"/>
                <w:sz w:val="20"/>
                <w:szCs w:val="26"/>
                <w:rtl/>
                <w:lang w:eastAsia="en-US"/>
              </w:rPr>
              <w:t xml:space="preserve">ששווקו </w:t>
            </w:r>
            <w:r w:rsidRPr="009D26BF">
              <w:rPr>
                <w:rFonts w:ascii="Arial" w:hAnsi="Arial" w:eastAsia="Arial Unicode MS" w:cs="David"/>
                <w:snapToGrid w:val="0"/>
                <w:color w:val="auto"/>
                <w:spacing w:val="0"/>
                <w:sz w:val="20"/>
                <w:szCs w:val="26"/>
                <w:rtl/>
                <w:lang w:eastAsia="en-US"/>
              </w:rPr>
              <w:t>לבניית בתי קבע</w:t>
            </w:r>
            <w:r w:rsidRPr="009D26BF">
              <w:rPr>
                <w:rFonts w:hint="cs" w:ascii="Arial" w:hAnsi="Arial" w:eastAsia="Arial Unicode MS" w:cs="David"/>
                <w:snapToGrid w:val="0"/>
                <w:color w:val="auto"/>
                <w:spacing w:val="0"/>
                <w:sz w:val="20"/>
                <w:szCs w:val="26"/>
                <w:rtl/>
                <w:lang w:eastAsia="en-US"/>
              </w:rPr>
              <w:t>" ובמקום "400" יבוא "600".</w:t>
            </w:r>
          </w:p>
        </w:tc>
      </w:tr>
    </w:tbl>
    <w:p w:rsidR="002D1EE3" w:rsidP="009D26BF" w:rsidRDefault="002D1EE3" w14:paraId="7F6961CA" w14:textId="2C265F4D">
      <w:pPr>
        <w:pStyle w:val="HeadDivreiHesber"/>
        <w:rPr>
          <w:rtl/>
        </w:rPr>
      </w:pPr>
      <w:r w:rsidRPr="0027450A">
        <w:rPr>
          <w:rFonts w:hint="cs"/>
          <w:rtl/>
        </w:rPr>
        <w:t>דברי הסבר</w:t>
      </w:r>
    </w:p>
    <w:p w:rsidRPr="00A8674D" w:rsidR="009D26BF" w:rsidP="00A8674D" w:rsidRDefault="009D26BF" w14:paraId="1B744DB3" w14:textId="77777777">
      <w:pPr>
        <w:pStyle w:val="Hesber"/>
        <w:rPr>
          <w:rtl/>
        </w:rPr>
      </w:pPr>
      <w:r w:rsidRPr="00A8674D">
        <w:rPr>
          <w:rFonts w:hint="cs"/>
          <w:rtl/>
        </w:rPr>
        <w:t>החל משלהי שנות ה-70 של המאה הקודמת, יזמה המדינה, באמצעות זרועות ההתיישבות שלה (</w:t>
      </w:r>
      <w:r w:rsidRPr="00A8674D">
        <w:rPr>
          <w:rtl/>
        </w:rPr>
        <w:t>הסוכנות היהודית לארץ ישראל או ההסתדרות הציונית העולמית</w:t>
      </w:r>
      <w:r w:rsidRPr="00A8674D">
        <w:rPr>
          <w:rFonts w:hint="cs"/>
          <w:rtl/>
        </w:rPr>
        <w:t xml:space="preserve">), הקצאת קרקעות והקמת שורה של יישובים קהילתיים קטנים בגליל (מפעל ה"מצפים"), בנגב ובפריפריה (כמפורט בסעיף 4.16.1 לקובץ החלטות מועצת מקרקעי ישראל). היישובים הללו נועדו להגשים את יעדי הממשלה בדבר ביזור האוכלוסייה וחיזוק הפריפריה תוך מתן אפשרות לתושבי יישובים אלה לקיים אורח חיים קהילתי-כפרי המבוסס על לכידות חברתית ותרבותית. בכך מספקת המדינה חלופות קהילתיות שונות, כל אחת על פי אופייה, לרווחת תושביה. מימוש מטרות אלה חייב, ועודנו מחייב קיום מנגנון של בדיקת התאמה של </w:t>
      </w:r>
      <w:r w:rsidRPr="00A8674D">
        <w:rPr>
          <w:rFonts w:hint="cs"/>
          <w:rtl/>
        </w:rPr>
        <w:lastRenderedPageBreak/>
        <w:t xml:space="preserve">המועמדים לקהילה הקולטת טרם קבלתם להתיישבות ביישובים, וזאת כל עוד היישובים מוגדרים, על-פי החוק, כיישובים כפריים. </w:t>
      </w:r>
    </w:p>
    <w:p w:rsidRPr="00A8674D" w:rsidR="009D26BF" w:rsidP="00A8674D" w:rsidRDefault="009D26BF" w14:paraId="417A7D80" w14:textId="77777777">
      <w:pPr>
        <w:pStyle w:val="Hesber"/>
        <w:rPr>
          <w:rtl/>
        </w:rPr>
      </w:pPr>
      <w:r w:rsidRPr="00A8674D">
        <w:rPr>
          <w:rFonts w:hint="cs"/>
          <w:rtl/>
        </w:rPr>
        <w:t xml:space="preserve">בשנת 2011 התקבל בכנסת תיקון מס' 8 לפקודת האגודות השיתופיות ובו נקבע הסדר כולל שהסדיר את ועדות הקבלה בישובים קהילתיים. בתחילה ביקשה הצעת החוק דאז (פ/1740/18) לקבוע כי יישוב קהילתי יחשב כישוב בו מתקיימות וועדות קבלה, אם מספר בתי האב עומד על 500 בתי אב. בהליך החקיקה הוחלט בסופו של דבר, לקבוע כי ישוב קהילתי יוגדר כישוב שבו מספר בתי האב אינו עולה על 400 למרות שמספר זה אינו משקף את מרבית הישובים הקהילתיים שהקימו זרועות ההתיישבות של המדינה. בנוסף, חרף המלצת משרד המשפטים, תיקון מס' 8 לא הוחל על כלל ההתיישבות הקהילתית בפריפריה בישראל אלא רק על הנגב והגליל. </w:t>
      </w:r>
    </w:p>
    <w:p w:rsidRPr="00A8674D" w:rsidR="009D26BF" w:rsidP="00A8674D" w:rsidRDefault="009D26BF" w14:paraId="132D5FA9" w14:textId="0E2C4E6B">
      <w:pPr>
        <w:pStyle w:val="Hesber"/>
        <w:rPr>
          <w:rtl/>
        </w:rPr>
      </w:pPr>
      <w:r w:rsidRPr="00A8674D">
        <w:rPr>
          <w:rFonts w:hint="cs"/>
          <w:rtl/>
        </w:rPr>
        <w:t>כעת, כ-9 שנים לאחר שנכנס תיקון ועדות הקבלה לתוקף, נראה כי המציאות מלמדת כי ישנו צורך בתיקון חקיקה שיעדכן את הגדרת היישוב הקהילתי ליישוב המונה 600 בתי אב וגם יחיל אותו על כל</w:t>
      </w:r>
      <w:r w:rsidR="00A8674D">
        <w:rPr>
          <w:rFonts w:hint="cs"/>
          <w:rtl/>
        </w:rPr>
        <w:t xml:space="preserve">ל ההתיישבות הקהילתית בפריפריה. </w:t>
      </w:r>
      <w:r w:rsidRPr="00A8674D">
        <w:rPr>
          <w:rFonts w:hint="cs"/>
          <w:rtl/>
        </w:rPr>
        <w:t xml:space="preserve">בכך יתאפשר ליישובים קהילתיים המעוניינים לשמור על אופי ייחודי לגדול ולהתרחב תוך שמירה על לכידות חברתית ותרבותית ומבלי לפגוע באורח החיים הקהילתי-כפרי המבוסס. </w:t>
      </w:r>
    </w:p>
    <w:p w:rsidR="00A8674D" w:rsidP="00A8674D" w:rsidRDefault="009D26BF" w14:paraId="50A0347E" w14:textId="77777777">
      <w:pPr>
        <w:pStyle w:val="Hesber"/>
        <w:rPr>
          <w:rtl/>
        </w:rPr>
      </w:pPr>
      <w:r w:rsidRPr="00A8674D">
        <w:rPr>
          <w:rFonts w:hint="cs"/>
          <w:rtl/>
        </w:rPr>
        <w:t xml:space="preserve">לפיכך מוצע לקבוע כי יישוב קהילתי יוגדר כישוב ששווקו בו 600 מגרשים בפועל לבניית בתי קבע וכי ההסדר שנקבע בתיקון מס' 8 לפקודת האגודות השיתופיות יחול על כלל הישובים הקהילתיים שהקימו זרועות ההתיישבות של המדינה בפריפריה (כמפורט בסעיף 4.16.1 לקובץ החלטות מועצת מקרקעי ישראל), וביהודה ושומרון וזאת הן מטעמים התיישבותיים-ציוניים והן מטעמים ביטחוניים. </w:t>
      </w:r>
    </w:p>
    <w:p w:rsidRPr="00A8674D" w:rsidR="009D26BF" w:rsidP="001F0000" w:rsidRDefault="009D26BF" w14:paraId="4EBB86CC" w14:textId="57DC1BC4">
      <w:pPr>
        <w:pStyle w:val="Hesber"/>
        <w:rPr>
          <w:rtl/>
        </w:rPr>
      </w:pPr>
      <w:r w:rsidRPr="00A8674D">
        <w:rPr>
          <w:rFonts w:hint="cs"/>
          <w:rtl/>
        </w:rPr>
        <w:t>הצעת חוק דומ</w:t>
      </w:r>
      <w:r w:rsidR="001F0000">
        <w:rPr>
          <w:rFonts w:hint="cs"/>
          <w:rtl/>
        </w:rPr>
        <w:t>ה בעיקרה הונחה על שולחן הכנסת העשרים ושלוש</w:t>
      </w:r>
      <w:r w:rsidRPr="00A8674D">
        <w:rPr>
          <w:rFonts w:hint="cs"/>
          <w:rtl/>
        </w:rPr>
        <w:t xml:space="preserve"> על ידי חבר הכנסת בצלאל סמוטריץ' וקבוצת חברי הכנסת (</w:t>
      </w:r>
      <w:bookmarkStart w:name="LawNum" w:id="8"/>
      <w:r w:rsidRPr="00A8674D">
        <w:rPr>
          <w:rtl/>
        </w:rPr>
        <w:t>פ/</w:t>
      </w:r>
      <w:r w:rsidRPr="00A8674D">
        <w:rPr>
          <w:rFonts w:hint="cs"/>
          <w:rtl/>
        </w:rPr>
        <w:t>1983</w:t>
      </w:r>
      <w:r w:rsidRPr="00A8674D">
        <w:rPr>
          <w:rtl/>
        </w:rPr>
        <w:t>/</w:t>
      </w:r>
      <w:bookmarkEnd w:id="8"/>
      <w:r w:rsidRPr="00A8674D">
        <w:rPr>
          <w:rFonts w:hint="cs"/>
          <w:rtl/>
        </w:rPr>
        <w:t>23).</w:t>
      </w:r>
    </w:p>
    <w:p w:rsidRPr="00A8674D" w:rsidR="009D26BF" w:rsidP="00A8674D" w:rsidRDefault="009D26BF" w14:paraId="0B2F26FD" w14:textId="6FD5E0D9">
      <w:pPr>
        <w:pStyle w:val="Hesber"/>
        <w:rPr>
          <w:rtl/>
        </w:rPr>
      </w:pPr>
    </w:p>
    <w:p w:rsidRPr="00A8674D" w:rsidR="00E13C27" w:rsidP="00A8674D" w:rsidRDefault="00E13C27" w14:paraId="7F6961CB" w14:textId="77777777">
      <w:pPr>
        <w:pStyle w:val="Hesber"/>
        <w:rPr>
          <w:rtl/>
        </w:rPr>
      </w:pPr>
      <w:bookmarkStart w:name="_GoBack" w:id="9"/>
      <w:bookmarkEnd w:id="9"/>
    </w:p>
    <w:p w:rsidR="00944012" w:rsidRDefault="00413025" w14:paraId="611E2328" w14:textId="77777777">
      <w:pPr>
        <w:spacing w:before="0" w:line="360" w:lineRule="auto"/>
        <w:jc w:val="left"/>
      </w:pPr>
      <w:bookmarkStart w:name="selectedDocDateB" w:id="10"/>
      <w:bookmarkEnd w:id="10"/>
      <w:r>
        <w:rPr>
          <w:rFonts w:hint="cs" w:ascii="David" w:hAnsi="David" w:eastAsia="David" w:cs="David"/>
          <w:sz w:val="26"/>
          <w:szCs w:val="26"/>
          <w:rtl/>
        </w:rPr>
        <w:t>--------------------------------</w:t>
      </w:r>
    </w:p>
    <w:p w:rsidR="00944012" w:rsidRDefault="00413025" w14:paraId="5C37A120" w14:textId="77777777">
      <w:pPr>
        <w:spacing w:before="0" w:line="360" w:lineRule="auto"/>
        <w:jc w:val="left"/>
      </w:pPr>
      <w:r>
        <w:rPr>
          <w:rFonts w:hint="cs" w:ascii="David" w:hAnsi="David" w:eastAsia="David" w:cs="David"/>
          <w:sz w:val="26"/>
          <w:szCs w:val="26"/>
          <w:rtl/>
        </w:rPr>
        <w:t>הוגשה ליו"ר הכנסת והסגנים</w:t>
      </w:r>
    </w:p>
    <w:p w:rsidR="00944012" w:rsidRDefault="00413025" w14:paraId="5D2D4288" w14:textId="77777777">
      <w:pPr>
        <w:spacing w:before="0" w:line="360" w:lineRule="auto"/>
        <w:jc w:val="left"/>
      </w:pPr>
      <w:r>
        <w:rPr>
          <w:rFonts w:hint="cs" w:ascii="David" w:hAnsi="David" w:eastAsia="David" w:cs="David"/>
          <w:sz w:val="26"/>
          <w:szCs w:val="26"/>
          <w:rtl/>
        </w:rPr>
        <w:t>והונחה על שולחן הכנסת ביום</w:t>
      </w:r>
    </w:p>
    <w:p w:rsidR="00944012" w:rsidRDefault="00413025" w14:paraId="2C5E498D" w14:textId="77777777">
      <w:pPr>
        <w:spacing w:before="0" w:line="360" w:lineRule="auto"/>
        <w:jc w:val="left"/>
      </w:pPr>
      <w:r>
        <w:rPr>
          <w:rFonts w:hint="cs" w:ascii="David" w:hAnsi="David" w:eastAsia="David" w:cs="David"/>
          <w:sz w:val="26"/>
          <w:szCs w:val="26"/>
          <w:rtl/>
        </w:rPr>
        <w:t>י"ט בח</w:t>
      </w:r>
      <w:r>
        <w:rPr>
          <w:rFonts w:hint="cs" w:ascii="David" w:hAnsi="David" w:eastAsia="David" w:cs="David"/>
          <w:sz w:val="26"/>
          <w:szCs w:val="26"/>
          <w:rtl/>
        </w:rPr>
        <w:t xml:space="preserve">שוון התשפ"ב (25.10.2021) </w:t>
      </w:r>
    </w:p>
    <w:p w:rsidR="00944012" w:rsidRDefault="00944012" w14:paraId="34B6BA84" w14:textId="77777777">
      <w:pPr>
        <w:spacing w:before="0" w:line="276" w:lineRule="auto"/>
        <w:jc w:val="left"/>
      </w:pPr>
    </w:p>
    <w:sectPr w:rsidR="00944012"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413025">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6ED69B8E" w14:textId="77777777" w:rsidR="009D26BF" w:rsidRDefault="009D26BF" w:rsidP="009D26BF">
      <w:pPr>
        <w:pStyle w:val="a4"/>
        <w:rPr>
          <w:rtl/>
        </w:rPr>
      </w:pPr>
      <w:r>
        <w:rPr>
          <w:rStyle w:val="a6"/>
        </w:rPr>
        <w:footnoteRef/>
      </w:r>
      <w:r>
        <w:rPr>
          <w:rtl/>
        </w:rPr>
        <w:t xml:space="preserve"> </w:t>
      </w:r>
      <w:r>
        <w:rPr>
          <w:rFonts w:hint="cs"/>
          <w:rtl/>
        </w:rPr>
        <w:t>חוקי א"י, כרך א', עמ' 336.</w:t>
      </w:r>
    </w:p>
  </w:footnote>
  <w:footnote w:id="3">
    <w:p w14:paraId="3A1A7A17" w14:textId="77777777" w:rsidR="009D26BF" w:rsidRDefault="009D26BF" w:rsidP="009D26BF">
      <w:pPr>
        <w:pStyle w:val="a4"/>
        <w:rPr>
          <w:rtl/>
        </w:rPr>
      </w:pPr>
      <w:r>
        <w:rPr>
          <w:rStyle w:val="a6"/>
        </w:rPr>
        <w:footnoteRef/>
      </w:r>
      <w:r>
        <w:rPr>
          <w:rtl/>
        </w:rPr>
        <w:t xml:space="preserve"> </w:t>
      </w:r>
      <w:r w:rsidRPr="00FE0874">
        <w:rPr>
          <w:rtl/>
        </w:rPr>
        <w:t>ס"ח התשכ"ח, עמ'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1F0000"/>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3025"/>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4012"/>
    <w:rsid w:val="009456B6"/>
    <w:rsid w:val="00957589"/>
    <w:rsid w:val="00966D06"/>
    <w:rsid w:val="00982412"/>
    <w:rsid w:val="00983A8D"/>
    <w:rsid w:val="009A0DB8"/>
    <w:rsid w:val="009A7257"/>
    <w:rsid w:val="009D26BF"/>
    <w:rsid w:val="009D6E0A"/>
    <w:rsid w:val="009E1E33"/>
    <w:rsid w:val="00A14672"/>
    <w:rsid w:val="00A26BD6"/>
    <w:rsid w:val="00A443CF"/>
    <w:rsid w:val="00A6611D"/>
    <w:rsid w:val="00A82CB7"/>
    <w:rsid w:val="00A8674D"/>
    <w:rsid w:val="00A942C1"/>
    <w:rsid w:val="00AA2F03"/>
    <w:rsid w:val="00AC36F7"/>
    <w:rsid w:val="00AC63A4"/>
    <w:rsid w:val="00AD239E"/>
    <w:rsid w:val="00AD779A"/>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A765986B-D530-46B5-AABE-13978701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rsid w:val="009D26BF"/>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290d5b49-c690-4c6f-bbb9-1e50dab33ee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81FF63B-E772-4CC4-B89E-496DA3487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9E93E1CA-43F1-4C94-BF31-5DD3851D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449</Words>
  <Characters>2564</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8</cp:revision>
  <cp:lastPrinted>2021-10-24T09:24:00Z</cp:lastPrinted>
  <dcterms:created xsi:type="dcterms:W3CDTF">2015-04-20T09:58:00Z</dcterms:created>
  <dcterms:modified xsi:type="dcterms:W3CDTF">2021-10-24T09:24:00Z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2163443</vt:r8>
  </property>
</Properties>
</file>