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2159877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148ED106" w:rsidR="00E13C27" w:rsidRPr="00CF1AA2" w:rsidRDefault="008F6665" w:rsidP="00F40ECF">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 גולן</w:t>
      </w:r>
      <w:r>
        <w:br/>
      </w:r>
      <w:r>
        <w:rPr>
          <w:rFonts w:hint="cs"/>
          <w:b/>
          <w:bCs/>
          <w:rtl/>
        </w:rPr>
        <w:t xml:space="preserve"> </w:t>
      </w:r>
      <w:r>
        <w:tab/>
      </w:r>
      <w:r>
        <w:tab/>
      </w:r>
      <w:r>
        <w:tab/>
      </w:r>
      <w:r>
        <w:tab/>
      </w:r>
      <w:r>
        <w:rPr>
          <w:rFonts w:hint="cs"/>
          <w:b/>
          <w:bCs/>
          <w:rtl/>
        </w:rPr>
        <w:t>דוד אמסלם</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יעקב מרגי</w:t>
      </w:r>
      <w:r>
        <w:br/>
      </w:r>
      <w:r>
        <w:rPr>
          <w:rFonts w:hint="cs"/>
          <w:b/>
          <w:bCs/>
          <w:rtl/>
        </w:rPr>
        <w:t xml:space="preserve"> </w:t>
      </w:r>
      <w:r>
        <w:tab/>
      </w:r>
      <w:r>
        <w:tab/>
      </w:r>
      <w:r>
        <w:tab/>
      </w:r>
      <w:r>
        <w:tab/>
      </w:r>
      <w:r>
        <w:rPr>
          <w:rFonts w:hint="cs"/>
          <w:b/>
          <w:bCs/>
          <w:rtl/>
        </w:rPr>
        <w:t>איתמר בן גביר</w:t>
      </w:r>
      <w:r>
        <w:br/>
      </w:r>
      <w:r>
        <w:rPr>
          <w:rFonts w:hint="cs"/>
          <w:b/>
          <w:bCs/>
          <w:rtl/>
        </w:rPr>
        <w:t xml:space="preserve"> </w:t>
      </w:r>
      <w:r>
        <w:tab/>
      </w:r>
      <w:r>
        <w:tab/>
      </w:r>
      <w:r>
        <w:tab/>
      </w:r>
      <w:r>
        <w:tab/>
      </w:r>
      <w:r>
        <w:rPr>
          <w:rFonts w:hint="cs"/>
          <w:b/>
          <w:bCs/>
          <w:rtl/>
        </w:rPr>
        <w:t>גלית דיסטל אטבריאן</w:t>
      </w:r>
      <w:r>
        <w:br/>
      </w:r>
      <w:r>
        <w:rPr>
          <w:rFonts w:hint="cs"/>
          <w:b/>
          <w:bCs/>
          <w:rtl/>
        </w:rPr>
        <w:t xml:space="preserve"> </w:t>
      </w:r>
      <w:r>
        <w:tab/>
      </w:r>
      <w:r>
        <w:tab/>
      </w:r>
      <w:r>
        <w:tab/>
      </w:r>
      <w:r>
        <w:tab/>
      </w:r>
      <w:r>
        <w:rPr>
          <w:rFonts w:hint="cs"/>
          <w:b/>
          <w:bCs/>
          <w:rtl/>
        </w:rPr>
        <w:t>יצחק פינדרוס</w:t>
      </w:r>
      <w:r>
        <w:br/>
      </w:r>
      <w:r>
        <w:rPr>
          <w:rFonts w:hint="cs"/>
          <w:b/>
          <w:bCs/>
          <w:rtl/>
        </w:rPr>
        <w:t xml:space="preserve"> </w:t>
      </w:r>
      <w:r>
        <w:tab/>
      </w:r>
      <w:r>
        <w:tab/>
      </w:r>
      <w:r>
        <w:tab/>
      </w:r>
      <w:r>
        <w:tab/>
      </w:r>
      <w:r>
        <w:rPr>
          <w:rFonts w:hint="cs"/>
          <w:b/>
          <w:bCs/>
          <w:rtl/>
        </w:rPr>
        <w:t>פטין מולא</w:t>
      </w:r>
      <w:r>
        <w:br/>
      </w:r>
      <w:r>
        <w:rPr>
          <w:rFonts w:hint="cs"/>
          <w:b/>
          <w:bCs/>
          <w:rtl/>
        </w:rPr>
        <w:t xml:space="preserve"> </w:t>
      </w:r>
      <w:r>
        <w:tab/>
      </w:r>
      <w:r>
        <w:tab/>
      </w:r>
      <w:r>
        <w:tab/>
      </w:r>
      <w:r>
        <w:tab/>
      </w:r>
      <w:r>
        <w:rPr>
          <w:rFonts w:hint="cs"/>
          <w:b/>
          <w:bCs/>
          <w:rtl/>
        </w:rPr>
        <w:t>אופיר סופר</w:t>
      </w:r>
      <w:r>
        <w:br/>
      </w:r>
      <w:r>
        <w:rPr>
          <w:rFonts w:hint="cs"/>
          <w:b/>
          <w:bCs/>
          <w:rtl/>
        </w:rPr>
        <w:t xml:space="preserve"> </w:t>
      </w:r>
      <w:r>
        <w:tab/>
      </w:r>
      <w:r>
        <w:tab/>
      </w:r>
      <w:r>
        <w:tab/>
      </w:r>
      <w:r>
        <w:tab/>
      </w:r>
      <w:r>
        <w:rPr>
          <w:rFonts w:hint="cs"/>
          <w:b/>
          <w:bCs/>
          <w:rtl/>
        </w:rPr>
        <w:t>אופיר כץ</w:t>
      </w:r>
      <w:r>
        <w:br/>
      </w:r>
      <w:r>
        <w:rPr>
          <w:rFonts w:hint="cs"/>
          <w:b/>
          <w:bCs/>
          <w:rtl/>
        </w:rPr>
        <w:t xml:space="preserve"> </w:t>
      </w:r>
      <w:r>
        <w:tab/>
      </w:r>
      <w:r>
        <w:tab/>
      </w:r>
      <w:r>
        <w:tab/>
      </w:r>
      <w:r>
        <w:tab/>
      </w:r>
      <w:r>
        <w:rPr>
          <w:rFonts w:hint="cs"/>
          <w:b/>
          <w:bCs/>
          <w:rtl/>
        </w:rPr>
        <w:t>אבי מעוז</w:t>
      </w:r>
      <w:r>
        <w:br/>
      </w:r>
      <w:r>
        <w:rPr>
          <w:rFonts w:hint="cs"/>
          <w:b/>
          <w:bCs/>
          <w:rtl/>
        </w:rPr>
        <w:t xml:space="preserve"> </w:t>
      </w:r>
      <w:r>
        <w:tab/>
      </w:r>
      <w:r>
        <w:tab/>
      </w:r>
      <w:r>
        <w:tab/>
      </w:r>
      <w:r>
        <w:tab/>
      </w:r>
      <w:r>
        <w:rPr>
          <w:rFonts w:hint="cs"/>
          <w:b/>
          <w:bCs/>
          <w:rtl/>
        </w:rPr>
        <w:t>מיכל וולדיגר</w:t>
      </w:r>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אוריאל בוסו</w:t>
      </w:r>
      <w:r>
        <w:br/>
      </w:r>
      <w:r>
        <w:rPr>
          <w:rFonts w:hint="cs"/>
          <w:b/>
          <w:bCs/>
          <w:rtl/>
        </w:rPr>
        <w:t xml:space="preserve"> </w:t>
      </w:r>
      <w:r>
        <w:tab/>
      </w:r>
      <w:r>
        <w:tab/>
      </w:r>
      <w:r>
        <w:tab/>
      </w:r>
      <w:r>
        <w:tab/>
      </w:r>
      <w:r>
        <w:rPr>
          <w:rFonts w:hint="cs"/>
          <w:b/>
          <w:bCs/>
          <w:rtl/>
        </w:rPr>
        <w:t>יעקב אשר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פ/2309/24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חוק-יסוד: השפיטה (תיקון – מינוי שופטים לבית המשפט העליון וקציבת כהונתם)</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36311E" w14:paraId="4579FA66" w14:textId="77777777" w:rsidTr="0036311E">
        <w:trPr>
          <w:cantSplit/>
          <w:trHeight w:val="60"/>
        </w:trPr>
        <w:tc>
          <w:tcPr>
            <w:tcW w:w="1871" w:type="dxa"/>
          </w:tcPr>
          <w:p w14:paraId="7B631C59" w14:textId="77777777" w:rsidR="0036311E" w:rsidRDefault="0036311E" w:rsidP="00EC3CE6">
            <w:pPr>
              <w:pStyle w:val="TableSideHeading"/>
              <w:keepLines w:val="0"/>
              <w:rPr>
                <w:rtl/>
              </w:rPr>
            </w:pPr>
            <w:r>
              <w:rPr>
                <w:rFonts w:hint="cs"/>
                <w:rtl/>
              </w:rPr>
              <w:t>הוספת סעיף 4א</w:t>
            </w:r>
          </w:p>
        </w:tc>
        <w:tc>
          <w:tcPr>
            <w:tcW w:w="624" w:type="dxa"/>
          </w:tcPr>
          <w:p w14:paraId="24437832" w14:textId="77777777" w:rsidR="0036311E" w:rsidRDefault="0036311E" w:rsidP="0036311E">
            <w:pPr>
              <w:pStyle w:val="TableText"/>
              <w:keepLines w:val="0"/>
              <w:rPr>
                <w:rtl/>
              </w:rPr>
            </w:pPr>
            <w:r>
              <w:rPr>
                <w:rFonts w:hint="cs"/>
                <w:rtl/>
              </w:rPr>
              <w:t>1.</w:t>
            </w:r>
          </w:p>
        </w:tc>
        <w:tc>
          <w:tcPr>
            <w:tcW w:w="7146" w:type="dxa"/>
            <w:gridSpan w:val="5"/>
          </w:tcPr>
          <w:p w14:paraId="4B66E55D" w14:textId="4E43E0CD" w:rsidR="0036311E" w:rsidRPr="00251B38" w:rsidRDefault="0036311E" w:rsidP="00251B38">
            <w:pPr>
              <w:pStyle w:val="TableBlock"/>
              <w:rPr>
                <w:rtl/>
              </w:rPr>
            </w:pPr>
            <w:r w:rsidRPr="00251B38">
              <w:rPr>
                <w:rtl/>
              </w:rPr>
              <w:t>בחוק-יסוד: השפיטה</w:t>
            </w:r>
            <w:r w:rsidRPr="00251B38">
              <w:rPr>
                <w:vertAlign w:val="superscript"/>
                <w:rtl/>
              </w:rPr>
              <w:footnoteReference w:id="2"/>
            </w:r>
            <w:r w:rsidRPr="00251B38">
              <w:rPr>
                <w:vertAlign w:val="superscript"/>
                <w:rtl/>
              </w:rPr>
              <w:t xml:space="preserve"> </w:t>
            </w:r>
            <w:r w:rsidRPr="00251B38">
              <w:rPr>
                <w:rtl/>
              </w:rPr>
              <w:t xml:space="preserve">(להלן </w:t>
            </w:r>
            <w:r w:rsidRPr="00251B38">
              <w:rPr>
                <w:rFonts w:hint="cs"/>
                <w:rtl/>
              </w:rPr>
              <w:t>–</w:t>
            </w:r>
            <w:r w:rsidRPr="00251B38">
              <w:rPr>
                <w:rtl/>
              </w:rPr>
              <w:t xml:space="preserve"> </w:t>
            </w:r>
            <w:r w:rsidRPr="00251B38">
              <w:rPr>
                <w:rFonts w:hint="cs"/>
                <w:rtl/>
              </w:rPr>
              <w:t>חוק-היסוד</w:t>
            </w:r>
            <w:r w:rsidRPr="00251B38">
              <w:rPr>
                <w:rtl/>
              </w:rPr>
              <w:t xml:space="preserve">), </w:t>
            </w:r>
            <w:r w:rsidRPr="00251B38">
              <w:rPr>
                <w:rFonts w:hint="eastAsia"/>
                <w:rtl/>
              </w:rPr>
              <w:t>אחרי</w:t>
            </w:r>
            <w:r w:rsidRPr="00251B38">
              <w:rPr>
                <w:rtl/>
              </w:rPr>
              <w:t xml:space="preserve"> סעיף 4, יבוא:</w:t>
            </w:r>
          </w:p>
        </w:tc>
      </w:tr>
      <w:tr w:rsidR="0036311E" w14:paraId="5AD8E1E3" w14:textId="77777777" w:rsidTr="00EC3CE6">
        <w:trPr>
          <w:cantSplit/>
          <w:trHeight w:val="60"/>
        </w:trPr>
        <w:tc>
          <w:tcPr>
            <w:tcW w:w="1871" w:type="dxa"/>
          </w:tcPr>
          <w:p w14:paraId="7387FE2F" w14:textId="77777777" w:rsidR="0036311E" w:rsidRDefault="0036311E" w:rsidP="00EC3CE6">
            <w:pPr>
              <w:pStyle w:val="TableSideHeading"/>
              <w:keepLines w:val="0"/>
              <w:rPr>
                <w:rtl/>
              </w:rPr>
            </w:pPr>
          </w:p>
        </w:tc>
        <w:tc>
          <w:tcPr>
            <w:tcW w:w="624" w:type="dxa"/>
          </w:tcPr>
          <w:p w14:paraId="432F36D4" w14:textId="77777777" w:rsidR="0036311E" w:rsidRDefault="0036311E" w:rsidP="00EC3CE6">
            <w:pPr>
              <w:pStyle w:val="TableText"/>
              <w:keepLines w:val="0"/>
              <w:rPr>
                <w:rtl/>
              </w:rPr>
            </w:pPr>
          </w:p>
        </w:tc>
        <w:tc>
          <w:tcPr>
            <w:tcW w:w="1872" w:type="dxa"/>
            <w:gridSpan w:val="3"/>
          </w:tcPr>
          <w:p w14:paraId="05573045" w14:textId="77777777" w:rsidR="0036311E" w:rsidRDefault="0036311E" w:rsidP="00EC3CE6">
            <w:pPr>
              <w:pStyle w:val="TableInnerSideHeading"/>
              <w:rPr>
                <w:rtl/>
              </w:rPr>
            </w:pPr>
            <w:r w:rsidRPr="00A94D2A">
              <w:rPr>
                <w:rFonts w:hint="cs"/>
                <w:sz w:val="26"/>
                <w:rtl/>
              </w:rPr>
              <w:t>"מינוי שופטים לבית המשפט העליון</w:t>
            </w:r>
          </w:p>
        </w:tc>
        <w:tc>
          <w:tcPr>
            <w:tcW w:w="624" w:type="dxa"/>
          </w:tcPr>
          <w:p w14:paraId="7CE384F4" w14:textId="77777777" w:rsidR="0036311E" w:rsidRDefault="0036311E" w:rsidP="00EC3CE6">
            <w:pPr>
              <w:pStyle w:val="TableText"/>
              <w:rPr>
                <w:rtl/>
              </w:rPr>
            </w:pPr>
            <w:r w:rsidRPr="00A94D2A">
              <w:rPr>
                <w:rFonts w:hint="cs"/>
                <w:sz w:val="26"/>
                <w:rtl/>
              </w:rPr>
              <w:t>4א</w:t>
            </w:r>
            <w:r>
              <w:rPr>
                <w:rFonts w:hint="cs"/>
                <w:sz w:val="26"/>
                <w:rtl/>
              </w:rPr>
              <w:t>.</w:t>
            </w:r>
          </w:p>
        </w:tc>
        <w:tc>
          <w:tcPr>
            <w:tcW w:w="4650" w:type="dxa"/>
          </w:tcPr>
          <w:p w14:paraId="3F708631" w14:textId="66CA9716" w:rsidR="0036311E" w:rsidRPr="000A6312" w:rsidRDefault="0036311E" w:rsidP="00EC3CE6">
            <w:pPr>
              <w:pStyle w:val="TableBlock"/>
              <w:rPr>
                <w:rtl/>
              </w:rPr>
            </w:pPr>
            <w:r>
              <w:rPr>
                <w:rFonts w:hint="cs"/>
                <w:rtl/>
              </w:rPr>
              <w:t>(1)</w:t>
            </w:r>
            <w:r w:rsidRPr="000A6312">
              <w:rPr>
                <w:rtl/>
              </w:rPr>
              <w:tab/>
              <w:t>שופט של בית המשפט העליון יתמנה בידי נשיא המדינה לפי בחירת הממשלה ובאישור הכנסת</w:t>
            </w:r>
            <w:r w:rsidR="00251B38" w:rsidRPr="00251B38">
              <w:rPr>
                <w:rFonts w:ascii="David" w:hAnsi="David"/>
                <w:sz w:val="26"/>
              </w:rPr>
              <w:t>;</w:t>
            </w:r>
          </w:p>
        </w:tc>
      </w:tr>
      <w:tr w:rsidR="0036311E" w14:paraId="759B7297" w14:textId="77777777" w:rsidTr="00EC3CE6">
        <w:trPr>
          <w:cantSplit/>
          <w:trHeight w:val="60"/>
        </w:trPr>
        <w:tc>
          <w:tcPr>
            <w:tcW w:w="1871" w:type="dxa"/>
          </w:tcPr>
          <w:p w14:paraId="4D5EA45F" w14:textId="77777777" w:rsidR="0036311E" w:rsidRDefault="0036311E" w:rsidP="00EC3CE6">
            <w:pPr>
              <w:pStyle w:val="TableSideHeading"/>
              <w:rPr>
                <w:rtl/>
              </w:rPr>
            </w:pPr>
          </w:p>
        </w:tc>
        <w:tc>
          <w:tcPr>
            <w:tcW w:w="624" w:type="dxa"/>
          </w:tcPr>
          <w:p w14:paraId="42D4A15C" w14:textId="77777777" w:rsidR="0036311E" w:rsidRDefault="0036311E" w:rsidP="00EC3CE6">
            <w:pPr>
              <w:pStyle w:val="TableText"/>
              <w:rPr>
                <w:rtl/>
              </w:rPr>
            </w:pPr>
          </w:p>
        </w:tc>
        <w:tc>
          <w:tcPr>
            <w:tcW w:w="624" w:type="dxa"/>
          </w:tcPr>
          <w:p w14:paraId="723F1FE2" w14:textId="77777777" w:rsidR="0036311E" w:rsidRDefault="0036311E" w:rsidP="00EC3CE6">
            <w:pPr>
              <w:pStyle w:val="TableText"/>
              <w:rPr>
                <w:rtl/>
              </w:rPr>
            </w:pPr>
          </w:p>
        </w:tc>
        <w:tc>
          <w:tcPr>
            <w:tcW w:w="624" w:type="dxa"/>
          </w:tcPr>
          <w:p w14:paraId="7AB71CA8" w14:textId="77777777" w:rsidR="0036311E" w:rsidRDefault="0036311E" w:rsidP="00EC3CE6">
            <w:pPr>
              <w:pStyle w:val="TableText"/>
              <w:rPr>
                <w:rtl/>
              </w:rPr>
            </w:pPr>
          </w:p>
        </w:tc>
        <w:tc>
          <w:tcPr>
            <w:tcW w:w="624" w:type="dxa"/>
          </w:tcPr>
          <w:p w14:paraId="5DD34719" w14:textId="77777777" w:rsidR="0036311E" w:rsidRDefault="0036311E" w:rsidP="00EC3CE6">
            <w:pPr>
              <w:pStyle w:val="TableText"/>
              <w:rPr>
                <w:rtl/>
              </w:rPr>
            </w:pPr>
          </w:p>
        </w:tc>
        <w:tc>
          <w:tcPr>
            <w:tcW w:w="624" w:type="dxa"/>
          </w:tcPr>
          <w:p w14:paraId="0D5B83D8" w14:textId="77777777" w:rsidR="0036311E" w:rsidRDefault="0036311E" w:rsidP="00EC3CE6">
            <w:pPr>
              <w:pStyle w:val="TableText"/>
              <w:rPr>
                <w:rtl/>
              </w:rPr>
            </w:pPr>
          </w:p>
        </w:tc>
        <w:tc>
          <w:tcPr>
            <w:tcW w:w="4650" w:type="dxa"/>
          </w:tcPr>
          <w:p w14:paraId="0ADDAF51" w14:textId="77777777" w:rsidR="0036311E" w:rsidRPr="000A6312" w:rsidRDefault="0036311E" w:rsidP="00EC3CE6">
            <w:pPr>
              <w:pStyle w:val="TableBlock"/>
              <w:rPr>
                <w:rtl/>
              </w:rPr>
            </w:pPr>
            <w:r>
              <w:rPr>
                <w:rFonts w:hint="cs"/>
                <w:rtl/>
              </w:rPr>
              <w:t>(2)</w:t>
            </w:r>
            <w:r w:rsidRPr="000A6312">
              <w:rPr>
                <w:rtl/>
              </w:rPr>
              <w:tab/>
              <w:t>הכנסת תמנה מבין חבריה ועדה לשימוע שופטים אשר תקיים שימוע לכל מועמד שבחרה הממשלה לתפקיד שופט של בית המשפט העליון ותגיש למליאת הכנסת את המלצותיה לגביו</w:t>
            </w:r>
            <w:r w:rsidRPr="000A6312">
              <w:rPr>
                <w:rFonts w:hint="cs"/>
                <w:rtl/>
              </w:rPr>
              <w:t>;</w:t>
            </w:r>
          </w:p>
        </w:tc>
      </w:tr>
      <w:tr w:rsidR="0036311E" w14:paraId="50B3E78F" w14:textId="77777777" w:rsidTr="00EC3CE6">
        <w:trPr>
          <w:cantSplit/>
          <w:trHeight w:val="60"/>
        </w:trPr>
        <w:tc>
          <w:tcPr>
            <w:tcW w:w="1871" w:type="dxa"/>
          </w:tcPr>
          <w:p w14:paraId="67880596" w14:textId="77777777" w:rsidR="0036311E" w:rsidRDefault="0036311E" w:rsidP="00EC3CE6">
            <w:pPr>
              <w:pStyle w:val="TableSideHeading"/>
              <w:rPr>
                <w:rtl/>
              </w:rPr>
            </w:pPr>
          </w:p>
        </w:tc>
        <w:tc>
          <w:tcPr>
            <w:tcW w:w="624" w:type="dxa"/>
          </w:tcPr>
          <w:p w14:paraId="684B39B6" w14:textId="77777777" w:rsidR="0036311E" w:rsidRDefault="0036311E" w:rsidP="00EC3CE6">
            <w:pPr>
              <w:pStyle w:val="TableText"/>
              <w:rPr>
                <w:rtl/>
              </w:rPr>
            </w:pPr>
          </w:p>
        </w:tc>
        <w:tc>
          <w:tcPr>
            <w:tcW w:w="624" w:type="dxa"/>
          </w:tcPr>
          <w:p w14:paraId="28F1DC60" w14:textId="77777777" w:rsidR="0036311E" w:rsidRDefault="0036311E" w:rsidP="00EC3CE6">
            <w:pPr>
              <w:pStyle w:val="TableText"/>
              <w:rPr>
                <w:rtl/>
              </w:rPr>
            </w:pPr>
          </w:p>
        </w:tc>
        <w:tc>
          <w:tcPr>
            <w:tcW w:w="624" w:type="dxa"/>
          </w:tcPr>
          <w:p w14:paraId="61A01FDF" w14:textId="77777777" w:rsidR="0036311E" w:rsidRDefault="0036311E" w:rsidP="00EC3CE6">
            <w:pPr>
              <w:pStyle w:val="TableText"/>
              <w:rPr>
                <w:rtl/>
              </w:rPr>
            </w:pPr>
          </w:p>
        </w:tc>
        <w:tc>
          <w:tcPr>
            <w:tcW w:w="624" w:type="dxa"/>
          </w:tcPr>
          <w:p w14:paraId="56F39569" w14:textId="77777777" w:rsidR="0036311E" w:rsidRDefault="0036311E" w:rsidP="00EC3CE6">
            <w:pPr>
              <w:pStyle w:val="TableText"/>
              <w:rPr>
                <w:rtl/>
              </w:rPr>
            </w:pPr>
          </w:p>
        </w:tc>
        <w:tc>
          <w:tcPr>
            <w:tcW w:w="624" w:type="dxa"/>
          </w:tcPr>
          <w:p w14:paraId="59B7D075" w14:textId="77777777" w:rsidR="0036311E" w:rsidRDefault="0036311E" w:rsidP="00EC3CE6">
            <w:pPr>
              <w:pStyle w:val="TableText"/>
              <w:rPr>
                <w:rtl/>
              </w:rPr>
            </w:pPr>
          </w:p>
        </w:tc>
        <w:tc>
          <w:tcPr>
            <w:tcW w:w="4650" w:type="dxa"/>
          </w:tcPr>
          <w:p w14:paraId="7BC5073F" w14:textId="77777777" w:rsidR="0036311E" w:rsidRPr="000A6312" w:rsidRDefault="0036311E" w:rsidP="00EC3CE6">
            <w:pPr>
              <w:pStyle w:val="TableBlock"/>
              <w:rPr>
                <w:rtl/>
              </w:rPr>
            </w:pPr>
            <w:r>
              <w:rPr>
                <w:rFonts w:ascii="David" w:eastAsia="Arial" w:hAnsi="David" w:hint="cs"/>
                <w:sz w:val="26"/>
                <w:rtl/>
              </w:rPr>
              <w:t>(3)</w:t>
            </w:r>
            <w:r>
              <w:rPr>
                <w:rFonts w:ascii="David" w:eastAsia="Arial" w:hAnsi="David"/>
                <w:sz w:val="26"/>
                <w:rtl/>
              </w:rPr>
              <w:tab/>
            </w:r>
            <w:r w:rsidRPr="00A94D2A">
              <w:rPr>
                <w:rFonts w:ascii="David" w:eastAsia="Arial" w:hAnsi="David"/>
                <w:sz w:val="26"/>
                <w:rtl/>
              </w:rPr>
              <w:t>מליאת הכנסת, לאחר שהונחו בפניה המלצות הועדה לשימוע שופטים, תקיים הצבעה על אישור מועמד לתפקיד שופט של בית המשפט העליון ובה תאשר או תימנע מלאשר את מינויו</w:t>
            </w:r>
            <w:r>
              <w:rPr>
                <w:rFonts w:ascii="David" w:eastAsia="Arial" w:hAnsi="David" w:hint="cs"/>
                <w:sz w:val="26"/>
                <w:rtl/>
              </w:rPr>
              <w:t>;</w:t>
            </w:r>
          </w:p>
        </w:tc>
      </w:tr>
      <w:tr w:rsidR="0036311E" w14:paraId="30906F35" w14:textId="77777777" w:rsidTr="00EC3CE6">
        <w:trPr>
          <w:cantSplit/>
          <w:trHeight w:val="60"/>
        </w:trPr>
        <w:tc>
          <w:tcPr>
            <w:tcW w:w="1871" w:type="dxa"/>
          </w:tcPr>
          <w:p w14:paraId="20C7338A" w14:textId="77777777" w:rsidR="0036311E" w:rsidRDefault="0036311E" w:rsidP="00EC3CE6">
            <w:pPr>
              <w:pStyle w:val="TableSideHeading"/>
              <w:rPr>
                <w:rtl/>
              </w:rPr>
            </w:pPr>
          </w:p>
        </w:tc>
        <w:tc>
          <w:tcPr>
            <w:tcW w:w="624" w:type="dxa"/>
          </w:tcPr>
          <w:p w14:paraId="1510FFC4" w14:textId="77777777" w:rsidR="0036311E" w:rsidRDefault="0036311E" w:rsidP="00EC3CE6">
            <w:pPr>
              <w:pStyle w:val="TableText"/>
              <w:rPr>
                <w:rtl/>
              </w:rPr>
            </w:pPr>
          </w:p>
        </w:tc>
        <w:tc>
          <w:tcPr>
            <w:tcW w:w="624" w:type="dxa"/>
          </w:tcPr>
          <w:p w14:paraId="4830B262" w14:textId="77777777" w:rsidR="0036311E" w:rsidRDefault="0036311E" w:rsidP="00EC3CE6">
            <w:pPr>
              <w:pStyle w:val="TableText"/>
              <w:rPr>
                <w:rtl/>
              </w:rPr>
            </w:pPr>
          </w:p>
        </w:tc>
        <w:tc>
          <w:tcPr>
            <w:tcW w:w="624" w:type="dxa"/>
          </w:tcPr>
          <w:p w14:paraId="0F382B94" w14:textId="77777777" w:rsidR="0036311E" w:rsidRDefault="0036311E" w:rsidP="00EC3CE6">
            <w:pPr>
              <w:pStyle w:val="TableText"/>
              <w:rPr>
                <w:rtl/>
              </w:rPr>
            </w:pPr>
          </w:p>
        </w:tc>
        <w:tc>
          <w:tcPr>
            <w:tcW w:w="624" w:type="dxa"/>
          </w:tcPr>
          <w:p w14:paraId="78EC754C" w14:textId="77777777" w:rsidR="0036311E" w:rsidRDefault="0036311E" w:rsidP="00EC3CE6">
            <w:pPr>
              <w:pStyle w:val="TableText"/>
              <w:rPr>
                <w:rtl/>
              </w:rPr>
            </w:pPr>
          </w:p>
        </w:tc>
        <w:tc>
          <w:tcPr>
            <w:tcW w:w="624" w:type="dxa"/>
          </w:tcPr>
          <w:p w14:paraId="225CEF14" w14:textId="77777777" w:rsidR="0036311E" w:rsidRDefault="0036311E" w:rsidP="00EC3CE6">
            <w:pPr>
              <w:pStyle w:val="TableText"/>
              <w:rPr>
                <w:rtl/>
              </w:rPr>
            </w:pPr>
          </w:p>
        </w:tc>
        <w:tc>
          <w:tcPr>
            <w:tcW w:w="4650" w:type="dxa"/>
          </w:tcPr>
          <w:p w14:paraId="624C9F84" w14:textId="77777777" w:rsidR="0036311E" w:rsidRPr="00A94D2A" w:rsidRDefault="0036311E" w:rsidP="00EC3CE6">
            <w:pPr>
              <w:pStyle w:val="TableBlock"/>
              <w:rPr>
                <w:rFonts w:ascii="David" w:eastAsia="Arial" w:hAnsi="David"/>
                <w:sz w:val="26"/>
                <w:rtl/>
              </w:rPr>
            </w:pPr>
            <w:r>
              <w:rPr>
                <w:rFonts w:ascii="David" w:eastAsia="Arial" w:hAnsi="David" w:hint="cs"/>
                <w:sz w:val="26"/>
                <w:rtl/>
              </w:rPr>
              <w:t>(4)</w:t>
            </w:r>
            <w:r>
              <w:rPr>
                <w:rFonts w:ascii="David" w:eastAsia="Arial" w:hAnsi="David"/>
                <w:sz w:val="26"/>
                <w:rtl/>
              </w:rPr>
              <w:tab/>
            </w:r>
            <w:r w:rsidRPr="00A94D2A">
              <w:rPr>
                <w:rFonts w:ascii="David" w:eastAsia="Arial" w:hAnsi="David"/>
                <w:sz w:val="26"/>
                <w:rtl/>
              </w:rPr>
              <w:t xml:space="preserve">נשיא וסגן נשיא של בית המשפט העליון יתמנו באותה הדרך שבה מתמנים שופטים של בית המשפט העליון, בין אם כיהנו תחילה כשופטים של בית המשפט העליון </w:t>
            </w:r>
            <w:r w:rsidRPr="00DE22FD">
              <w:rPr>
                <w:rFonts w:ascii="David" w:eastAsia="Arial" w:hAnsi="David"/>
                <w:sz w:val="26"/>
                <w:rtl/>
              </w:rPr>
              <w:t>ובין אם לא</w:t>
            </w:r>
            <w:r>
              <w:rPr>
                <w:rFonts w:ascii="David" w:eastAsia="Arial" w:hAnsi="David" w:hint="cs"/>
                <w:sz w:val="26"/>
                <w:rtl/>
              </w:rPr>
              <w:t>,</w:t>
            </w:r>
            <w:r w:rsidRPr="00A94D2A">
              <w:rPr>
                <w:rFonts w:ascii="David" w:eastAsia="Arial" w:hAnsi="David"/>
                <w:sz w:val="26"/>
                <w:rtl/>
              </w:rPr>
              <w:t xml:space="preserve"> ויכהנו כשופטים של בית המשפט העליון כחלק מתפקידם</w:t>
            </w:r>
            <w:r>
              <w:rPr>
                <w:rFonts w:ascii="David" w:eastAsia="Arial" w:hAnsi="David" w:hint="cs"/>
                <w:sz w:val="26"/>
                <w:rtl/>
              </w:rPr>
              <w:t>;</w:t>
            </w:r>
          </w:p>
        </w:tc>
      </w:tr>
      <w:tr w:rsidR="0036311E" w14:paraId="1CC8404A" w14:textId="77777777" w:rsidTr="00EC3CE6">
        <w:trPr>
          <w:cantSplit/>
          <w:trHeight w:val="60"/>
        </w:trPr>
        <w:tc>
          <w:tcPr>
            <w:tcW w:w="1871" w:type="dxa"/>
          </w:tcPr>
          <w:p w14:paraId="30071F71" w14:textId="77777777" w:rsidR="0036311E" w:rsidRDefault="0036311E" w:rsidP="00EC3CE6">
            <w:pPr>
              <w:pStyle w:val="TableSideHeading"/>
              <w:rPr>
                <w:rtl/>
              </w:rPr>
            </w:pPr>
          </w:p>
        </w:tc>
        <w:tc>
          <w:tcPr>
            <w:tcW w:w="624" w:type="dxa"/>
          </w:tcPr>
          <w:p w14:paraId="1C4E0E11" w14:textId="77777777" w:rsidR="0036311E" w:rsidRDefault="0036311E" w:rsidP="00EC3CE6">
            <w:pPr>
              <w:pStyle w:val="TableText"/>
              <w:rPr>
                <w:rtl/>
              </w:rPr>
            </w:pPr>
          </w:p>
        </w:tc>
        <w:tc>
          <w:tcPr>
            <w:tcW w:w="624" w:type="dxa"/>
          </w:tcPr>
          <w:p w14:paraId="797E57BF" w14:textId="77777777" w:rsidR="0036311E" w:rsidRDefault="0036311E" w:rsidP="00EC3CE6">
            <w:pPr>
              <w:pStyle w:val="TableText"/>
              <w:rPr>
                <w:rtl/>
              </w:rPr>
            </w:pPr>
          </w:p>
        </w:tc>
        <w:tc>
          <w:tcPr>
            <w:tcW w:w="624" w:type="dxa"/>
          </w:tcPr>
          <w:p w14:paraId="7EF935B7" w14:textId="77777777" w:rsidR="0036311E" w:rsidRDefault="0036311E" w:rsidP="00EC3CE6">
            <w:pPr>
              <w:pStyle w:val="TableText"/>
              <w:rPr>
                <w:rtl/>
              </w:rPr>
            </w:pPr>
          </w:p>
        </w:tc>
        <w:tc>
          <w:tcPr>
            <w:tcW w:w="624" w:type="dxa"/>
          </w:tcPr>
          <w:p w14:paraId="398EAD16" w14:textId="77777777" w:rsidR="0036311E" w:rsidRDefault="0036311E" w:rsidP="00EC3CE6">
            <w:pPr>
              <w:pStyle w:val="TableText"/>
              <w:rPr>
                <w:rtl/>
              </w:rPr>
            </w:pPr>
          </w:p>
        </w:tc>
        <w:tc>
          <w:tcPr>
            <w:tcW w:w="624" w:type="dxa"/>
          </w:tcPr>
          <w:p w14:paraId="3192E55B" w14:textId="77777777" w:rsidR="0036311E" w:rsidRDefault="0036311E" w:rsidP="00EC3CE6">
            <w:pPr>
              <w:pStyle w:val="TableText"/>
              <w:rPr>
                <w:rtl/>
              </w:rPr>
            </w:pPr>
          </w:p>
        </w:tc>
        <w:tc>
          <w:tcPr>
            <w:tcW w:w="4650" w:type="dxa"/>
          </w:tcPr>
          <w:p w14:paraId="6B75AF05" w14:textId="77777777" w:rsidR="0036311E" w:rsidRDefault="0036311E" w:rsidP="00EC3CE6">
            <w:pPr>
              <w:pStyle w:val="TableBlock"/>
              <w:rPr>
                <w:rtl/>
              </w:rPr>
            </w:pPr>
            <w:r>
              <w:rPr>
                <w:rFonts w:ascii="David" w:eastAsia="Arial" w:hAnsi="David" w:hint="cs"/>
                <w:sz w:val="26"/>
                <w:rtl/>
              </w:rPr>
              <w:t>(5)</w:t>
            </w:r>
            <w:r>
              <w:rPr>
                <w:rFonts w:ascii="David" w:eastAsia="Arial" w:hAnsi="David"/>
                <w:sz w:val="26"/>
                <w:rtl/>
              </w:rPr>
              <w:tab/>
            </w:r>
            <w:r w:rsidRPr="00A94D2A">
              <w:rPr>
                <w:rFonts w:ascii="David" w:eastAsia="Arial" w:hAnsi="David"/>
                <w:sz w:val="26"/>
                <w:rtl/>
              </w:rPr>
              <w:t xml:space="preserve">הממשלה, הוועדה לשימוע שופטים והכנסת אינם רשאים לאצול את </w:t>
            </w:r>
            <w:r>
              <w:rPr>
                <w:rFonts w:ascii="David" w:eastAsia="Arial" w:hAnsi="David" w:hint="cs"/>
                <w:sz w:val="26"/>
                <w:rtl/>
              </w:rPr>
              <w:t>סמכותם</w:t>
            </w:r>
            <w:r w:rsidRPr="00A94D2A">
              <w:rPr>
                <w:rFonts w:ascii="David" w:eastAsia="Arial" w:hAnsi="David"/>
                <w:sz w:val="26"/>
                <w:rtl/>
              </w:rPr>
              <w:t xml:space="preserve"> לפי סעיף זה לכל גורם אחר</w:t>
            </w:r>
            <w:r w:rsidRPr="00A94D2A">
              <w:rPr>
                <w:rFonts w:ascii="David" w:eastAsia="Arial" w:hAnsi="David" w:hint="cs"/>
                <w:sz w:val="26"/>
                <w:rtl/>
              </w:rPr>
              <w:t>.</w:t>
            </w:r>
            <w:r>
              <w:rPr>
                <w:rFonts w:ascii="David" w:eastAsia="Arial" w:hAnsi="David" w:hint="cs"/>
                <w:sz w:val="26"/>
                <w:rtl/>
              </w:rPr>
              <w:t>"</w:t>
            </w:r>
          </w:p>
        </w:tc>
      </w:tr>
      <w:tr w:rsidR="0036311E" w14:paraId="1EA116BC" w14:textId="77777777" w:rsidTr="00EC3CE6">
        <w:trPr>
          <w:cantSplit/>
          <w:trHeight w:val="60"/>
        </w:trPr>
        <w:tc>
          <w:tcPr>
            <w:tcW w:w="1871" w:type="dxa"/>
          </w:tcPr>
          <w:p w14:paraId="495718E5" w14:textId="2A62730C" w:rsidR="0036311E" w:rsidRDefault="0036311E" w:rsidP="005173F2">
            <w:pPr>
              <w:pStyle w:val="TableSideHeading"/>
              <w:keepLines w:val="0"/>
              <w:rPr>
                <w:rtl/>
              </w:rPr>
            </w:pPr>
            <w:r>
              <w:rPr>
                <w:rFonts w:hint="cs"/>
                <w:rtl/>
              </w:rPr>
              <w:t>תיקון סעיף 7</w:t>
            </w:r>
          </w:p>
        </w:tc>
        <w:tc>
          <w:tcPr>
            <w:tcW w:w="624" w:type="dxa"/>
          </w:tcPr>
          <w:p w14:paraId="2D62E402" w14:textId="77777777" w:rsidR="0036311E" w:rsidRDefault="0036311E" w:rsidP="00EC3CE6">
            <w:pPr>
              <w:pStyle w:val="TableText"/>
              <w:rPr>
                <w:rtl/>
              </w:rPr>
            </w:pPr>
            <w:r>
              <w:rPr>
                <w:rFonts w:hint="cs"/>
                <w:rtl/>
              </w:rPr>
              <w:t>2.</w:t>
            </w:r>
          </w:p>
        </w:tc>
        <w:tc>
          <w:tcPr>
            <w:tcW w:w="7146" w:type="dxa"/>
            <w:gridSpan w:val="5"/>
          </w:tcPr>
          <w:p w14:paraId="45D1D9E6" w14:textId="77777777" w:rsidR="0036311E" w:rsidRPr="00A94D2A" w:rsidRDefault="0036311E" w:rsidP="00EC3CE6">
            <w:pPr>
              <w:pStyle w:val="TableBlock"/>
              <w:keepLines w:val="0"/>
              <w:rPr>
                <w:sz w:val="26"/>
                <w:rtl/>
              </w:rPr>
            </w:pPr>
            <w:r w:rsidRPr="00A94D2A">
              <w:rPr>
                <w:sz w:val="26"/>
                <w:rtl/>
              </w:rPr>
              <w:t xml:space="preserve">בסעיף 7 לחוק </w:t>
            </w:r>
            <w:r>
              <w:rPr>
                <w:rFonts w:hint="cs"/>
                <w:sz w:val="26"/>
                <w:rtl/>
              </w:rPr>
              <w:t>היסוד</w:t>
            </w:r>
            <w:r w:rsidRPr="00A94D2A">
              <w:rPr>
                <w:sz w:val="26"/>
                <w:rtl/>
              </w:rPr>
              <w:t xml:space="preserve"> </w:t>
            </w:r>
            <w:r>
              <w:rPr>
                <w:rFonts w:hint="cs"/>
                <w:sz w:val="26"/>
                <w:rtl/>
              </w:rPr>
              <w:t>–</w:t>
            </w:r>
          </w:p>
        </w:tc>
      </w:tr>
      <w:tr w:rsidR="0036311E" w14:paraId="42A55F8A" w14:textId="77777777" w:rsidTr="00EC3CE6">
        <w:trPr>
          <w:cantSplit/>
          <w:trHeight w:val="60"/>
        </w:trPr>
        <w:tc>
          <w:tcPr>
            <w:tcW w:w="1871" w:type="dxa"/>
          </w:tcPr>
          <w:p w14:paraId="799061B7" w14:textId="77777777" w:rsidR="0036311E" w:rsidRDefault="0036311E" w:rsidP="00EC3CE6">
            <w:pPr>
              <w:pStyle w:val="TableSideHeading"/>
              <w:keepLines w:val="0"/>
              <w:rPr>
                <w:rtl/>
              </w:rPr>
            </w:pPr>
            <w:bookmarkStart w:id="8" w:name="_GoBack"/>
            <w:bookmarkEnd w:id="8"/>
          </w:p>
        </w:tc>
        <w:tc>
          <w:tcPr>
            <w:tcW w:w="624" w:type="dxa"/>
          </w:tcPr>
          <w:p w14:paraId="3301A1F7" w14:textId="77777777" w:rsidR="0036311E" w:rsidRDefault="0036311E" w:rsidP="00EC3CE6">
            <w:pPr>
              <w:pStyle w:val="TableText"/>
              <w:rPr>
                <w:rtl/>
              </w:rPr>
            </w:pPr>
          </w:p>
        </w:tc>
        <w:tc>
          <w:tcPr>
            <w:tcW w:w="7146" w:type="dxa"/>
            <w:gridSpan w:val="5"/>
          </w:tcPr>
          <w:p w14:paraId="60AF5D91" w14:textId="1DE4E21A" w:rsidR="0036311E" w:rsidRPr="000A6312" w:rsidRDefault="00B437AE" w:rsidP="00251B38">
            <w:pPr>
              <w:pStyle w:val="TableBlock"/>
              <w:rPr>
                <w:rtl/>
              </w:rPr>
            </w:pPr>
            <w:r>
              <w:rPr>
                <w:rFonts w:hint="cs"/>
                <w:rtl/>
              </w:rPr>
              <w:t>(1)</w:t>
            </w:r>
            <w:r>
              <w:rPr>
                <w:rtl/>
              </w:rPr>
              <w:tab/>
            </w:r>
            <w:r>
              <w:rPr>
                <w:rFonts w:hint="cs"/>
                <w:rtl/>
              </w:rPr>
              <w:t>בפסקה</w:t>
            </w:r>
            <w:r w:rsidR="0036311E" w:rsidRPr="000A6312">
              <w:rPr>
                <w:rtl/>
              </w:rPr>
              <w:t xml:space="preserve"> (4), </w:t>
            </w:r>
            <w:r w:rsidR="0036311E" w:rsidRPr="000A6312">
              <w:rPr>
                <w:rFonts w:hint="cs"/>
                <w:rtl/>
              </w:rPr>
              <w:t>בסופה</w:t>
            </w:r>
            <w:r w:rsidR="0036311E">
              <w:rPr>
                <w:rtl/>
              </w:rPr>
              <w:t xml:space="preserve"> יבוא</w:t>
            </w:r>
            <w:r w:rsidR="00251B38">
              <w:rPr>
                <w:rFonts w:hint="cs"/>
                <w:rtl/>
              </w:rPr>
              <w:t xml:space="preserve"> </w:t>
            </w:r>
            <w:r w:rsidR="00251B38">
              <w:rPr>
                <w:rtl/>
              </w:rPr>
              <w:t>"ולעניין</w:t>
            </w:r>
            <w:r w:rsidR="00251B38">
              <w:rPr>
                <w:rFonts w:hint="cs"/>
                <w:rtl/>
              </w:rPr>
              <w:t xml:space="preserve"> </w:t>
            </w:r>
            <w:r w:rsidR="00251B38">
              <w:rPr>
                <w:rtl/>
              </w:rPr>
              <w:t>שופט של בית</w:t>
            </w:r>
            <w:r w:rsidR="00251B38">
              <w:rPr>
                <w:rFonts w:hint="cs"/>
                <w:rtl/>
              </w:rPr>
              <w:t xml:space="preserve"> </w:t>
            </w:r>
            <w:r w:rsidR="0036311E" w:rsidRPr="000A6312">
              <w:rPr>
                <w:rtl/>
              </w:rPr>
              <w:t>המשפט העליון גם באישור הכנסת לאחר שימוע שייערך לשופט בפני הו</w:t>
            </w:r>
            <w:r w:rsidR="0036311E" w:rsidRPr="000A6312">
              <w:rPr>
                <w:rFonts w:hint="cs"/>
                <w:rtl/>
              </w:rPr>
              <w:t>ו</w:t>
            </w:r>
            <w:r w:rsidR="0036311E" w:rsidRPr="000A6312">
              <w:rPr>
                <w:rtl/>
              </w:rPr>
              <w:t>עדה לשימוע שופטים;"</w:t>
            </w:r>
          </w:p>
        </w:tc>
      </w:tr>
      <w:tr w:rsidR="0036311E" w14:paraId="176C7A6E" w14:textId="77777777" w:rsidTr="00EC3CE6">
        <w:trPr>
          <w:cantSplit/>
          <w:trHeight w:val="60"/>
        </w:trPr>
        <w:tc>
          <w:tcPr>
            <w:tcW w:w="1871" w:type="dxa"/>
          </w:tcPr>
          <w:p w14:paraId="5D4EFF22" w14:textId="77777777" w:rsidR="0036311E" w:rsidRDefault="0036311E" w:rsidP="00EC3CE6">
            <w:pPr>
              <w:pStyle w:val="TableSideHeading"/>
              <w:rPr>
                <w:rtl/>
              </w:rPr>
            </w:pPr>
          </w:p>
        </w:tc>
        <w:tc>
          <w:tcPr>
            <w:tcW w:w="624" w:type="dxa"/>
          </w:tcPr>
          <w:p w14:paraId="3A9E9890" w14:textId="77777777" w:rsidR="0036311E" w:rsidRDefault="0036311E" w:rsidP="00EC3CE6">
            <w:pPr>
              <w:pStyle w:val="TableText"/>
              <w:rPr>
                <w:rtl/>
              </w:rPr>
            </w:pPr>
          </w:p>
        </w:tc>
        <w:tc>
          <w:tcPr>
            <w:tcW w:w="7146" w:type="dxa"/>
            <w:gridSpan w:val="5"/>
          </w:tcPr>
          <w:p w14:paraId="714FA4A6" w14:textId="0E4A89A6" w:rsidR="0036311E" w:rsidRPr="000A6312" w:rsidRDefault="0036311E" w:rsidP="00251B38">
            <w:pPr>
              <w:pStyle w:val="TableBlock"/>
              <w:rPr>
                <w:rtl/>
              </w:rPr>
            </w:pPr>
            <w:r w:rsidRPr="000A6312">
              <w:rPr>
                <w:rFonts w:hint="cs"/>
                <w:rtl/>
              </w:rPr>
              <w:t>(2)</w:t>
            </w:r>
            <w:r>
              <w:rPr>
                <w:rtl/>
              </w:rPr>
              <w:tab/>
            </w:r>
            <w:r w:rsidRPr="000A6312">
              <w:rPr>
                <w:rFonts w:hint="cs"/>
                <w:rtl/>
              </w:rPr>
              <w:t>בפסקה</w:t>
            </w:r>
            <w:r w:rsidR="00251B38">
              <w:rPr>
                <w:rFonts w:hint="cs"/>
                <w:rtl/>
              </w:rPr>
              <w:t xml:space="preserve"> (</w:t>
            </w:r>
            <w:r w:rsidRPr="000A6312">
              <w:rPr>
                <w:rtl/>
              </w:rPr>
              <w:t xml:space="preserve">5), </w:t>
            </w:r>
            <w:r w:rsidRPr="000A6312">
              <w:rPr>
                <w:rFonts w:hint="cs"/>
                <w:rtl/>
              </w:rPr>
              <w:t>בסופה</w:t>
            </w:r>
            <w:r>
              <w:rPr>
                <w:rtl/>
              </w:rPr>
              <w:t xml:space="preserve"> יבוא </w:t>
            </w:r>
            <w:r w:rsidRPr="000A6312">
              <w:rPr>
                <w:rtl/>
              </w:rPr>
              <w:t>"ולעניין שופט של בית המשפט העליון גם באישור הכנסת לאחר שימוע שייערך לשופט בפני ה</w:t>
            </w:r>
            <w:r w:rsidRPr="000A6312">
              <w:rPr>
                <w:rFonts w:hint="cs"/>
                <w:rtl/>
              </w:rPr>
              <w:t>ו</w:t>
            </w:r>
            <w:r w:rsidRPr="000A6312">
              <w:rPr>
                <w:rtl/>
              </w:rPr>
              <w:t>ועדה לשימוע שופטים;"</w:t>
            </w:r>
          </w:p>
        </w:tc>
      </w:tr>
      <w:tr w:rsidR="0036311E" w14:paraId="763AD162" w14:textId="77777777" w:rsidTr="00EC3CE6">
        <w:trPr>
          <w:cantSplit/>
          <w:trHeight w:val="60"/>
        </w:trPr>
        <w:tc>
          <w:tcPr>
            <w:tcW w:w="1871" w:type="dxa"/>
          </w:tcPr>
          <w:p w14:paraId="37A186D5" w14:textId="77777777" w:rsidR="0036311E" w:rsidRDefault="0036311E" w:rsidP="00EC3CE6">
            <w:pPr>
              <w:pStyle w:val="TableSideHeading"/>
              <w:rPr>
                <w:rtl/>
              </w:rPr>
            </w:pPr>
          </w:p>
        </w:tc>
        <w:tc>
          <w:tcPr>
            <w:tcW w:w="624" w:type="dxa"/>
          </w:tcPr>
          <w:p w14:paraId="4ABE6E0C" w14:textId="77777777" w:rsidR="0036311E" w:rsidRDefault="0036311E" w:rsidP="00EC3CE6">
            <w:pPr>
              <w:pStyle w:val="TableText"/>
              <w:rPr>
                <w:rtl/>
              </w:rPr>
            </w:pPr>
          </w:p>
        </w:tc>
        <w:tc>
          <w:tcPr>
            <w:tcW w:w="7146" w:type="dxa"/>
            <w:gridSpan w:val="5"/>
          </w:tcPr>
          <w:p w14:paraId="0690A5F1" w14:textId="77777777" w:rsidR="0036311E" w:rsidRPr="00A94D2A" w:rsidRDefault="0036311E" w:rsidP="00EC3CE6">
            <w:pPr>
              <w:pStyle w:val="TableBlockOutdent"/>
              <w:rPr>
                <w:sz w:val="26"/>
                <w:rtl/>
              </w:rPr>
            </w:pPr>
            <w:r w:rsidRPr="00A94D2A">
              <w:rPr>
                <w:rFonts w:hint="cs"/>
                <w:sz w:val="26"/>
                <w:rtl/>
              </w:rPr>
              <w:t>(3)</w:t>
            </w:r>
            <w:r>
              <w:rPr>
                <w:sz w:val="26"/>
                <w:rtl/>
              </w:rPr>
              <w:tab/>
            </w:r>
            <w:r>
              <w:rPr>
                <w:rFonts w:hint="cs"/>
                <w:sz w:val="26"/>
                <w:rtl/>
              </w:rPr>
              <w:t xml:space="preserve">בסופו </w:t>
            </w:r>
            <w:r w:rsidRPr="00A94D2A">
              <w:rPr>
                <w:sz w:val="26"/>
                <w:rtl/>
              </w:rPr>
              <w:t xml:space="preserve">יבוא – </w:t>
            </w:r>
          </w:p>
        </w:tc>
      </w:tr>
      <w:tr w:rsidR="0036311E" w14:paraId="1D309D96" w14:textId="77777777" w:rsidTr="00EC3CE6">
        <w:trPr>
          <w:cantSplit/>
          <w:trHeight w:val="60"/>
        </w:trPr>
        <w:tc>
          <w:tcPr>
            <w:tcW w:w="1871" w:type="dxa"/>
          </w:tcPr>
          <w:p w14:paraId="497F9DB4" w14:textId="77777777" w:rsidR="0036311E" w:rsidRDefault="0036311E" w:rsidP="00EC3CE6">
            <w:pPr>
              <w:pStyle w:val="TableSideHeading"/>
            </w:pPr>
          </w:p>
        </w:tc>
        <w:tc>
          <w:tcPr>
            <w:tcW w:w="624" w:type="dxa"/>
          </w:tcPr>
          <w:p w14:paraId="3FD1DB08" w14:textId="77777777" w:rsidR="0036311E" w:rsidRDefault="0036311E" w:rsidP="00EC3CE6">
            <w:pPr>
              <w:pStyle w:val="TableText"/>
            </w:pPr>
          </w:p>
        </w:tc>
        <w:tc>
          <w:tcPr>
            <w:tcW w:w="624" w:type="dxa"/>
          </w:tcPr>
          <w:p w14:paraId="70CC972C" w14:textId="77777777" w:rsidR="0036311E" w:rsidRDefault="0036311E" w:rsidP="00EC3CE6">
            <w:pPr>
              <w:pStyle w:val="TableText"/>
            </w:pPr>
          </w:p>
        </w:tc>
        <w:tc>
          <w:tcPr>
            <w:tcW w:w="6522" w:type="dxa"/>
            <w:gridSpan w:val="4"/>
          </w:tcPr>
          <w:p w14:paraId="73D067F2" w14:textId="77777777" w:rsidR="0036311E" w:rsidRDefault="0036311E" w:rsidP="00EC3CE6">
            <w:pPr>
              <w:pStyle w:val="TableBlockOutdent"/>
              <w:ind w:left="0" w:firstLine="0"/>
            </w:pPr>
            <w:r w:rsidRPr="00A94D2A">
              <w:rPr>
                <w:sz w:val="26"/>
                <w:rtl/>
              </w:rPr>
              <w:t>"(6) לעניין שופט של בית המשפט העליון למעט נשיא של בית המשפט העליון</w:t>
            </w:r>
            <w:r>
              <w:rPr>
                <w:rFonts w:hint="cs"/>
                <w:sz w:val="26"/>
                <w:rtl/>
              </w:rPr>
              <w:t xml:space="preserve"> –</w:t>
            </w:r>
            <w:r w:rsidRPr="00A94D2A">
              <w:rPr>
                <w:sz w:val="26"/>
                <w:rtl/>
              </w:rPr>
              <w:t xml:space="preserve"> בתום שתים עשרה שנים לכהונתו</w:t>
            </w:r>
            <w:r>
              <w:rPr>
                <w:rFonts w:hint="cs"/>
                <w:sz w:val="26"/>
                <w:rtl/>
              </w:rPr>
              <w:t>;</w:t>
            </w:r>
          </w:p>
        </w:tc>
      </w:tr>
      <w:tr w:rsidR="0036311E" w14:paraId="2193CB0B" w14:textId="77777777" w:rsidTr="00EC3CE6">
        <w:trPr>
          <w:cantSplit/>
          <w:trHeight w:val="60"/>
        </w:trPr>
        <w:tc>
          <w:tcPr>
            <w:tcW w:w="1871" w:type="dxa"/>
          </w:tcPr>
          <w:p w14:paraId="6D1A41E8" w14:textId="77777777" w:rsidR="0036311E" w:rsidRDefault="0036311E" w:rsidP="00EC3CE6">
            <w:pPr>
              <w:pStyle w:val="TableSideHeading"/>
            </w:pPr>
          </w:p>
        </w:tc>
        <w:tc>
          <w:tcPr>
            <w:tcW w:w="624" w:type="dxa"/>
          </w:tcPr>
          <w:p w14:paraId="235F46E3" w14:textId="77777777" w:rsidR="0036311E" w:rsidRDefault="0036311E" w:rsidP="00EC3CE6">
            <w:pPr>
              <w:pStyle w:val="TableText"/>
            </w:pPr>
          </w:p>
        </w:tc>
        <w:tc>
          <w:tcPr>
            <w:tcW w:w="624" w:type="dxa"/>
          </w:tcPr>
          <w:p w14:paraId="192F31A2" w14:textId="77777777" w:rsidR="0036311E" w:rsidRDefault="0036311E" w:rsidP="00EC3CE6">
            <w:pPr>
              <w:pStyle w:val="TableText"/>
            </w:pPr>
          </w:p>
        </w:tc>
        <w:tc>
          <w:tcPr>
            <w:tcW w:w="6522" w:type="dxa"/>
            <w:gridSpan w:val="4"/>
          </w:tcPr>
          <w:p w14:paraId="428FCC0C" w14:textId="77777777" w:rsidR="0036311E" w:rsidRDefault="0036311E" w:rsidP="00EC3CE6">
            <w:pPr>
              <w:pStyle w:val="TableBlock"/>
            </w:pPr>
            <w:r w:rsidRPr="00A94D2A">
              <w:rPr>
                <w:sz w:val="26"/>
                <w:rtl/>
              </w:rPr>
              <w:t>(7) לעניין נשיא של בית המשפט העליון – בתום שש שנים לכהונתו כנשיא</w:t>
            </w:r>
            <w:r>
              <w:rPr>
                <w:rFonts w:hint="cs"/>
                <w:sz w:val="26"/>
                <w:rtl/>
              </w:rPr>
              <w:t>.</w:t>
            </w:r>
            <w:r w:rsidRPr="00A94D2A">
              <w:rPr>
                <w:sz w:val="26"/>
                <w:rtl/>
              </w:rPr>
              <w:t>"</w:t>
            </w:r>
          </w:p>
        </w:tc>
      </w:tr>
      <w:tr w:rsidR="0036311E" w14:paraId="331BA4E1" w14:textId="77777777" w:rsidTr="00EC3CE6">
        <w:trPr>
          <w:cantSplit/>
          <w:trHeight w:val="60"/>
        </w:trPr>
        <w:tc>
          <w:tcPr>
            <w:tcW w:w="1871" w:type="dxa"/>
          </w:tcPr>
          <w:p w14:paraId="3DE120F0" w14:textId="77777777" w:rsidR="0036311E" w:rsidRDefault="0036311E" w:rsidP="00EC3CE6">
            <w:pPr>
              <w:pStyle w:val="TableSideHeading"/>
              <w:keepLines w:val="0"/>
              <w:rPr>
                <w:rtl/>
              </w:rPr>
            </w:pPr>
            <w:r>
              <w:rPr>
                <w:rFonts w:hint="cs"/>
                <w:rtl/>
              </w:rPr>
              <w:t>הוראת מעבר</w:t>
            </w:r>
          </w:p>
        </w:tc>
        <w:tc>
          <w:tcPr>
            <w:tcW w:w="624" w:type="dxa"/>
          </w:tcPr>
          <w:p w14:paraId="00B97D05" w14:textId="77777777" w:rsidR="0036311E" w:rsidRDefault="0036311E" w:rsidP="00EC3CE6">
            <w:pPr>
              <w:pStyle w:val="TableText"/>
              <w:keepLines w:val="0"/>
              <w:rPr>
                <w:rtl/>
              </w:rPr>
            </w:pPr>
            <w:r>
              <w:rPr>
                <w:rFonts w:hint="cs"/>
                <w:rtl/>
              </w:rPr>
              <w:t>3.</w:t>
            </w:r>
          </w:p>
        </w:tc>
        <w:tc>
          <w:tcPr>
            <w:tcW w:w="7146" w:type="dxa"/>
            <w:gridSpan w:val="5"/>
          </w:tcPr>
          <w:p w14:paraId="66FDD685" w14:textId="77777777" w:rsidR="0036311E" w:rsidRPr="00A94D2A" w:rsidRDefault="0036311E" w:rsidP="00EC3CE6">
            <w:pPr>
              <w:pStyle w:val="TableBlock"/>
              <w:keepLines w:val="0"/>
              <w:rPr>
                <w:sz w:val="26"/>
                <w:rtl/>
              </w:rPr>
            </w:pPr>
            <w:r w:rsidRPr="00A94D2A">
              <w:rPr>
                <w:rFonts w:ascii="David" w:eastAsia="Arial" w:hAnsi="David"/>
                <w:sz w:val="26"/>
                <w:rtl/>
              </w:rPr>
              <w:t xml:space="preserve">כהונתו של שופט, נשיא או סגן נשיא של בית המשפט העליון המכהן ביום תחילתו של חוק יסוד זה תסתיים בהגיעו לגיל שבעים או בתום שתים עשרה שנים לכהונתו כשופט של בית המשפט העליון, </w:t>
            </w:r>
            <w:r w:rsidRPr="00DE22FD">
              <w:rPr>
                <w:rFonts w:ascii="David" w:eastAsia="Arial" w:hAnsi="David"/>
                <w:sz w:val="26"/>
                <w:rtl/>
              </w:rPr>
              <w:t>לפי המוקדם</w:t>
            </w:r>
            <w:r w:rsidRPr="00062713">
              <w:rPr>
                <w:rFonts w:ascii="David" w:eastAsia="Arial" w:hAnsi="David"/>
                <w:sz w:val="26"/>
                <w:rtl/>
              </w:rPr>
              <w:t>.</w:t>
            </w:r>
          </w:p>
        </w:tc>
      </w:tr>
    </w:tbl>
    <w:p w14:paraId="7F6961CA" w14:textId="77777777" w:rsidR="002D1EE3" w:rsidRDefault="002D1EE3" w:rsidP="002D1EE3">
      <w:pPr>
        <w:pStyle w:val="HeadDivreiHesber"/>
        <w:rPr>
          <w:rtl/>
        </w:rPr>
      </w:pPr>
      <w:r w:rsidRPr="0027450A">
        <w:rPr>
          <w:rFonts w:hint="cs"/>
          <w:rtl/>
        </w:rPr>
        <w:t>דברי הסבר</w:t>
      </w:r>
    </w:p>
    <w:p w14:paraId="00398E53" w14:textId="77777777" w:rsidR="0036311E" w:rsidRPr="00B51A9A" w:rsidRDefault="0036311E" w:rsidP="0036311E">
      <w:pPr>
        <w:pStyle w:val="Hesber"/>
      </w:pPr>
      <w:r w:rsidRPr="00B51A9A">
        <w:rPr>
          <w:rtl/>
        </w:rPr>
        <w:t>מטרתו של חוק יסוד זה היא לשנות את שיטת בחירת השופטים לבית המשפט העליון ולקבוע שיטה המייצגת את ערכי הציבור כמקובל ברובן המכריע של מדינות המערב.</w:t>
      </w:r>
    </w:p>
    <w:p w14:paraId="3B15A519" w14:textId="77777777" w:rsidR="0036311E" w:rsidRDefault="0036311E" w:rsidP="0036311E">
      <w:pPr>
        <w:pStyle w:val="Hesber"/>
        <w:rPr>
          <w:rtl/>
        </w:rPr>
      </w:pPr>
      <w:r w:rsidRPr="005E7DD2">
        <w:rPr>
          <w:rtl/>
        </w:rPr>
        <w:t xml:space="preserve">בית המשפט העליון אמון על הכרעות ערכיות ועקרוניות, המהוות תקדימים מחייבים לכלל מערכת המשפט. פסיקותיו אינן מוגבלות לבירור עובדות או ליישום טכני של כללים משפטיים ברורים אלא שותפות בבניית התשתית הערכית העקרונית של המשפט בישראל. מלאכה זו מתאפיינת לעיתים קרובות באיזון בין ערכים, אשר אין דרך מקצועית להכריע </w:t>
      </w:r>
      <w:r w:rsidRPr="00DE22FD">
        <w:rPr>
          <w:rtl/>
        </w:rPr>
        <w:t xml:space="preserve">בה אלא לפי ערכיו ואמונותיו של השופט. </w:t>
      </w:r>
    </w:p>
    <w:p w14:paraId="486B8A99" w14:textId="77777777" w:rsidR="0036311E" w:rsidRPr="00DE22FD" w:rsidRDefault="0036311E" w:rsidP="0036311E">
      <w:pPr>
        <w:pStyle w:val="Hesber"/>
      </w:pPr>
      <w:r w:rsidRPr="005E7DD2">
        <w:rPr>
          <w:rtl/>
        </w:rPr>
        <w:t xml:space="preserve">אין כל פסול באופיו זה של השיפוט בבית המשפט העליון, שהרי הכרעות ערכיות זקוקות לדיון ערכי </w:t>
      </w:r>
      <w:r w:rsidRPr="005E7DD2">
        <w:rPr>
          <w:rtl/>
        </w:rPr>
        <w:lastRenderedPageBreak/>
        <w:t>ואינן יכולות להיגזר אך ורק מטכניקה משפטית מקצועית. אולם לצד ההכרה בלגיטימיות האופי הערכי של הכרעות בית המשפט העליון, יש לתת את הדעת לשאלה אלו עולמות ערכיים צריכים להתבטא בבית משפט זה. מעקרון ריבונות העם, נשמת אפה של הדמוקרטיה, נגזר כי ערכיו של הציבור הם הערכים שצריכים להוביל גם את הרשות השופטת. עם זאת, חובה לשמור מכל משמר על עצמאות הרשות השופטת ולכן אין לגרום להתנהלות פוליטית של בית המשפט בהתאם האינטרסים של המפלגות השונות, אלא לפעול ל</w:t>
      </w:r>
      <w:r w:rsidRPr="00DE22FD">
        <w:rPr>
          <w:rtl/>
        </w:rPr>
        <w:t>שיקוף פסיפס עולם הערכים הקיים בציבור בתוך עולם ערכיה של מערכת המשפט. על מערכת המשפט לבטא פוליטיקה של ערכים ולא פוליטיקה של אינטרסים.</w:t>
      </w:r>
    </w:p>
    <w:p w14:paraId="60B0E1A0" w14:textId="77777777" w:rsidR="0036311E" w:rsidRPr="00DE22FD" w:rsidRDefault="0036311E" w:rsidP="0036311E">
      <w:pPr>
        <w:pStyle w:val="Hesber"/>
      </w:pPr>
      <w:r w:rsidRPr="00DE22FD">
        <w:rPr>
          <w:rtl/>
        </w:rPr>
        <w:t>לאור עקרונות אלו, המודל המקובל בעולם המערבי הוא של בחירת שופטים לערכאת השיפוט העליונה בידי נבחרי הציבור. כך למשל, בארצות הברית מתמנים שופטי בית המשפט העליון בידי הנשיא ובאישור הסנאט; ביפן הבחירה נשלטת בידי הממשלה בכפוף למנגנון אשרור במשאל עם; ובגרמניה שופטי בית המשפט לחוקה מתמנים אך ורק בידי הרשות המחוקקת על שני בתיה.</w:t>
      </w:r>
    </w:p>
    <w:p w14:paraId="7CCCB35A" w14:textId="77777777" w:rsidR="0036311E" w:rsidRPr="00DE22FD" w:rsidRDefault="0036311E" w:rsidP="0036311E">
      <w:pPr>
        <w:pStyle w:val="Hesber"/>
      </w:pPr>
      <w:r w:rsidRPr="00DE22FD">
        <w:rPr>
          <w:rtl/>
        </w:rPr>
        <w:t>הצעת חוק יסוד זו מבקשת לאמץ את הנורמה המקובלת בעולם לפיה שופטי בית המשפט העליון נבחרים בידי נבחרי ציבור ובכך משקפים את עולמותיו הערכיים של הציבור. מבין החלופות השונות הצעת חוק זו נוקטת במודל דומה לזה המקובל בארצות הברית, שבו נבחרים השופטים בידי הרשות המבצעת, ולאחר מכן על הבחירה לקבל את אישור הרשות המחוקקת, לאחר שימוע שנעשה למועמד בוועדה פרלמנטרית. לרשות המבצעת יתרון ביכולת הביצוע למיין מועמדים ולהציע את השופטים האיכותיים ביותר ואילו מעורבותה של הרשות המחוקקת נדרשת מכיוון שרשות זו מביאה לידי ביטוי מיטבי את ייצוגם הערכי של כל המגזרים בחברה ולא רק את אלה השותפים בממשלה.</w:t>
      </w:r>
    </w:p>
    <w:p w14:paraId="54098A0A" w14:textId="32BBD3EF" w:rsidR="0036311E" w:rsidRDefault="0036311E" w:rsidP="0036311E">
      <w:pPr>
        <w:pStyle w:val="Hesber"/>
        <w:rPr>
          <w:rtl/>
        </w:rPr>
      </w:pPr>
      <w:r w:rsidRPr="00DE22FD">
        <w:rPr>
          <w:rtl/>
        </w:rPr>
        <w:t>בדומה למודל הגרמני מוצע כי שופטי בית המשפט העליון ייבחרו לכהונה בת שתיים עשרה שנים. כך מתאפשר לשופטים מצד אחד לצבור ניסיון ומקצועיות ולהטביע חותם משמעותי, ומצד שני, בהיעדר תקופות כהונה ארוכות מדי, מובטח המשך הזיקה בין ערכי הציבור לבין עולמם הערכי של שופטי בית המשפט העליון. בנוסף, קציבת הכהונה תקל על שילובם של שופטים צעירים בבית המשפט העליון שכיום שילובם נמנע לא פעם מחשש מתקופת כהונה ארוכה מדי או מהכרעה מוקדמת מדי אודות התאמתם לתפקיד נשיא בית המשפט העליון. מאותן סיבות מוצע גם לקצוב את כהונתו של נשיא בית המשפט העליון לשש שנים ומאידך לאפשר לו להשלים תקופת כהונה זו גם אם חלפו שתיים עשרה שנים מיום מינויו כשופט בבית המשפט העליון.</w:t>
      </w:r>
    </w:p>
    <w:p w14:paraId="64B2999C" w14:textId="64AAA002" w:rsidR="0036311E" w:rsidRDefault="0036311E" w:rsidP="0036311E">
      <w:pPr>
        <w:pStyle w:val="Hesber"/>
        <w:rPr>
          <w:rtl/>
        </w:rPr>
      </w:pPr>
      <w:r>
        <w:rPr>
          <w:rFonts w:hint="cs"/>
          <w:rtl/>
        </w:rPr>
        <w:t>הצעת חוק זהה הונחה</w:t>
      </w:r>
      <w:r w:rsidR="00F40ECF">
        <w:rPr>
          <w:rFonts w:hint="cs"/>
          <w:rtl/>
        </w:rPr>
        <w:t xml:space="preserve"> על שולחן הכנסת העשרים ושלוש על ידי חבר הכנסת</w:t>
      </w:r>
      <w:r>
        <w:rPr>
          <w:rFonts w:hint="cs"/>
          <w:rtl/>
        </w:rPr>
        <w:t xml:space="preserve"> עמית הלוי וקבוצת חברי </w:t>
      </w:r>
      <w:r w:rsidR="00251B38">
        <w:rPr>
          <w:rFonts w:hint="cs"/>
          <w:rtl/>
        </w:rPr>
        <w:t>הכנסת (פ/2342/24)</w:t>
      </w:r>
      <w:r w:rsidR="00670675">
        <w:rPr>
          <w:rFonts w:hint="cs"/>
          <w:rtl/>
        </w:rPr>
        <w:t>.</w:t>
      </w:r>
    </w:p>
    <w:p w14:paraId="092C81C6" w14:textId="13E2BB46" w:rsidR="00251B38" w:rsidRPr="00DE22FD" w:rsidRDefault="00251B38" w:rsidP="0036311E">
      <w:pPr>
        <w:pStyle w:val="Hesber"/>
      </w:pPr>
      <w:r>
        <w:rPr>
          <w:rFonts w:hint="cs"/>
          <w:rtl/>
        </w:rPr>
        <w:t xml:space="preserve">הצעת חוק זהה לפ/2342/24 ולפיכך לא נבדקה מחדש על ידי הלשכה המשפטית. </w:t>
      </w:r>
    </w:p>
    <w:p w14:paraId="7F6961CB" w14:textId="77777777" w:rsidR="00E13C27" w:rsidRPr="0036311E" w:rsidRDefault="00E13C27" w:rsidP="00E13C27">
      <w:pPr>
        <w:pStyle w:val="Hesber"/>
        <w:rPr>
          <w:rtl/>
        </w:rPr>
      </w:pPr>
    </w:p>
    <w:p w14:paraId="03B3D051" w14:textId="77777777" w:rsidR="004B0F3C" w:rsidRDefault="00F40ECF">
      <w:pPr>
        <w:spacing w:before="0" w:line="360" w:lineRule="auto"/>
        <w:jc w:val="left"/>
      </w:pPr>
      <w:bookmarkStart w:id="9" w:name="selectedDocDateB"/>
      <w:bookmarkEnd w:id="9"/>
      <w:r>
        <w:rPr>
          <w:rFonts w:ascii="David" w:eastAsia="David" w:hAnsi="David" w:cs="David" w:hint="cs"/>
          <w:sz w:val="26"/>
          <w:szCs w:val="26"/>
          <w:rtl/>
        </w:rPr>
        <w:t>--------------------------------</w:t>
      </w:r>
    </w:p>
    <w:p w14:paraId="244B60E9" w14:textId="77777777" w:rsidR="004B0F3C" w:rsidRDefault="00F40ECF">
      <w:pPr>
        <w:spacing w:before="0" w:line="360" w:lineRule="auto"/>
        <w:jc w:val="left"/>
      </w:pPr>
      <w:r>
        <w:rPr>
          <w:rFonts w:ascii="David" w:eastAsia="David" w:hAnsi="David" w:cs="David" w:hint="cs"/>
          <w:sz w:val="26"/>
          <w:szCs w:val="26"/>
          <w:rtl/>
        </w:rPr>
        <w:t>הוגשה ליו"ר הכנסת והסגנים</w:t>
      </w:r>
    </w:p>
    <w:p w14:paraId="7AD187EF" w14:textId="77777777" w:rsidR="004B0F3C" w:rsidRDefault="00F40ECF">
      <w:pPr>
        <w:spacing w:before="0" w:line="360" w:lineRule="auto"/>
        <w:jc w:val="left"/>
      </w:pPr>
      <w:r>
        <w:rPr>
          <w:rFonts w:ascii="David" w:eastAsia="David" w:hAnsi="David" w:cs="David" w:hint="cs"/>
          <w:sz w:val="26"/>
          <w:szCs w:val="26"/>
          <w:rtl/>
        </w:rPr>
        <w:t>והונחה על שולחן הכנסת ביום</w:t>
      </w:r>
    </w:p>
    <w:p w14:paraId="5358CBFE" w14:textId="77777777" w:rsidR="004B0F3C" w:rsidRDefault="00F40ECF">
      <w:pPr>
        <w:spacing w:before="0" w:line="360" w:lineRule="auto"/>
        <w:jc w:val="left"/>
      </w:pPr>
      <w:r>
        <w:rPr>
          <w:rFonts w:ascii="David" w:eastAsia="David" w:hAnsi="David" w:cs="David" w:hint="cs"/>
          <w:sz w:val="26"/>
          <w:szCs w:val="26"/>
          <w:rtl/>
        </w:rPr>
        <w:t xml:space="preserve">י"ב בחשוון התשפ"ב (18.10.2021) </w:t>
      </w:r>
    </w:p>
    <w:p w14:paraId="21A9A1E0" w14:textId="77777777" w:rsidR="004B0F3C" w:rsidRDefault="004B0F3C">
      <w:pPr>
        <w:spacing w:before="0" w:line="276" w:lineRule="auto"/>
        <w:jc w:val="left"/>
      </w:pPr>
    </w:p>
    <w:sectPr w:rsidR="004B0F3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1565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69114A5" w14:textId="77777777" w:rsidR="0036311E" w:rsidRDefault="0036311E" w:rsidP="0036311E">
      <w:pPr>
        <w:pStyle w:val="a4"/>
      </w:pPr>
      <w:r>
        <w:rPr>
          <w:rStyle w:val="a5"/>
        </w:rPr>
        <w:footnoteRef/>
      </w:r>
      <w:r>
        <w:rPr>
          <w:rtl/>
        </w:rPr>
        <w:t xml:space="preserve"> </w:t>
      </w:r>
      <w:r>
        <w:rPr>
          <w:rFonts w:hint="cs"/>
          <w:rtl/>
        </w:rPr>
        <w:t>ס"ח התשמ"ד, עמ'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B38"/>
    <w:rsid w:val="00251E58"/>
    <w:rsid w:val="00254605"/>
    <w:rsid w:val="00266D86"/>
    <w:rsid w:val="002728B4"/>
    <w:rsid w:val="0027600C"/>
    <w:rsid w:val="00292712"/>
    <w:rsid w:val="002A487D"/>
    <w:rsid w:val="002C2E29"/>
    <w:rsid w:val="002C3041"/>
    <w:rsid w:val="002D1EE3"/>
    <w:rsid w:val="002F1D80"/>
    <w:rsid w:val="003232A2"/>
    <w:rsid w:val="00325C14"/>
    <w:rsid w:val="0036311E"/>
    <w:rsid w:val="0036422C"/>
    <w:rsid w:val="003710F6"/>
    <w:rsid w:val="00386E88"/>
    <w:rsid w:val="00396585"/>
    <w:rsid w:val="003D6E38"/>
    <w:rsid w:val="003D74A0"/>
    <w:rsid w:val="004033D8"/>
    <w:rsid w:val="004073F0"/>
    <w:rsid w:val="00412A7D"/>
    <w:rsid w:val="00416B4D"/>
    <w:rsid w:val="00417CFC"/>
    <w:rsid w:val="00460A7C"/>
    <w:rsid w:val="004A06DC"/>
    <w:rsid w:val="004B0F3C"/>
    <w:rsid w:val="004B24ED"/>
    <w:rsid w:val="004B6625"/>
    <w:rsid w:val="004D2D82"/>
    <w:rsid w:val="004D3876"/>
    <w:rsid w:val="004E4552"/>
    <w:rsid w:val="004E6CDF"/>
    <w:rsid w:val="005173F2"/>
    <w:rsid w:val="00553C9D"/>
    <w:rsid w:val="00562A66"/>
    <w:rsid w:val="005B064E"/>
    <w:rsid w:val="005D51AE"/>
    <w:rsid w:val="0062674B"/>
    <w:rsid w:val="006363B2"/>
    <w:rsid w:val="00644940"/>
    <w:rsid w:val="00670675"/>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1565A"/>
    <w:rsid w:val="00A26BD6"/>
    <w:rsid w:val="00A443CF"/>
    <w:rsid w:val="00A6611D"/>
    <w:rsid w:val="00A82CB7"/>
    <w:rsid w:val="00A942C1"/>
    <w:rsid w:val="00AA2F03"/>
    <w:rsid w:val="00AC36F7"/>
    <w:rsid w:val="00AC63A4"/>
    <w:rsid w:val="00AD239E"/>
    <w:rsid w:val="00B10265"/>
    <w:rsid w:val="00B16A99"/>
    <w:rsid w:val="00B21211"/>
    <w:rsid w:val="00B35784"/>
    <w:rsid w:val="00B437AE"/>
    <w:rsid w:val="00B733A7"/>
    <w:rsid w:val="00B75C91"/>
    <w:rsid w:val="00B975AD"/>
    <w:rsid w:val="00BA5834"/>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40EC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AB7021B-6658-4447-AC1D-5D463FB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78C1-B783-45A0-9A49-247251D6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90d5b49-c690-4c6f-bbb9-1e50dab33eee"/>
    <ds:schemaRef ds:uri="http://www.w3.org/XML/1998/namespace"/>
    <ds:schemaRef ds:uri="http://purl.org/dc/dcmitype/"/>
  </ds:schemaRefs>
</ds:datastoreItem>
</file>

<file path=customXml/itemProps4.xml><?xml version="1.0" encoding="utf-8"?>
<ds:datastoreItem xmlns:ds="http://schemas.openxmlformats.org/officeDocument/2006/customXml" ds:itemID="{F070D61E-7D01-410C-8B10-30FA76A3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746</Words>
  <Characters>4256</Characters>
  <Application>Microsoft Office Word</Application>
  <DocSecurity>0</DocSecurity>
  <Lines>35</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11</cp:revision>
  <cp:lastPrinted>2021-10-14T09:00:00Z</cp:lastPrinted>
  <dcterms:created xsi:type="dcterms:W3CDTF">2015-04-20T09:58:00Z</dcterms:created>
  <dcterms:modified xsi:type="dcterms:W3CDTF">2021-10-14T09:03:00Z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2159877</vt:r8>
  </property>
</Properties>
</file>