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2162440</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יוזמת:</w:t>
      </w:r>
      <w:r>
        <w:tab/>
      </w:r>
      <w:r>
        <w:rPr>
          <w:b/>
          <w:bCs/>
          <w:rtl/>
        </w:rPr>
        <w:t xml:space="preserve">      חברת הכנסת</w:t>
      </w:r>
      <w:bookmarkEnd w:id="2"/>
      <w:r w:rsidR="00B35784" w:rsidRPr="00F67051">
        <w:rPr>
          <w:b/>
          <w:bCs/>
        </w:rPr>
        <w:tab/>
      </w:r>
      <w:bookmarkStart w:id="3" w:name="LGS_PM_Names"/>
      <w:r>
        <w:rPr>
          <w:rFonts w:hint="cs"/>
          <w:b/>
          <w:bCs/>
          <w:rtl/>
        </w:rPr>
        <w:t>נעמה לזימי</w:t>
      </w:r>
      <w:bookmarkEnd w:id="3"/>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57439462" w:rsidR="00E13C27" w:rsidRPr="00E06736" w:rsidRDefault="00904591" w:rsidP="00C82D65">
      <w:pPr>
        <w:pStyle w:val="David"/>
        <w:spacing w:before="0" w:line="240" w:lineRule="auto"/>
        <w:ind w:left="3544"/>
        <w:rPr>
          <w:rtl/>
        </w:rPr>
      </w:pPr>
      <w:r>
        <w:t xml:space="preserve"> </w:t>
      </w:r>
      <w:bookmarkStart w:id="4" w:name="Private_Number"/>
      <w:r w:rsidR="00C82D65">
        <w:rPr>
          <w:rtl/>
        </w:rPr>
        <w:tab/>
      </w:r>
      <w:r w:rsidR="00C82D65">
        <w:rPr>
          <w:rtl/>
        </w:rPr>
        <w:tab/>
      </w:r>
      <w:r w:rsidR="00C82D65">
        <w:rPr>
          <w:rtl/>
        </w:rPr>
        <w:tab/>
      </w:r>
      <w:r w:rsidR="00C82D65">
        <w:rPr>
          <w:rtl/>
        </w:rPr>
        <w:tab/>
      </w:r>
      <w:r>
        <w:rPr>
          <w:rFonts w:hint="cs"/>
          <w:rtl/>
        </w:rPr>
        <w:t>פ/2279/24</w:t>
      </w:r>
      <w:bookmarkEnd w:id="4"/>
    </w:p>
    <w:p w14:paraId="7F6961AD" w14:textId="7F987FDB" w:rsidR="00E13C27" w:rsidRPr="00F67051" w:rsidRDefault="00A443CF" w:rsidP="008A6EDE">
      <w:pPr>
        <w:pStyle w:val="HeadHatzaotHok"/>
        <w:rPr>
          <w:rtl/>
        </w:rPr>
      </w:pPr>
      <w:bookmarkStart w:id="5" w:name="LGS_Subject"/>
      <w:r>
        <w:rPr>
          <w:rFonts w:hint="cs"/>
          <w:rtl/>
        </w:rPr>
        <w:t xml:space="preserve">הצעת חוק דמי מחלה (תיקון – חישוב היעדרות לחולים במחלה קשה), </w:t>
      </w:r>
      <w:proofErr w:type="spellStart"/>
      <w:r>
        <w:rPr>
          <w:rFonts w:hint="cs"/>
          <w:rtl/>
        </w:rPr>
        <w:t>התשפ"ב</w:t>
      </w:r>
      <w:proofErr w:type="spellEnd"/>
      <w:r w:rsidR="008A6EDE">
        <w:rPr>
          <w:rFonts w:hint="eastAsia"/>
          <w:rtl/>
        </w:rPr>
        <w:t>–</w:t>
      </w:r>
      <w:r>
        <w:rPr>
          <w:rFonts w:hint="cs"/>
          <w:rtl/>
        </w:rPr>
        <w:t>2021</w:t>
      </w:r>
      <w:bookmarkEnd w:id="5"/>
    </w:p>
    <w:p w14:paraId="7F6961AE" w14:textId="77777777" w:rsidR="00E13C27" w:rsidRDefault="00E13C27" w:rsidP="0021633A">
      <w:pPr>
        <w:pStyle w:val="HeadDivreiHesber"/>
        <w:spacing w:before="0" w:after="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CD706E" w:rsidRPr="00C82D65" w14:paraId="035EEF3D" w14:textId="77777777" w:rsidTr="002C3041">
        <w:trPr>
          <w:cantSplit/>
          <w:trHeight w:val="60"/>
        </w:trPr>
        <w:tc>
          <w:tcPr>
            <w:tcW w:w="1871" w:type="dxa"/>
          </w:tcPr>
          <w:p w14:paraId="3863FF98" w14:textId="41AF9D6D" w:rsidR="00CD706E" w:rsidRPr="00C82D65" w:rsidRDefault="00CD706E" w:rsidP="00CD706E">
            <w:pPr>
              <w:pStyle w:val="TableSideHeading"/>
              <w:keepLines w:val="0"/>
              <w:rPr>
                <w:sz w:val="26"/>
              </w:rPr>
            </w:pPr>
            <w:r w:rsidRPr="00C82D65">
              <w:rPr>
                <w:rFonts w:hint="cs"/>
                <w:sz w:val="26"/>
                <w:rtl/>
              </w:rPr>
              <w:t>תיקון סעיף 2</w:t>
            </w:r>
          </w:p>
        </w:tc>
        <w:tc>
          <w:tcPr>
            <w:tcW w:w="624" w:type="dxa"/>
          </w:tcPr>
          <w:p w14:paraId="6F513EF6" w14:textId="69BA8F41" w:rsidR="00CD706E" w:rsidRPr="00C82D65" w:rsidRDefault="00CD706E" w:rsidP="00CD706E">
            <w:pPr>
              <w:pStyle w:val="TableText"/>
              <w:keepLines w:val="0"/>
              <w:rPr>
                <w:sz w:val="26"/>
              </w:rPr>
            </w:pPr>
            <w:r w:rsidRPr="00C82D65">
              <w:rPr>
                <w:rFonts w:hint="cs"/>
                <w:sz w:val="26"/>
                <w:rtl/>
              </w:rPr>
              <w:t>1.</w:t>
            </w:r>
          </w:p>
        </w:tc>
        <w:tc>
          <w:tcPr>
            <w:tcW w:w="7146" w:type="dxa"/>
          </w:tcPr>
          <w:p w14:paraId="1AE94DEB" w14:textId="37F12E29" w:rsidR="00CD706E" w:rsidRPr="00C82D65" w:rsidRDefault="00CD706E" w:rsidP="00C82D65">
            <w:pPr>
              <w:pStyle w:val="TableBlock"/>
              <w:rPr>
                <w:b/>
                <w:bCs/>
                <w:sz w:val="26"/>
              </w:rPr>
            </w:pPr>
            <w:r w:rsidRPr="00C82D65">
              <w:rPr>
                <w:rFonts w:hint="cs"/>
                <w:sz w:val="26"/>
                <w:rtl/>
              </w:rPr>
              <w:t xml:space="preserve">בחוק דמי מחלה, </w:t>
            </w:r>
            <w:proofErr w:type="spellStart"/>
            <w:r w:rsidRPr="00C82D65">
              <w:rPr>
                <w:rFonts w:hint="cs"/>
                <w:sz w:val="26"/>
                <w:rtl/>
              </w:rPr>
              <w:t>התשל</w:t>
            </w:r>
            <w:proofErr w:type="spellEnd"/>
            <w:r w:rsidRPr="00C82D65">
              <w:rPr>
                <w:rFonts w:hint="cs"/>
                <w:sz w:val="26"/>
                <w:rtl/>
              </w:rPr>
              <w:t>''ו</w:t>
            </w:r>
            <w:r w:rsidRPr="00C82D65">
              <w:rPr>
                <w:rFonts w:hint="eastAsia"/>
                <w:sz w:val="26"/>
                <w:rtl/>
              </w:rPr>
              <w:t>–</w:t>
            </w:r>
            <w:r w:rsidRPr="00C82D65">
              <w:rPr>
                <w:rFonts w:hint="cs"/>
                <w:sz w:val="26"/>
                <w:rtl/>
              </w:rPr>
              <w:t>1976</w:t>
            </w:r>
            <w:r w:rsidRPr="00C82D65">
              <w:rPr>
                <w:rStyle w:val="a5"/>
                <w:rFonts w:ascii="David" w:hAnsi="David"/>
                <w:sz w:val="26"/>
                <w:rtl/>
              </w:rPr>
              <w:footnoteReference w:id="2"/>
            </w:r>
            <w:r w:rsidRPr="00C82D65">
              <w:rPr>
                <w:rFonts w:hint="cs"/>
                <w:sz w:val="26"/>
                <w:rtl/>
              </w:rPr>
              <w:t xml:space="preserve">, בסעיף 2, אחרי סעיף קטן (א) יבוא: </w:t>
            </w:r>
          </w:p>
        </w:tc>
      </w:tr>
      <w:tr w:rsidR="00CD706E" w:rsidRPr="00C82D65" w14:paraId="3D9B61D1" w14:textId="77777777" w:rsidTr="002C3041">
        <w:trPr>
          <w:cantSplit/>
          <w:trHeight w:val="60"/>
        </w:trPr>
        <w:tc>
          <w:tcPr>
            <w:tcW w:w="1871" w:type="dxa"/>
          </w:tcPr>
          <w:p w14:paraId="6C0CB9D8" w14:textId="77777777" w:rsidR="00CD706E" w:rsidRPr="00C82D65" w:rsidRDefault="00CD706E" w:rsidP="00CD706E">
            <w:pPr>
              <w:pStyle w:val="TableSideHeading"/>
              <w:keepLines w:val="0"/>
              <w:rPr>
                <w:sz w:val="26"/>
              </w:rPr>
            </w:pPr>
          </w:p>
        </w:tc>
        <w:tc>
          <w:tcPr>
            <w:tcW w:w="624" w:type="dxa"/>
          </w:tcPr>
          <w:p w14:paraId="3F4286A2" w14:textId="77777777" w:rsidR="00CD706E" w:rsidRPr="00C82D65" w:rsidRDefault="00CD706E" w:rsidP="00CD706E">
            <w:pPr>
              <w:pStyle w:val="TableText"/>
              <w:keepLines w:val="0"/>
              <w:rPr>
                <w:sz w:val="26"/>
              </w:rPr>
            </w:pPr>
          </w:p>
        </w:tc>
        <w:tc>
          <w:tcPr>
            <w:tcW w:w="7146" w:type="dxa"/>
          </w:tcPr>
          <w:p w14:paraId="7633D5BB" w14:textId="7B12E66C" w:rsidR="00CD706E" w:rsidRPr="00C82D65" w:rsidRDefault="00CD706E" w:rsidP="00C82D65">
            <w:pPr>
              <w:pStyle w:val="TableBlock"/>
              <w:keepLines w:val="0"/>
              <w:rPr>
                <w:sz w:val="26"/>
              </w:rPr>
            </w:pPr>
            <w:r w:rsidRPr="00C82D65">
              <w:rPr>
                <w:rFonts w:hint="cs"/>
                <w:sz w:val="26"/>
                <w:rtl/>
              </w:rPr>
              <w:t>"(א1)</w:t>
            </w:r>
            <w:r w:rsidR="00C82D65">
              <w:rPr>
                <w:sz w:val="26"/>
                <w:rtl/>
              </w:rPr>
              <w:tab/>
            </w:r>
            <w:r w:rsidRPr="00C82D65">
              <w:rPr>
                <w:rFonts w:hint="cs"/>
                <w:sz w:val="26"/>
                <w:rtl/>
              </w:rPr>
              <w:t xml:space="preserve">על אף האמור בסעיף קטן (א), עובד שעקב מחלה קשה שחלה בה נעדר מעבודתו לצורך טיפול תקופתי, לרבות בדיקות תקופתיות, יהיה זכאי לקבל ממעסיקו תשלום דמי מחלה החל מהיום הראשון להיעדרו, ובכלל זה מחלקו, בכפיפות לתקופת הזכאות המקסימלית כאמור בסעיף 4; לעניין סעיף קטן זה, "מחלה קשה" </w:t>
            </w:r>
            <w:r w:rsidRPr="00C82D65">
              <w:rPr>
                <w:rFonts w:hint="eastAsia"/>
                <w:sz w:val="26"/>
                <w:rtl/>
              </w:rPr>
              <w:t>–</w:t>
            </w:r>
            <w:r w:rsidRPr="00C82D65">
              <w:rPr>
                <w:rFonts w:hint="cs"/>
                <w:sz w:val="26"/>
                <w:rtl/>
              </w:rPr>
              <w:t xml:space="preserve"> מחלה ממארת או מחלה אחרת המחייבת טיפול תקופתי, לרבות בדיקות תקופתיות, שקבע שר העבודה, הרווחה והשירותים החברתיים, בצו, בהתייעצות עם שר הבריאות ובאישור ועדת העבודה, הרווחה והבריאות של הכנסת."</w:t>
            </w:r>
          </w:p>
        </w:tc>
      </w:tr>
    </w:tbl>
    <w:p w14:paraId="7F6961CA" w14:textId="77777777" w:rsidR="002D1EE3" w:rsidRDefault="002D1EE3" w:rsidP="002D1EE3">
      <w:pPr>
        <w:pStyle w:val="HeadDivreiHesber"/>
        <w:rPr>
          <w:rtl/>
        </w:rPr>
      </w:pPr>
      <w:r w:rsidRPr="0027450A">
        <w:rPr>
          <w:rFonts w:hint="cs"/>
          <w:rtl/>
        </w:rPr>
        <w:t>דברי הסבר</w:t>
      </w:r>
    </w:p>
    <w:p w14:paraId="71A0B2A1" w14:textId="77777777" w:rsidR="00CD706E" w:rsidRPr="00C82D65" w:rsidRDefault="00CD706E" w:rsidP="00C82D65">
      <w:pPr>
        <w:pStyle w:val="Hesber"/>
        <w:spacing w:line="240" w:lineRule="auto"/>
        <w:rPr>
          <w:sz w:val="26"/>
          <w:rtl/>
        </w:rPr>
      </w:pPr>
      <w:r w:rsidRPr="00C82D65">
        <w:rPr>
          <w:rFonts w:hint="cs"/>
          <w:sz w:val="26"/>
          <w:rtl/>
        </w:rPr>
        <w:t xml:space="preserve">בסעיף 2(א) לחוק דמי מחלה, </w:t>
      </w:r>
      <w:proofErr w:type="spellStart"/>
      <w:r w:rsidRPr="00C82D65">
        <w:rPr>
          <w:rFonts w:hint="cs"/>
          <w:sz w:val="26"/>
          <w:rtl/>
        </w:rPr>
        <w:t>התשל</w:t>
      </w:r>
      <w:proofErr w:type="spellEnd"/>
      <w:r w:rsidRPr="00C82D65">
        <w:rPr>
          <w:rFonts w:hint="cs"/>
          <w:sz w:val="26"/>
          <w:rtl/>
        </w:rPr>
        <w:t xml:space="preserve">''ו–1976 (להלן – החוק), נקבע כי עובד שנעדר מעבודתו בשל מחלה יהיה זכאי החל מהיום הרביעי ואילך לדמי מחלה מלאים ואילו ביום השני והשלישי – למחצית דמי המחלה. משמע, שביום הראשון להיעדרו, לא יהיה זכאי לדמי מחלה. </w:t>
      </w:r>
    </w:p>
    <w:p w14:paraId="3CF1ABE5" w14:textId="77777777" w:rsidR="00CD706E" w:rsidRPr="00C82D65" w:rsidRDefault="00CD706E" w:rsidP="00C82D65">
      <w:pPr>
        <w:pStyle w:val="Hesber"/>
        <w:spacing w:line="240" w:lineRule="auto"/>
        <w:rPr>
          <w:sz w:val="26"/>
          <w:rtl/>
        </w:rPr>
      </w:pPr>
      <w:r w:rsidRPr="00C82D65">
        <w:rPr>
          <w:sz w:val="26"/>
          <w:rtl/>
        </w:rPr>
        <w:t>כיום חיים בישראל למעלה מ-200,000 חולי סרטן ו</w:t>
      </w:r>
      <w:r w:rsidRPr="00C82D65">
        <w:rPr>
          <w:rFonts w:hint="cs"/>
          <w:sz w:val="26"/>
          <w:rtl/>
        </w:rPr>
        <w:t>כאלו שהחלימו ממחלת הסרטן.</w:t>
      </w:r>
      <w:r w:rsidRPr="00C82D65">
        <w:rPr>
          <w:sz w:val="26"/>
          <w:rtl/>
        </w:rPr>
        <w:t xml:space="preserve"> </w:t>
      </w:r>
      <w:r w:rsidRPr="00C82D65">
        <w:rPr>
          <w:rFonts w:hint="cs"/>
          <w:sz w:val="26"/>
          <w:rtl/>
        </w:rPr>
        <w:t xml:space="preserve">כמו כן, </w:t>
      </w:r>
      <w:r w:rsidRPr="00C82D65">
        <w:rPr>
          <w:sz w:val="26"/>
          <w:rtl/>
        </w:rPr>
        <w:t xml:space="preserve">מדי שנה מתגלים בישראל כ-28,000 </w:t>
      </w:r>
      <w:r w:rsidRPr="00C82D65">
        <w:rPr>
          <w:rFonts w:hint="cs"/>
          <w:sz w:val="26"/>
          <w:rtl/>
        </w:rPr>
        <w:t>מקרים נוספים. ב</w:t>
      </w:r>
      <w:r w:rsidRPr="00C82D65">
        <w:rPr>
          <w:sz w:val="26"/>
          <w:rtl/>
        </w:rPr>
        <w:t xml:space="preserve">שנים האחרונות, הודות לשיפור בשיעורי הגילוי המוקדם ודרכי הטיפול במחלות הסרטן, חולים רבים מחלימים ממחלתם וחוזרים לשגרת חיים פעילה </w:t>
      </w:r>
      <w:r w:rsidRPr="00C82D65">
        <w:rPr>
          <w:rFonts w:hint="cs"/>
          <w:sz w:val="26"/>
          <w:rtl/>
        </w:rPr>
        <w:t>ולעבודה במשרה מלאה</w:t>
      </w:r>
      <w:r w:rsidRPr="00C82D65">
        <w:rPr>
          <w:sz w:val="26"/>
        </w:rPr>
        <w:t>.</w:t>
      </w:r>
      <w:r w:rsidRPr="00C82D65">
        <w:rPr>
          <w:rFonts w:hint="cs"/>
          <w:sz w:val="26"/>
          <w:rtl/>
        </w:rPr>
        <w:t xml:space="preserve"> ואולם, גם לאחר ההחלמה המטופלים מ</w:t>
      </w:r>
      <w:r w:rsidRPr="00C82D65">
        <w:rPr>
          <w:sz w:val="26"/>
          <w:rtl/>
        </w:rPr>
        <w:t>חויב</w:t>
      </w:r>
      <w:r w:rsidRPr="00C82D65">
        <w:rPr>
          <w:rFonts w:hint="cs"/>
          <w:sz w:val="26"/>
          <w:rtl/>
        </w:rPr>
        <w:t>ים</w:t>
      </w:r>
      <w:r w:rsidRPr="00C82D65">
        <w:rPr>
          <w:sz w:val="26"/>
          <w:rtl/>
        </w:rPr>
        <w:t xml:space="preserve"> </w:t>
      </w:r>
      <w:r w:rsidRPr="00C82D65">
        <w:rPr>
          <w:rFonts w:hint="cs"/>
          <w:sz w:val="26"/>
          <w:rtl/>
        </w:rPr>
        <w:t>ב</w:t>
      </w:r>
      <w:r w:rsidRPr="00C82D65">
        <w:rPr>
          <w:sz w:val="26"/>
          <w:rtl/>
        </w:rPr>
        <w:t xml:space="preserve">ביקורות </w:t>
      </w:r>
      <w:r w:rsidRPr="00C82D65">
        <w:rPr>
          <w:rFonts w:hint="cs"/>
          <w:sz w:val="26"/>
          <w:rtl/>
        </w:rPr>
        <w:t xml:space="preserve">הכרוכות באשפוז יום, </w:t>
      </w:r>
      <w:r w:rsidRPr="00C82D65">
        <w:rPr>
          <w:sz w:val="26"/>
          <w:rtl/>
        </w:rPr>
        <w:t xml:space="preserve">או </w:t>
      </w:r>
      <w:r w:rsidRPr="00C82D65">
        <w:rPr>
          <w:rFonts w:hint="cs"/>
          <w:sz w:val="26"/>
          <w:rtl/>
        </w:rPr>
        <w:t>ב</w:t>
      </w:r>
      <w:r w:rsidRPr="00C82D65">
        <w:rPr>
          <w:sz w:val="26"/>
          <w:rtl/>
        </w:rPr>
        <w:t>טיפול יו</w:t>
      </w:r>
      <w:r w:rsidRPr="00C82D65">
        <w:rPr>
          <w:rFonts w:hint="cs"/>
          <w:sz w:val="26"/>
          <w:rtl/>
        </w:rPr>
        <w:t>מי,</w:t>
      </w:r>
      <w:r w:rsidRPr="00C82D65">
        <w:rPr>
          <w:sz w:val="26"/>
          <w:rtl/>
        </w:rPr>
        <w:t xml:space="preserve"> </w:t>
      </w:r>
      <w:r w:rsidRPr="00C82D65">
        <w:rPr>
          <w:rFonts w:hint="cs"/>
          <w:sz w:val="26"/>
          <w:rtl/>
        </w:rPr>
        <w:t xml:space="preserve">בהתאם לסוג המחלה ולחומרתה. עובד שהוא חולה כאמור אינו זכאי לדמי מחלה בעד היעדרות ככל שאינה מתמשכת יותר מיום אחד. גם בעת גילוי המחלה צפוי עובד להיעדר לצורך בדיקה חד-יומית בשל המחלה, ולא יהיה זכאי לדמי מחלה בעד היעדרויות אלה.  </w:t>
      </w:r>
    </w:p>
    <w:p w14:paraId="1E5C4F21" w14:textId="77777777" w:rsidR="00CD706E" w:rsidRPr="00C82D65" w:rsidRDefault="00CD706E" w:rsidP="00C82D65">
      <w:pPr>
        <w:pStyle w:val="Hesber"/>
        <w:spacing w:line="240" w:lineRule="auto"/>
        <w:rPr>
          <w:sz w:val="26"/>
          <w:rtl/>
        </w:rPr>
      </w:pPr>
      <w:r w:rsidRPr="00C82D65">
        <w:rPr>
          <w:rFonts w:hint="cs"/>
          <w:sz w:val="26"/>
          <w:rtl/>
        </w:rPr>
        <w:t xml:space="preserve">לפיכך, מוצע לקבוע כי עובד שחלה במחלה קשה ומוכרח להחסיר יום עבודה או להיעדר מחלקו בשל בדיקות ביקורות תקופתיות או בשל טיפול תקופתי, יהיה זכאי לדמי מחלה מהיום הראשון להיעדרות. כמו כן, מוצע להסמיך לקבוע בצו מחלות קשות נוספות שמחייבות היעדרות לצורכי בדיקות וטיפול שהוראה זו תחול לגביהן.  </w:t>
      </w:r>
    </w:p>
    <w:p w14:paraId="56545DC8" w14:textId="77777777" w:rsidR="00CD706E" w:rsidRPr="00C82D65" w:rsidRDefault="00CD706E" w:rsidP="00C82D65">
      <w:pPr>
        <w:pStyle w:val="Hesber"/>
        <w:spacing w:line="240" w:lineRule="auto"/>
        <w:rPr>
          <w:sz w:val="26"/>
          <w:rtl/>
        </w:rPr>
      </w:pPr>
      <w:r w:rsidRPr="00C82D65">
        <w:rPr>
          <w:rFonts w:hint="cs"/>
          <w:sz w:val="26"/>
          <w:rtl/>
        </w:rPr>
        <w:t>הצעת החוק נכתבה בסיוע  עמותת ''</w:t>
      </w:r>
      <w:proofErr w:type="spellStart"/>
      <w:r w:rsidRPr="00C82D65">
        <w:rPr>
          <w:rFonts w:hint="cs"/>
          <w:sz w:val="26"/>
          <w:rtl/>
        </w:rPr>
        <w:t>חלאס</w:t>
      </w:r>
      <w:proofErr w:type="spellEnd"/>
      <w:r w:rsidRPr="00C82D65">
        <w:rPr>
          <w:rFonts w:hint="cs"/>
          <w:sz w:val="26"/>
          <w:rtl/>
        </w:rPr>
        <w:t xml:space="preserve">-סרטן'' העוסקת בליווי צעירים שחלו בסרטן. </w:t>
      </w:r>
    </w:p>
    <w:p w14:paraId="2F76EDF0" w14:textId="2CDD946F" w:rsidR="00B3546A" w:rsidRPr="00C82D65" w:rsidRDefault="00B3546A" w:rsidP="00C82D65">
      <w:pPr>
        <w:pStyle w:val="Hesber"/>
        <w:spacing w:line="240" w:lineRule="auto"/>
        <w:rPr>
          <w:sz w:val="26"/>
          <w:rtl/>
        </w:rPr>
      </w:pPr>
      <w:r w:rsidRPr="00C82D65">
        <w:rPr>
          <w:rFonts w:hint="cs"/>
          <w:sz w:val="26"/>
          <w:rtl/>
        </w:rPr>
        <w:t xml:space="preserve">הצעת חוק זהה הונחה על שולחן הכנסת העשרים וארבע על ידי חברת הכנסת אורלי לוי </w:t>
      </w:r>
      <w:proofErr w:type="spellStart"/>
      <w:r w:rsidRPr="00C82D65">
        <w:rPr>
          <w:rFonts w:hint="cs"/>
          <w:sz w:val="26"/>
          <w:rtl/>
        </w:rPr>
        <w:t>אבקסיס</w:t>
      </w:r>
      <w:proofErr w:type="spellEnd"/>
      <w:r w:rsidRPr="00C82D65">
        <w:rPr>
          <w:rFonts w:hint="cs"/>
          <w:sz w:val="26"/>
          <w:rtl/>
        </w:rPr>
        <w:t xml:space="preserve"> (פ1606/24).</w:t>
      </w:r>
    </w:p>
    <w:p w14:paraId="39297CB0" w14:textId="77777777" w:rsidR="001B08BC" w:rsidRPr="00C82D65" w:rsidRDefault="00C82D65" w:rsidP="00C82D65">
      <w:pPr>
        <w:spacing w:before="0" w:line="240" w:lineRule="auto"/>
        <w:jc w:val="left"/>
        <w:rPr>
          <w:sz w:val="26"/>
          <w:szCs w:val="26"/>
        </w:rPr>
      </w:pPr>
      <w:bookmarkStart w:id="6" w:name="selectedDocDateB"/>
      <w:bookmarkEnd w:id="6"/>
      <w:r w:rsidRPr="00C82D65">
        <w:rPr>
          <w:rFonts w:ascii="David" w:eastAsia="David" w:hAnsi="David" w:cs="David" w:hint="cs"/>
          <w:sz w:val="26"/>
          <w:szCs w:val="26"/>
          <w:rtl/>
        </w:rPr>
        <w:t>-</w:t>
      </w:r>
      <w:r w:rsidRPr="00C82D65">
        <w:rPr>
          <w:rFonts w:ascii="David" w:eastAsia="David" w:hAnsi="David" w:cs="David" w:hint="cs"/>
          <w:sz w:val="26"/>
          <w:szCs w:val="26"/>
          <w:rtl/>
        </w:rPr>
        <w:t>-------------------------------</w:t>
      </w:r>
    </w:p>
    <w:p w14:paraId="07A13E4A" w14:textId="77777777" w:rsidR="001B08BC" w:rsidRPr="00C82D65" w:rsidRDefault="00C82D65" w:rsidP="00C82D65">
      <w:pPr>
        <w:spacing w:before="0" w:line="240" w:lineRule="auto"/>
        <w:jc w:val="left"/>
        <w:rPr>
          <w:sz w:val="26"/>
          <w:szCs w:val="26"/>
        </w:rPr>
      </w:pPr>
      <w:r w:rsidRPr="00C82D65">
        <w:rPr>
          <w:rFonts w:ascii="David" w:eastAsia="David" w:hAnsi="David" w:cs="David" w:hint="cs"/>
          <w:sz w:val="26"/>
          <w:szCs w:val="26"/>
          <w:rtl/>
        </w:rPr>
        <w:t>הוגשה ליו"ר הכנסת והסגנים</w:t>
      </w:r>
    </w:p>
    <w:p w14:paraId="4FDF41E6" w14:textId="77777777" w:rsidR="001B08BC" w:rsidRPr="00C82D65" w:rsidRDefault="00C82D65" w:rsidP="00C82D65">
      <w:pPr>
        <w:spacing w:before="0" w:line="240" w:lineRule="auto"/>
        <w:jc w:val="left"/>
        <w:rPr>
          <w:sz w:val="26"/>
          <w:szCs w:val="26"/>
        </w:rPr>
      </w:pPr>
      <w:r w:rsidRPr="00C82D65">
        <w:rPr>
          <w:rFonts w:ascii="David" w:eastAsia="David" w:hAnsi="David" w:cs="David" w:hint="cs"/>
          <w:sz w:val="26"/>
          <w:szCs w:val="26"/>
          <w:rtl/>
        </w:rPr>
        <w:t>והונחה על שולחן הכנסת ביום</w:t>
      </w:r>
    </w:p>
    <w:p w14:paraId="422FA714" w14:textId="12FA4E0B" w:rsidR="001B08BC" w:rsidRDefault="00C82D65" w:rsidP="00C82D65">
      <w:pPr>
        <w:spacing w:before="0" w:line="240" w:lineRule="auto"/>
        <w:jc w:val="left"/>
      </w:pPr>
      <w:r w:rsidRPr="00C82D65">
        <w:rPr>
          <w:rFonts w:ascii="David" w:eastAsia="David" w:hAnsi="David" w:cs="David" w:hint="cs"/>
          <w:sz w:val="26"/>
          <w:szCs w:val="26"/>
          <w:rtl/>
        </w:rPr>
        <w:t xml:space="preserve">ה' בחשוון התשפ"ב (11.10.2021) </w:t>
      </w:r>
      <w:bookmarkStart w:id="7" w:name="_GoBack"/>
      <w:bookmarkEnd w:id="7"/>
    </w:p>
    <w:sectPr w:rsidR="001B08BC"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C82D65">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3A84BF86" w14:textId="77777777" w:rsidR="00CD706E" w:rsidRDefault="00CD706E" w:rsidP="00FD20D7">
      <w:pPr>
        <w:pStyle w:val="a4"/>
        <w:rPr>
          <w:rtl/>
        </w:rPr>
      </w:pPr>
      <w:r>
        <w:rPr>
          <w:rStyle w:val="a5"/>
        </w:rPr>
        <w:footnoteRef/>
      </w:r>
      <w:r>
        <w:rPr>
          <w:rtl/>
        </w:rPr>
        <w:t xml:space="preserve"> </w:t>
      </w:r>
      <w:proofErr w:type="spellStart"/>
      <w:r>
        <w:rPr>
          <w:rFonts w:hint="cs"/>
          <w:rtl/>
        </w:rPr>
        <w:t>ס''ח</w:t>
      </w:r>
      <w:proofErr w:type="spellEnd"/>
      <w:r>
        <w:rPr>
          <w:rFonts w:hint="cs"/>
          <w:rtl/>
        </w:rPr>
        <w:t xml:space="preserve"> </w:t>
      </w:r>
      <w:proofErr w:type="spellStart"/>
      <w:r>
        <w:rPr>
          <w:rFonts w:hint="cs"/>
          <w:rtl/>
        </w:rPr>
        <w:t>התשל</w:t>
      </w:r>
      <w:proofErr w:type="spellEnd"/>
      <w:r>
        <w:rPr>
          <w:rFonts w:hint="cs"/>
          <w:rtl/>
        </w:rPr>
        <w:t xml:space="preserve">''ו, עמ' 206.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B08BC"/>
    <w:rsid w:val="001C23B0"/>
    <w:rsid w:val="001D7AAF"/>
    <w:rsid w:val="001F2C72"/>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A6EDE"/>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70E84"/>
    <w:rsid w:val="00A82CB7"/>
    <w:rsid w:val="00A942C1"/>
    <w:rsid w:val="00AA2F03"/>
    <w:rsid w:val="00AC36F7"/>
    <w:rsid w:val="00AC63A4"/>
    <w:rsid w:val="00AD239E"/>
    <w:rsid w:val="00B10265"/>
    <w:rsid w:val="00B16A99"/>
    <w:rsid w:val="00B21211"/>
    <w:rsid w:val="00B3546A"/>
    <w:rsid w:val="00B35784"/>
    <w:rsid w:val="00B733A7"/>
    <w:rsid w:val="00B75C91"/>
    <w:rsid w:val="00B975AD"/>
    <w:rsid w:val="00BC45FB"/>
    <w:rsid w:val="00BF148D"/>
    <w:rsid w:val="00C23B1A"/>
    <w:rsid w:val="00C310EB"/>
    <w:rsid w:val="00C82D65"/>
    <w:rsid w:val="00C9176A"/>
    <w:rsid w:val="00CD706E"/>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51BAEA9C-2F22-4253-87CE-9321FC5D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microsoft.com/office/2006/documentManagement/types"/>
    <ds:schemaRef ds:uri="http://schemas.microsoft.com/office/infopath/2007/PartnerControls"/>
    <ds:schemaRef ds:uri="290d5b49-c690-4c6f-bbb9-1e50dab33ee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CD50B37-4975-4587-9CEE-575AD5EEF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A6232BB7-F1F0-4C89-94E9-18CA75D3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Pages>
  <Words>324</Words>
  <Characters>1849</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טליה דניאלה ווייס עמר</cp:lastModifiedBy>
  <cp:revision>8</cp:revision>
  <cp:lastPrinted>2013-07-04T08:25:00Z</cp:lastPrinted>
  <dcterms:created xsi:type="dcterms:W3CDTF">2015-04-20T09:58:00Z</dcterms:created>
  <dcterms:modified xsi:type="dcterms:W3CDTF">2021-10-07T11:14:00Z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2162440</vt:r8>
  </property>
</Properties>
</file>