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2162396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002632">
      <w:pPr>
        <w:pStyle w:val="David"/>
        <w:spacing w:line="276"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 xml:space="preserve">שמחה </w:t>
      </w:r>
      <w:proofErr w:type="spellStart"/>
      <w:r>
        <w:rPr>
          <w:rFonts w:hint="cs"/>
          <w:b/>
          <w:bCs/>
          <w:rtl/>
        </w:rPr>
        <w:t>רוטמן</w:t>
      </w:r>
      <w:proofErr w:type="spellEnd"/>
      <w:r>
        <w:br/>
      </w:r>
      <w:r>
        <w:rPr>
          <w:rFonts w:hint="cs"/>
          <w:b/>
          <w:bCs/>
          <w:rtl/>
        </w:rPr>
        <w:t xml:space="preserve"> </w:t>
      </w:r>
      <w:r>
        <w:tab/>
      </w:r>
      <w:r>
        <w:tab/>
      </w:r>
      <w:r>
        <w:tab/>
      </w:r>
      <w:r>
        <w:tab/>
      </w:r>
      <w:r>
        <w:rPr>
          <w:rFonts w:hint="cs"/>
          <w:b/>
          <w:bCs/>
          <w:rtl/>
        </w:rPr>
        <w:t xml:space="preserve">בצלאל </w:t>
      </w:r>
      <w:proofErr w:type="spellStart"/>
      <w:r>
        <w:rPr>
          <w:rFonts w:hint="cs"/>
          <w:b/>
          <w:bCs/>
          <w:rtl/>
        </w:rPr>
        <w:t>סמוטריץ</w:t>
      </w:r>
      <w:proofErr w:type="spellEnd"/>
      <w:r>
        <w:rPr>
          <w:rFonts w:hint="cs"/>
          <w:b/>
          <w:bCs/>
          <w:rtl/>
        </w:rPr>
        <w:t>'</w:t>
      </w:r>
      <w:r>
        <w:br/>
      </w:r>
      <w:r>
        <w:rPr>
          <w:rFonts w:hint="cs"/>
          <w:b/>
          <w:bCs/>
          <w:rtl/>
        </w:rPr>
        <w:t xml:space="preserve"> </w:t>
      </w:r>
      <w:r>
        <w:tab/>
      </w:r>
      <w:r>
        <w:tab/>
      </w:r>
      <w:r>
        <w:tab/>
      </w:r>
      <w:r>
        <w:tab/>
      </w:r>
      <w:r>
        <w:rPr>
          <w:rFonts w:hint="cs"/>
          <w:b/>
          <w:bCs/>
          <w:rtl/>
        </w:rPr>
        <w:t>שלמה קרעי</w:t>
      </w:r>
      <w:r>
        <w:br/>
      </w:r>
      <w:r>
        <w:rPr>
          <w:rFonts w:hint="cs"/>
          <w:b/>
          <w:bCs/>
          <w:rtl/>
        </w:rPr>
        <w:t xml:space="preserve"> </w:t>
      </w:r>
      <w:r>
        <w:tab/>
      </w:r>
      <w:r>
        <w:tab/>
      </w:r>
      <w:r>
        <w:tab/>
      </w:r>
      <w:r>
        <w:tab/>
      </w:r>
      <w:r>
        <w:rPr>
          <w:rFonts w:hint="cs"/>
          <w:b/>
          <w:bCs/>
          <w:rtl/>
        </w:rPr>
        <w:t>משה ארבל</w:t>
      </w:r>
      <w:r>
        <w:br/>
      </w:r>
      <w:r>
        <w:rPr>
          <w:rFonts w:hint="cs"/>
          <w:b/>
          <w:bCs/>
          <w:rtl/>
        </w:rPr>
        <w:t xml:space="preserve"> </w:t>
      </w:r>
      <w:r>
        <w:tab/>
      </w:r>
      <w:r>
        <w:tab/>
      </w:r>
      <w:r>
        <w:tab/>
      </w:r>
      <w:r>
        <w:tab/>
      </w:r>
      <w:r>
        <w:rPr>
          <w:rFonts w:hint="cs"/>
          <w:b/>
          <w:bCs/>
          <w:rtl/>
        </w:rPr>
        <w:t>ינון אזולאי</w:t>
      </w:r>
      <w:r>
        <w:br/>
      </w:r>
      <w:r>
        <w:rPr>
          <w:rFonts w:hint="cs"/>
          <w:b/>
          <w:bCs/>
          <w:rtl/>
        </w:rPr>
        <w:t xml:space="preserve"> </w:t>
      </w:r>
      <w:r>
        <w:tab/>
      </w:r>
      <w:r>
        <w:tab/>
      </w:r>
      <w:r>
        <w:tab/>
      </w:r>
      <w:r>
        <w:tab/>
      </w:r>
      <w:r>
        <w:rPr>
          <w:rFonts w:hint="cs"/>
          <w:b/>
          <w:bCs/>
          <w:rtl/>
        </w:rPr>
        <w:t>אופיר כץ</w:t>
      </w:r>
      <w:r>
        <w:br/>
      </w:r>
      <w:r>
        <w:rPr>
          <w:rFonts w:hint="cs"/>
          <w:b/>
          <w:bCs/>
          <w:rtl/>
        </w:rPr>
        <w:t xml:space="preserve"> </w:t>
      </w:r>
      <w:r>
        <w:tab/>
      </w:r>
      <w:r>
        <w:tab/>
      </w:r>
      <w:r>
        <w:tab/>
      </w:r>
      <w:r>
        <w:tab/>
      </w:r>
      <w:r>
        <w:rPr>
          <w:rFonts w:hint="cs"/>
          <w:b/>
          <w:bCs/>
          <w:rtl/>
        </w:rPr>
        <w:t xml:space="preserve">יצחק </w:t>
      </w:r>
      <w:proofErr w:type="spellStart"/>
      <w:r>
        <w:rPr>
          <w:rFonts w:hint="cs"/>
          <w:b/>
          <w:bCs/>
          <w:rtl/>
        </w:rPr>
        <w:t>פינדרוס</w:t>
      </w:r>
      <w:proofErr w:type="spellEnd"/>
      <w:r>
        <w:br/>
      </w:r>
      <w:r>
        <w:rPr>
          <w:rFonts w:hint="cs"/>
          <w:b/>
          <w:bCs/>
          <w:rtl/>
        </w:rPr>
        <w:t xml:space="preserve"> </w:t>
      </w:r>
      <w:r>
        <w:tab/>
      </w:r>
      <w:r>
        <w:tab/>
      </w:r>
      <w:r>
        <w:tab/>
      </w:r>
      <w:r>
        <w:tab/>
      </w:r>
      <w:r>
        <w:rPr>
          <w:rFonts w:hint="cs"/>
          <w:b/>
          <w:bCs/>
          <w:rtl/>
        </w:rPr>
        <w:t>איתמר בן גביר</w:t>
      </w:r>
      <w:r>
        <w:br/>
      </w:r>
      <w:r>
        <w:rPr>
          <w:rFonts w:hint="cs"/>
          <w:b/>
          <w:bCs/>
          <w:rtl/>
        </w:rPr>
        <w:t xml:space="preserve"> </w:t>
      </w:r>
      <w:r>
        <w:tab/>
      </w:r>
      <w:r>
        <w:tab/>
      </w:r>
      <w:r>
        <w:tab/>
      </w:r>
      <w:r>
        <w:tab/>
      </w:r>
      <w:r>
        <w:rPr>
          <w:rFonts w:hint="cs"/>
          <w:b/>
          <w:bCs/>
          <w:rtl/>
        </w:rPr>
        <w:t xml:space="preserve">קטי </w:t>
      </w:r>
      <w:proofErr w:type="spellStart"/>
      <w:r>
        <w:rPr>
          <w:rFonts w:hint="cs"/>
          <w:b/>
          <w:bCs/>
          <w:rtl/>
        </w:rPr>
        <w:t>קטרין</w:t>
      </w:r>
      <w:proofErr w:type="spellEnd"/>
      <w:r>
        <w:rPr>
          <w:rFonts w:hint="cs"/>
          <w:b/>
          <w:bCs/>
          <w:rtl/>
        </w:rPr>
        <w:t xml:space="preserve"> שטרית</w:t>
      </w:r>
      <w:r>
        <w:br/>
      </w:r>
      <w:r>
        <w:rPr>
          <w:rFonts w:hint="cs"/>
          <w:b/>
          <w:bCs/>
          <w:rtl/>
        </w:rPr>
        <w:t xml:space="preserve"> </w:t>
      </w:r>
      <w:r>
        <w:tab/>
      </w:r>
      <w:r>
        <w:tab/>
      </w:r>
      <w:r>
        <w:tab/>
      </w:r>
      <w:r>
        <w:tab/>
      </w:r>
      <w:r>
        <w:rPr>
          <w:rFonts w:hint="cs"/>
          <w:b/>
          <w:bCs/>
          <w:rtl/>
        </w:rPr>
        <w:t>אבי מעוז</w:t>
      </w:r>
      <w:r>
        <w:br/>
      </w:r>
      <w:r>
        <w:rPr>
          <w:rFonts w:hint="cs"/>
          <w:b/>
          <w:bCs/>
          <w:rtl/>
        </w:rPr>
        <w:t xml:space="preserve"> </w:t>
      </w:r>
      <w:r>
        <w:tab/>
      </w:r>
      <w:r>
        <w:tab/>
      </w:r>
      <w:r>
        <w:tab/>
      </w:r>
      <w:r>
        <w:tab/>
      </w:r>
      <w:r>
        <w:rPr>
          <w:rFonts w:hint="cs"/>
          <w:b/>
          <w:bCs/>
          <w:rtl/>
        </w:rPr>
        <w:t xml:space="preserve">עמיחי </w:t>
      </w:r>
      <w:proofErr w:type="spellStart"/>
      <w:r>
        <w:rPr>
          <w:rFonts w:hint="cs"/>
          <w:b/>
          <w:bCs/>
          <w:rtl/>
        </w:rPr>
        <w:t>שיקלי</w:t>
      </w:r>
      <w:proofErr w:type="spellEnd"/>
      <w:r>
        <w:br/>
      </w:r>
      <w:r>
        <w:rPr>
          <w:rFonts w:hint="cs"/>
          <w:b/>
          <w:bCs/>
          <w:rtl/>
        </w:rPr>
        <w:t xml:space="preserve"> </w:t>
      </w:r>
      <w:r>
        <w:tab/>
      </w:r>
      <w:r>
        <w:tab/>
      </w:r>
      <w:r>
        <w:tab/>
      </w:r>
      <w:r>
        <w:tab/>
      </w:r>
      <w:r>
        <w:rPr>
          <w:rFonts w:hint="cs"/>
          <w:b/>
          <w:bCs/>
          <w:rtl/>
        </w:rPr>
        <w:t>אופיר סופר</w:t>
      </w:r>
      <w:r>
        <w:br/>
      </w:r>
      <w:r>
        <w:rPr>
          <w:rFonts w:hint="cs"/>
          <w:b/>
          <w:bCs/>
          <w:rtl/>
        </w:rPr>
        <w:t xml:space="preserve"> </w:t>
      </w:r>
      <w:r>
        <w:tab/>
      </w:r>
      <w:r>
        <w:tab/>
      </w:r>
      <w:r>
        <w:tab/>
      </w:r>
      <w:r>
        <w:tab/>
      </w:r>
      <w:r>
        <w:rPr>
          <w:rFonts w:hint="cs"/>
          <w:b/>
          <w:bCs/>
          <w:rtl/>
        </w:rPr>
        <w:t>יואב קיש</w:t>
      </w:r>
      <w:r>
        <w:br/>
      </w:r>
      <w:r>
        <w:rPr>
          <w:rFonts w:hint="cs"/>
          <w:b/>
          <w:bCs/>
          <w:rtl/>
        </w:rPr>
        <w:t xml:space="preserve"> </w:t>
      </w:r>
      <w:r>
        <w:tab/>
      </w:r>
      <w:r>
        <w:tab/>
      </w:r>
      <w:r>
        <w:tab/>
      </w:r>
      <w:r>
        <w:tab/>
      </w:r>
      <w:r>
        <w:rPr>
          <w:rFonts w:hint="cs"/>
          <w:b/>
          <w:bCs/>
          <w:rtl/>
        </w:rPr>
        <w:t>קרן ברק</w:t>
      </w:r>
      <w:r>
        <w:br/>
      </w:r>
      <w:r>
        <w:rPr>
          <w:rFonts w:hint="cs"/>
          <w:b/>
          <w:bCs/>
          <w:rtl/>
        </w:rPr>
        <w:t xml:space="preserve"> </w:t>
      </w:r>
      <w:r>
        <w:tab/>
      </w:r>
      <w:r>
        <w:tab/>
      </w:r>
      <w:r>
        <w:tab/>
      </w:r>
      <w:r>
        <w:tab/>
      </w:r>
      <w:r>
        <w:rPr>
          <w:rFonts w:hint="cs"/>
          <w:b/>
          <w:bCs/>
          <w:rtl/>
        </w:rPr>
        <w:t xml:space="preserve">מיכל </w:t>
      </w:r>
      <w:proofErr w:type="spellStart"/>
      <w:r>
        <w:rPr>
          <w:rFonts w:hint="cs"/>
          <w:b/>
          <w:bCs/>
          <w:rtl/>
        </w:rPr>
        <w:t>וולדיגר</w:t>
      </w:r>
      <w:proofErr w:type="spellEnd"/>
      <w:r>
        <w:br/>
      </w:r>
      <w:r>
        <w:rPr>
          <w:rFonts w:hint="cs"/>
          <w:b/>
          <w:bCs/>
          <w:rtl/>
        </w:rPr>
        <w:t xml:space="preserve"> </w:t>
      </w:r>
      <w:r>
        <w:tab/>
      </w:r>
      <w:r>
        <w:tab/>
      </w:r>
      <w:r>
        <w:tab/>
      </w:r>
      <w:r>
        <w:tab/>
      </w:r>
      <w:r>
        <w:rPr>
          <w:rFonts w:hint="cs"/>
          <w:b/>
          <w:bCs/>
          <w:rtl/>
        </w:rPr>
        <w:t xml:space="preserve">גלית </w:t>
      </w:r>
      <w:proofErr w:type="spellStart"/>
      <w:r>
        <w:rPr>
          <w:rFonts w:hint="cs"/>
          <w:b/>
          <w:bCs/>
          <w:rtl/>
        </w:rPr>
        <w:t>דיסטל</w:t>
      </w:r>
      <w:proofErr w:type="spellEnd"/>
      <w:r>
        <w:rPr>
          <w:rFonts w:hint="cs"/>
          <w:b/>
          <w:bCs/>
          <w:rtl/>
        </w:rPr>
        <w:t xml:space="preserve"> </w:t>
      </w:r>
      <w:proofErr w:type="spellStart"/>
      <w:r>
        <w:rPr>
          <w:rFonts w:hint="cs"/>
          <w:b/>
          <w:bCs/>
          <w:rtl/>
        </w:rPr>
        <w:t>אטבריאן</w:t>
      </w:r>
      <w:proofErr w:type="spellEnd"/>
      <w:r>
        <w:br/>
      </w:r>
      <w:r>
        <w:rPr>
          <w:rFonts w:hint="cs"/>
          <w:b/>
          <w:bCs/>
          <w:rtl/>
        </w:rPr>
        <w:t xml:space="preserve"> </w:t>
      </w:r>
      <w:r>
        <w:tab/>
      </w:r>
      <w:r>
        <w:tab/>
      </w:r>
      <w:r>
        <w:tab/>
      </w:r>
      <w:r>
        <w:tab/>
      </w:r>
      <w:r>
        <w:rPr>
          <w:rFonts w:hint="cs"/>
          <w:b/>
          <w:bCs/>
          <w:rtl/>
        </w:rPr>
        <w:t xml:space="preserve">דוד </w:t>
      </w:r>
      <w:proofErr w:type="spellStart"/>
      <w:r>
        <w:rPr>
          <w:rFonts w:hint="cs"/>
          <w:b/>
          <w:bCs/>
          <w:rtl/>
        </w:rPr>
        <w:t>אמסלם</w:t>
      </w:r>
      <w:proofErr w:type="spellEnd"/>
      <w:r>
        <w:br/>
      </w:r>
      <w:r>
        <w:rPr>
          <w:rFonts w:hint="cs"/>
          <w:b/>
          <w:bCs/>
          <w:rtl/>
        </w:rPr>
        <w:t xml:space="preserve"> </w:t>
      </w:r>
      <w:r>
        <w:tab/>
      </w:r>
      <w:r>
        <w:tab/>
      </w:r>
      <w:r>
        <w:tab/>
      </w:r>
      <w:r>
        <w:tab/>
      </w:r>
      <w:r>
        <w:rPr>
          <w:rFonts w:hint="cs"/>
          <w:b/>
          <w:bCs/>
          <w:rtl/>
        </w:rPr>
        <w:t>אלי כהן</w:t>
      </w:r>
      <w:r>
        <w:br/>
      </w:r>
      <w:r>
        <w:rPr>
          <w:rFonts w:hint="cs"/>
          <w:b/>
          <w:bCs/>
          <w:rtl/>
        </w:rPr>
        <w:t xml:space="preserve"> </w:t>
      </w:r>
      <w:r>
        <w:tab/>
      </w:r>
      <w:r>
        <w:tab/>
      </w:r>
      <w:r>
        <w:tab/>
      </w:r>
      <w:r>
        <w:tab/>
      </w:r>
      <w:r>
        <w:rPr>
          <w:rFonts w:hint="cs"/>
          <w:b/>
          <w:bCs/>
          <w:rtl/>
        </w:rPr>
        <w:t>אמיר אוחנה</w:t>
      </w:r>
      <w:r>
        <w:br/>
      </w:r>
      <w:r>
        <w:rPr>
          <w:rFonts w:hint="cs"/>
          <w:b/>
          <w:bCs/>
          <w:rtl/>
        </w:rPr>
        <w:t xml:space="preserve"> </w:t>
      </w:r>
      <w:r>
        <w:tab/>
      </w:r>
      <w:r>
        <w:tab/>
      </w:r>
      <w:r>
        <w:tab/>
      </w:r>
      <w:r>
        <w:tab/>
      </w:r>
      <w:r>
        <w:rPr>
          <w:rFonts w:hint="cs"/>
          <w:b/>
          <w:bCs/>
          <w:rtl/>
        </w:rPr>
        <w:t xml:space="preserve">מיכאל </w:t>
      </w:r>
      <w:proofErr w:type="spellStart"/>
      <w:r>
        <w:rPr>
          <w:rFonts w:hint="cs"/>
          <w:b/>
          <w:bCs/>
          <w:rtl/>
        </w:rPr>
        <w:t>מלכיאלי</w:t>
      </w:r>
      <w:proofErr w:type="spellEnd"/>
      <w:r>
        <w:br/>
      </w:r>
      <w:r>
        <w:rPr>
          <w:rFonts w:hint="cs"/>
          <w:b/>
          <w:bCs/>
          <w:rtl/>
        </w:rPr>
        <w:t xml:space="preserve"> </w:t>
      </w:r>
      <w:r>
        <w:tab/>
      </w:r>
      <w:r>
        <w:tab/>
      </w:r>
      <w:r>
        <w:tab/>
      </w:r>
      <w:r>
        <w:tab/>
      </w:r>
      <w:r>
        <w:rPr>
          <w:rFonts w:hint="cs"/>
          <w:b/>
          <w:bCs/>
          <w:rtl/>
        </w:rPr>
        <w:t>יעקב אשר</w:t>
      </w:r>
      <w:r>
        <w:br/>
      </w:r>
      <w:r>
        <w:rPr>
          <w:rFonts w:hint="cs"/>
          <w:b/>
          <w:bCs/>
          <w:rtl/>
        </w:rPr>
        <w:t xml:space="preserve"> </w:t>
      </w:r>
      <w:r>
        <w:tab/>
      </w:r>
      <w:r>
        <w:tab/>
      </w:r>
      <w:r>
        <w:tab/>
      </w:r>
      <w:r>
        <w:tab/>
      </w:r>
      <w:r>
        <w:rPr>
          <w:rFonts w:hint="cs"/>
          <w:b/>
          <w:bCs/>
          <w:rtl/>
        </w:rPr>
        <w:t xml:space="preserve">יעקב </w:t>
      </w:r>
      <w:proofErr w:type="spellStart"/>
      <w:r>
        <w:rPr>
          <w:rFonts w:hint="cs"/>
          <w:b/>
          <w:bCs/>
          <w:rtl/>
        </w:rPr>
        <w:t>מרגי</w:t>
      </w:r>
      <w:proofErr w:type="spellEnd"/>
      <w:r>
        <w:br/>
      </w:r>
      <w:r>
        <w:rPr>
          <w:rFonts w:hint="cs"/>
          <w:b/>
          <w:bCs/>
          <w:rtl/>
        </w:rPr>
        <w:t xml:space="preserve"> </w:t>
      </w:r>
      <w:r>
        <w:tab/>
      </w:r>
      <w:r>
        <w:tab/>
      </w:r>
      <w:r>
        <w:tab/>
      </w:r>
      <w:r>
        <w:tab/>
      </w:r>
      <w:r>
        <w:rPr>
          <w:rFonts w:hint="cs"/>
          <w:b/>
          <w:bCs/>
          <w:rtl/>
        </w:rPr>
        <w:t>יריב לוין</w:t>
      </w:r>
      <w:r>
        <w:br/>
      </w:r>
      <w:r>
        <w:rPr>
          <w:rFonts w:hint="cs"/>
          <w:b/>
          <w:bCs/>
          <w:rtl/>
        </w:rPr>
        <w:t xml:space="preserve"> </w:t>
      </w:r>
      <w:r>
        <w:tab/>
      </w:r>
      <w:r>
        <w:tab/>
      </w:r>
      <w:r>
        <w:tab/>
      </w:r>
      <w:r>
        <w:tab/>
      </w:r>
      <w:r>
        <w:rPr>
          <w:rFonts w:hint="cs"/>
          <w:b/>
          <w:bCs/>
          <w:rtl/>
        </w:rPr>
        <w:t>חיים ביטון</w:t>
      </w:r>
      <w:r>
        <w:br/>
      </w:r>
      <w:r>
        <w:rPr>
          <w:rFonts w:hint="cs"/>
          <w:b/>
          <w:bCs/>
          <w:rtl/>
        </w:rPr>
        <w:t xml:space="preserve"> </w:t>
      </w:r>
      <w:r>
        <w:tab/>
      </w:r>
      <w:r>
        <w:tab/>
      </w:r>
      <w:r>
        <w:tab/>
      </w:r>
      <w:r>
        <w:tab/>
      </w:r>
      <w:r>
        <w:rPr>
          <w:rFonts w:hint="cs"/>
          <w:b/>
          <w:bCs/>
          <w:rtl/>
        </w:rPr>
        <w:t xml:space="preserve">אבי </w:t>
      </w:r>
      <w:proofErr w:type="spellStart"/>
      <w:r>
        <w:rPr>
          <w:rFonts w:hint="cs"/>
          <w:b/>
          <w:bCs/>
          <w:rtl/>
        </w:rPr>
        <w:t>דיכטר</w:t>
      </w:r>
      <w:proofErr w:type="spellEnd"/>
      <w:r>
        <w:br/>
      </w:r>
      <w:r>
        <w:rPr>
          <w:rFonts w:hint="cs"/>
          <w:b/>
          <w:bCs/>
          <w:rtl/>
        </w:rPr>
        <w:t xml:space="preserve"> </w:t>
      </w:r>
      <w:r>
        <w:tab/>
      </w:r>
      <w:r>
        <w:tab/>
      </w:r>
      <w:r>
        <w:tab/>
      </w:r>
      <w:r>
        <w:tab/>
      </w:r>
      <w:r>
        <w:rPr>
          <w:rFonts w:hint="cs"/>
          <w:b/>
          <w:bCs/>
          <w:rtl/>
        </w:rPr>
        <w:t>גילה גמליאל</w:t>
      </w:r>
      <w:r>
        <w:br/>
      </w:r>
      <w:r>
        <w:rPr>
          <w:rFonts w:hint="cs"/>
          <w:b/>
          <w:bCs/>
          <w:rtl/>
        </w:rPr>
        <w:t xml:space="preserve"> </w:t>
      </w:r>
      <w:r>
        <w:tab/>
      </w:r>
      <w:r>
        <w:tab/>
      </w:r>
      <w:r>
        <w:tab/>
      </w:r>
      <w:r>
        <w:tab/>
      </w:r>
      <w:r>
        <w:rPr>
          <w:rFonts w:hint="cs"/>
          <w:b/>
          <w:bCs/>
          <w:rtl/>
        </w:rPr>
        <w:t>ניר ברקת</w:t>
      </w:r>
      <w:r>
        <w:br/>
      </w:r>
      <w:r>
        <w:rPr>
          <w:rFonts w:hint="cs"/>
          <w:b/>
          <w:bCs/>
          <w:rtl/>
        </w:rPr>
        <w:t xml:space="preserve"> </w:t>
      </w:r>
      <w:r>
        <w:tab/>
      </w:r>
      <w:r>
        <w:tab/>
      </w:r>
      <w:r>
        <w:tab/>
      </w:r>
      <w:r>
        <w:tab/>
      </w:r>
      <w:r>
        <w:rPr>
          <w:rFonts w:hint="cs"/>
          <w:b/>
          <w:bCs/>
          <w:rtl/>
        </w:rPr>
        <w:t xml:space="preserve">אוריאל </w:t>
      </w:r>
      <w:proofErr w:type="spellStart"/>
      <w:r>
        <w:rPr>
          <w:rFonts w:hint="cs"/>
          <w:b/>
          <w:bCs/>
          <w:rtl/>
        </w:rPr>
        <w:t>בוסו</w:t>
      </w:r>
      <w:bookmarkEnd w:id="3"/>
      <w:proofErr w:type="spellEnd"/>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7AC8E40B" w:rsidR="00E13C27" w:rsidRPr="00E06736" w:rsidRDefault="00904591" w:rsidP="00002632">
      <w:pPr>
        <w:pStyle w:val="David"/>
        <w:spacing w:line="240" w:lineRule="auto"/>
        <w:ind w:left="6424" w:firstLine="56"/>
        <w:rPr>
          <w:rtl/>
        </w:rPr>
      </w:pPr>
      <w:bookmarkStart w:id="4" w:name="Private_Number"/>
      <w:r>
        <w:rPr>
          <w:rFonts w:hint="cs"/>
          <w:rtl/>
        </w:rPr>
        <w:t>פ/2276/24</w:t>
      </w:r>
      <w:bookmarkEnd w:id="4"/>
    </w:p>
    <w:p w14:paraId="4676C1DD" w14:textId="77777777" w:rsidR="005F7306" w:rsidRPr="00F67051" w:rsidRDefault="005F7306" w:rsidP="005F7306">
      <w:pPr>
        <w:pStyle w:val="HeadHatzaotHok"/>
        <w:rPr>
          <w:rtl/>
        </w:rPr>
      </w:pPr>
      <w:r>
        <w:rPr>
          <w:rFonts w:hint="cs"/>
          <w:rtl/>
        </w:rPr>
        <w:t xml:space="preserve">הצעת חוק האזרחות והכניסה לישראל (הוראת שעה), </w:t>
      </w:r>
      <w:proofErr w:type="spellStart"/>
      <w:r>
        <w:rPr>
          <w:rFonts w:hint="cs"/>
          <w:rtl/>
        </w:rPr>
        <w:t>התשפ"ב</w:t>
      </w:r>
      <w:proofErr w:type="spellEnd"/>
      <w:r>
        <w:rPr>
          <w:rFonts w:hint="eastAsia"/>
          <w:rtl/>
        </w:rPr>
        <w:t>–</w:t>
      </w:r>
      <w:r>
        <w:rPr>
          <w:rFonts w:hint="cs"/>
          <w:rtl/>
        </w:rPr>
        <w:t>2021</w:t>
      </w: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19"/>
      </w:tblGrid>
      <w:tr w:rsidR="005F7306" w:rsidRPr="00E53BE9" w14:paraId="6F1750F2" w14:textId="77777777" w:rsidTr="00E53BE9">
        <w:tc>
          <w:tcPr>
            <w:tcW w:w="1871" w:type="dxa"/>
          </w:tcPr>
          <w:p w14:paraId="54F80DA1" w14:textId="77777777" w:rsidR="005F7306" w:rsidRPr="00E53BE9" w:rsidRDefault="005F7306" w:rsidP="00955A5B">
            <w:pPr>
              <w:pStyle w:val="TableSideHeading"/>
              <w:keepLines w:val="0"/>
              <w:rPr>
                <w:sz w:val="26"/>
              </w:rPr>
            </w:pPr>
            <w:r w:rsidRPr="00E53BE9">
              <w:rPr>
                <w:rFonts w:hint="cs"/>
                <w:sz w:val="26"/>
                <w:rtl/>
              </w:rPr>
              <w:t>הגדרות</w:t>
            </w:r>
          </w:p>
        </w:tc>
        <w:tc>
          <w:tcPr>
            <w:tcW w:w="624" w:type="dxa"/>
          </w:tcPr>
          <w:p w14:paraId="4B2FCB3B" w14:textId="77777777" w:rsidR="005F7306" w:rsidRPr="00E53BE9" w:rsidRDefault="005F7306" w:rsidP="00955A5B">
            <w:pPr>
              <w:pStyle w:val="TableText"/>
              <w:keepLines w:val="0"/>
              <w:rPr>
                <w:sz w:val="26"/>
              </w:rPr>
            </w:pPr>
            <w:r w:rsidRPr="00E53BE9">
              <w:rPr>
                <w:rFonts w:hint="cs"/>
                <w:sz w:val="26"/>
                <w:rtl/>
              </w:rPr>
              <w:t>1.</w:t>
            </w:r>
          </w:p>
        </w:tc>
        <w:tc>
          <w:tcPr>
            <w:tcW w:w="7143" w:type="dxa"/>
            <w:gridSpan w:val="2"/>
          </w:tcPr>
          <w:p w14:paraId="039465F0" w14:textId="77777777" w:rsidR="005F7306" w:rsidRPr="00E53BE9" w:rsidRDefault="005F7306" w:rsidP="00CB7055">
            <w:pPr>
              <w:pStyle w:val="TableBlockOutdent"/>
              <w:rPr>
                <w:sz w:val="26"/>
              </w:rPr>
            </w:pPr>
            <w:r w:rsidRPr="00E53BE9">
              <w:rPr>
                <w:sz w:val="26"/>
                <w:rtl/>
              </w:rPr>
              <w:t>בחוק זה –</w:t>
            </w:r>
          </w:p>
        </w:tc>
      </w:tr>
      <w:tr w:rsidR="005F7306" w:rsidRPr="00E53BE9" w14:paraId="2CF8867C" w14:textId="77777777" w:rsidTr="00E53BE9">
        <w:tc>
          <w:tcPr>
            <w:tcW w:w="1871" w:type="dxa"/>
          </w:tcPr>
          <w:p w14:paraId="6C894CEC" w14:textId="77777777" w:rsidR="005F7306" w:rsidRPr="00E53BE9" w:rsidRDefault="005F7306" w:rsidP="00955A5B">
            <w:pPr>
              <w:pStyle w:val="TableSideHeading"/>
              <w:keepLines w:val="0"/>
              <w:rPr>
                <w:sz w:val="26"/>
              </w:rPr>
            </w:pPr>
          </w:p>
        </w:tc>
        <w:tc>
          <w:tcPr>
            <w:tcW w:w="624" w:type="dxa"/>
          </w:tcPr>
          <w:p w14:paraId="6A58E10F" w14:textId="77777777" w:rsidR="005F7306" w:rsidRPr="00E53BE9" w:rsidRDefault="005F7306" w:rsidP="00955A5B">
            <w:pPr>
              <w:pStyle w:val="TableText"/>
              <w:keepLines w:val="0"/>
              <w:rPr>
                <w:sz w:val="26"/>
              </w:rPr>
            </w:pPr>
          </w:p>
        </w:tc>
        <w:tc>
          <w:tcPr>
            <w:tcW w:w="7143" w:type="dxa"/>
            <w:gridSpan w:val="2"/>
          </w:tcPr>
          <w:p w14:paraId="6EBEE8DE" w14:textId="77777777" w:rsidR="005F7306" w:rsidRPr="00E53BE9" w:rsidRDefault="005F7306" w:rsidP="00A81599">
            <w:pPr>
              <w:pStyle w:val="TableBlockOutdent"/>
              <w:rPr>
                <w:sz w:val="26"/>
              </w:rPr>
            </w:pPr>
            <w:r w:rsidRPr="00E53BE9">
              <w:rPr>
                <w:sz w:val="26"/>
                <w:rtl/>
              </w:rPr>
              <w:t xml:space="preserve">"אזור" </w:t>
            </w:r>
            <w:bookmarkStart w:id="5" w:name="_GoBack"/>
            <w:bookmarkEnd w:id="5"/>
            <w:r w:rsidRPr="00E53BE9">
              <w:rPr>
                <w:sz w:val="26"/>
                <w:rtl/>
              </w:rPr>
              <w:t>– כל אחד מאלה: יהודה והשומרון וחבל עזה;</w:t>
            </w:r>
            <w:r w:rsidRPr="00E53BE9">
              <w:rPr>
                <w:sz w:val="26"/>
              </w:rPr>
              <w:t xml:space="preserve"> </w:t>
            </w:r>
          </w:p>
        </w:tc>
      </w:tr>
      <w:tr w:rsidR="005F7306" w:rsidRPr="00E53BE9" w14:paraId="235C20B8" w14:textId="77777777" w:rsidTr="00E53BE9">
        <w:tc>
          <w:tcPr>
            <w:tcW w:w="1871" w:type="dxa"/>
          </w:tcPr>
          <w:p w14:paraId="554C0402" w14:textId="77777777" w:rsidR="005F7306" w:rsidRPr="00E53BE9" w:rsidRDefault="005F7306" w:rsidP="00955A5B">
            <w:pPr>
              <w:pStyle w:val="TableSideHeading"/>
              <w:keepLines w:val="0"/>
              <w:rPr>
                <w:sz w:val="26"/>
              </w:rPr>
            </w:pPr>
          </w:p>
        </w:tc>
        <w:tc>
          <w:tcPr>
            <w:tcW w:w="624" w:type="dxa"/>
          </w:tcPr>
          <w:p w14:paraId="6042AD12" w14:textId="77777777" w:rsidR="005F7306" w:rsidRPr="00E53BE9" w:rsidRDefault="005F7306" w:rsidP="00955A5B">
            <w:pPr>
              <w:pStyle w:val="TableText"/>
              <w:keepLines w:val="0"/>
              <w:rPr>
                <w:sz w:val="26"/>
              </w:rPr>
            </w:pPr>
          </w:p>
        </w:tc>
        <w:tc>
          <w:tcPr>
            <w:tcW w:w="7143" w:type="dxa"/>
            <w:gridSpan w:val="2"/>
          </w:tcPr>
          <w:p w14:paraId="78F67E67" w14:textId="77777777" w:rsidR="005F7306" w:rsidRPr="00E53BE9" w:rsidRDefault="005F7306" w:rsidP="00A81599">
            <w:pPr>
              <w:pStyle w:val="TableBlockOutdent"/>
              <w:rPr>
                <w:sz w:val="26"/>
                <w:rtl/>
              </w:rPr>
            </w:pPr>
            <w:r w:rsidRPr="00E53BE9">
              <w:rPr>
                <w:sz w:val="26"/>
                <w:rtl/>
              </w:rPr>
              <w:t xml:space="preserve">"חוק האזרחות" – חוק האזרחות, </w:t>
            </w:r>
            <w:proofErr w:type="spellStart"/>
            <w:r w:rsidRPr="00E53BE9">
              <w:rPr>
                <w:sz w:val="26"/>
                <w:rtl/>
              </w:rPr>
              <w:t>התשי"ב</w:t>
            </w:r>
            <w:proofErr w:type="spellEnd"/>
            <w:r w:rsidRPr="00E53BE9">
              <w:rPr>
                <w:rFonts w:hint="eastAsia"/>
                <w:sz w:val="26"/>
                <w:rtl/>
              </w:rPr>
              <w:t>–</w:t>
            </w:r>
            <w:r w:rsidRPr="00E53BE9">
              <w:rPr>
                <w:sz w:val="26"/>
                <w:rtl/>
              </w:rPr>
              <w:softHyphen/>
              <w:t>1952</w:t>
            </w:r>
            <w:r w:rsidRPr="00E53BE9">
              <w:rPr>
                <w:sz w:val="26"/>
                <w:vertAlign w:val="superscript"/>
                <w:rtl/>
              </w:rPr>
              <w:footnoteReference w:id="2"/>
            </w:r>
            <w:r w:rsidRPr="00E53BE9">
              <w:rPr>
                <w:sz w:val="26"/>
                <w:rtl/>
              </w:rPr>
              <w:t xml:space="preserve">; </w:t>
            </w:r>
          </w:p>
        </w:tc>
      </w:tr>
      <w:tr w:rsidR="005F7306" w:rsidRPr="00E53BE9" w14:paraId="4A44568E" w14:textId="77777777" w:rsidTr="00E53BE9">
        <w:tc>
          <w:tcPr>
            <w:tcW w:w="1871" w:type="dxa"/>
          </w:tcPr>
          <w:p w14:paraId="205FEA85" w14:textId="77777777" w:rsidR="005F7306" w:rsidRPr="00E53BE9" w:rsidRDefault="005F7306" w:rsidP="00955A5B">
            <w:pPr>
              <w:pStyle w:val="TableSideHeading"/>
              <w:keepLines w:val="0"/>
              <w:rPr>
                <w:sz w:val="26"/>
              </w:rPr>
            </w:pPr>
          </w:p>
        </w:tc>
        <w:tc>
          <w:tcPr>
            <w:tcW w:w="624" w:type="dxa"/>
          </w:tcPr>
          <w:p w14:paraId="1AB4A239" w14:textId="77777777" w:rsidR="005F7306" w:rsidRPr="00E53BE9" w:rsidRDefault="005F7306" w:rsidP="00955A5B">
            <w:pPr>
              <w:pStyle w:val="TableText"/>
              <w:rPr>
                <w:sz w:val="26"/>
              </w:rPr>
            </w:pPr>
          </w:p>
        </w:tc>
        <w:tc>
          <w:tcPr>
            <w:tcW w:w="7143" w:type="dxa"/>
            <w:gridSpan w:val="2"/>
          </w:tcPr>
          <w:p w14:paraId="1EC01723" w14:textId="77777777" w:rsidR="005F7306" w:rsidRPr="00E53BE9" w:rsidRDefault="005F7306" w:rsidP="00A81599">
            <w:pPr>
              <w:pStyle w:val="TableBlockOutdent"/>
              <w:rPr>
                <w:sz w:val="26"/>
                <w:rtl/>
              </w:rPr>
            </w:pPr>
            <w:r w:rsidRPr="00E53BE9">
              <w:rPr>
                <w:sz w:val="26"/>
                <w:rtl/>
              </w:rPr>
              <w:t xml:space="preserve">"חוק הכניסה לישראל" – חוק הכניסה לישראל, </w:t>
            </w:r>
            <w:proofErr w:type="spellStart"/>
            <w:r w:rsidRPr="00E53BE9">
              <w:rPr>
                <w:sz w:val="26"/>
                <w:rtl/>
              </w:rPr>
              <w:t>התשי"ב</w:t>
            </w:r>
            <w:proofErr w:type="spellEnd"/>
            <w:r w:rsidRPr="00E53BE9">
              <w:rPr>
                <w:rFonts w:hint="eastAsia"/>
                <w:sz w:val="26"/>
                <w:rtl/>
              </w:rPr>
              <w:t>–</w:t>
            </w:r>
            <w:r w:rsidRPr="00E53BE9">
              <w:rPr>
                <w:sz w:val="26"/>
                <w:rtl/>
              </w:rPr>
              <w:t>1952</w:t>
            </w:r>
            <w:r w:rsidRPr="00E53BE9">
              <w:rPr>
                <w:sz w:val="26"/>
                <w:vertAlign w:val="superscript"/>
                <w:rtl/>
              </w:rPr>
              <w:footnoteReference w:id="3"/>
            </w:r>
            <w:r w:rsidRPr="00E53BE9">
              <w:rPr>
                <w:sz w:val="26"/>
                <w:rtl/>
              </w:rPr>
              <w:t>;</w:t>
            </w:r>
          </w:p>
        </w:tc>
      </w:tr>
      <w:tr w:rsidR="005F7306" w:rsidRPr="00E53BE9" w14:paraId="504F33E7" w14:textId="77777777" w:rsidTr="00E53BE9">
        <w:tc>
          <w:tcPr>
            <w:tcW w:w="1871" w:type="dxa"/>
          </w:tcPr>
          <w:p w14:paraId="3AB9724F" w14:textId="77777777" w:rsidR="005F7306" w:rsidRPr="00E53BE9" w:rsidRDefault="005F7306" w:rsidP="00955A5B">
            <w:pPr>
              <w:pStyle w:val="TableSideHeading"/>
              <w:keepLines w:val="0"/>
              <w:rPr>
                <w:sz w:val="26"/>
              </w:rPr>
            </w:pPr>
          </w:p>
        </w:tc>
        <w:tc>
          <w:tcPr>
            <w:tcW w:w="624" w:type="dxa"/>
          </w:tcPr>
          <w:p w14:paraId="776309AD" w14:textId="77777777" w:rsidR="005F7306" w:rsidRPr="00E53BE9" w:rsidRDefault="005F7306" w:rsidP="00955A5B">
            <w:pPr>
              <w:pStyle w:val="TableText"/>
              <w:rPr>
                <w:sz w:val="26"/>
              </w:rPr>
            </w:pPr>
          </w:p>
        </w:tc>
        <w:tc>
          <w:tcPr>
            <w:tcW w:w="7143" w:type="dxa"/>
            <w:gridSpan w:val="2"/>
          </w:tcPr>
          <w:p w14:paraId="2D772EE8" w14:textId="77777777" w:rsidR="005F7306" w:rsidRPr="00E53BE9" w:rsidRDefault="005F7306" w:rsidP="00A81599">
            <w:pPr>
              <w:pStyle w:val="TableBlockOutdent"/>
              <w:rPr>
                <w:sz w:val="26"/>
                <w:rtl/>
              </w:rPr>
            </w:pPr>
            <w:r w:rsidRPr="00E53BE9">
              <w:rPr>
                <w:sz w:val="26"/>
              </w:rPr>
              <w:t>"</w:t>
            </w:r>
            <w:r w:rsidRPr="00E53BE9">
              <w:rPr>
                <w:sz w:val="26"/>
                <w:rtl/>
              </w:rPr>
              <w:t>מפקד האזור" – לענ</w:t>
            </w:r>
            <w:r w:rsidRPr="00E53BE9">
              <w:rPr>
                <w:rFonts w:hint="cs"/>
                <w:sz w:val="26"/>
                <w:rtl/>
              </w:rPr>
              <w:t>י</w:t>
            </w:r>
            <w:r w:rsidRPr="00E53BE9">
              <w:rPr>
                <w:sz w:val="26"/>
                <w:rtl/>
              </w:rPr>
              <w:t>ין יהודה והשומרון – מפקד כוחות צבא הגנה לישראל ביהודה והשומרון, ולענ</w:t>
            </w:r>
            <w:r w:rsidRPr="00E53BE9">
              <w:rPr>
                <w:rFonts w:hint="cs"/>
                <w:sz w:val="26"/>
                <w:rtl/>
              </w:rPr>
              <w:t>י</w:t>
            </w:r>
            <w:r w:rsidRPr="00E53BE9">
              <w:rPr>
                <w:sz w:val="26"/>
                <w:rtl/>
              </w:rPr>
              <w:t>ין חבל עזה – מי שיסמיך שר הפנים, בהסכמת שר הביטחון</w:t>
            </w:r>
            <w:r w:rsidRPr="00E53BE9">
              <w:rPr>
                <w:sz w:val="26"/>
              </w:rPr>
              <w:t>;</w:t>
            </w:r>
          </w:p>
        </w:tc>
      </w:tr>
      <w:tr w:rsidR="005F7306" w:rsidRPr="00E53BE9" w14:paraId="7526B456" w14:textId="77777777" w:rsidTr="00E53BE9">
        <w:tc>
          <w:tcPr>
            <w:tcW w:w="1871" w:type="dxa"/>
          </w:tcPr>
          <w:p w14:paraId="0986F28C" w14:textId="77777777" w:rsidR="005F7306" w:rsidRPr="00E53BE9" w:rsidRDefault="005F7306" w:rsidP="00955A5B">
            <w:pPr>
              <w:pStyle w:val="TableSideHeading"/>
              <w:keepLines w:val="0"/>
              <w:rPr>
                <w:sz w:val="26"/>
              </w:rPr>
            </w:pPr>
          </w:p>
        </w:tc>
        <w:tc>
          <w:tcPr>
            <w:tcW w:w="624" w:type="dxa"/>
          </w:tcPr>
          <w:p w14:paraId="19139F3B" w14:textId="77777777" w:rsidR="005F7306" w:rsidRPr="00E53BE9" w:rsidRDefault="005F7306" w:rsidP="00955A5B">
            <w:pPr>
              <w:pStyle w:val="TableText"/>
              <w:rPr>
                <w:sz w:val="26"/>
              </w:rPr>
            </w:pPr>
          </w:p>
        </w:tc>
        <w:tc>
          <w:tcPr>
            <w:tcW w:w="7143" w:type="dxa"/>
            <w:gridSpan w:val="2"/>
          </w:tcPr>
          <w:p w14:paraId="20D06105" w14:textId="77777777" w:rsidR="005F7306" w:rsidRPr="00E53BE9" w:rsidRDefault="005F7306" w:rsidP="00A81599">
            <w:pPr>
              <w:pStyle w:val="TableBlockOutdent"/>
              <w:rPr>
                <w:sz w:val="26"/>
                <w:rtl/>
              </w:rPr>
            </w:pPr>
            <w:r w:rsidRPr="00E53BE9">
              <w:rPr>
                <w:sz w:val="26"/>
              </w:rPr>
              <w:t>"</w:t>
            </w:r>
            <w:r w:rsidRPr="00E53BE9">
              <w:rPr>
                <w:sz w:val="26"/>
                <w:rtl/>
              </w:rPr>
              <w:t>תושב אזור" – מי שרשום במרשם האוכלוסין של האזור, וכן מי שמתגורר באזור אף שאינו רשום במרשם האוכלוסין של האזור, ולמעט תושב יישוב ישראלי באזור</w:t>
            </w:r>
            <w:r w:rsidRPr="00E53BE9">
              <w:rPr>
                <w:sz w:val="26"/>
              </w:rPr>
              <w:t>.</w:t>
            </w:r>
          </w:p>
        </w:tc>
      </w:tr>
      <w:tr w:rsidR="005F7306" w:rsidRPr="00E53BE9" w14:paraId="72A5D6DA" w14:textId="77777777" w:rsidTr="00E53BE9">
        <w:tc>
          <w:tcPr>
            <w:tcW w:w="1871" w:type="dxa"/>
          </w:tcPr>
          <w:p w14:paraId="68E137EF" w14:textId="77777777" w:rsidR="005F7306" w:rsidRPr="00E53BE9" w:rsidRDefault="005F7306" w:rsidP="00955A5B">
            <w:pPr>
              <w:pStyle w:val="TableSideHeading"/>
              <w:keepLines w:val="0"/>
              <w:rPr>
                <w:sz w:val="26"/>
              </w:rPr>
            </w:pPr>
            <w:r w:rsidRPr="00E53BE9">
              <w:rPr>
                <w:rFonts w:hint="cs"/>
                <w:sz w:val="26"/>
                <w:rtl/>
              </w:rPr>
              <w:t>הגבלת אזרחות וישיבה בישראל</w:t>
            </w:r>
          </w:p>
        </w:tc>
        <w:tc>
          <w:tcPr>
            <w:tcW w:w="624" w:type="dxa"/>
          </w:tcPr>
          <w:p w14:paraId="232BACDC" w14:textId="77777777" w:rsidR="005F7306" w:rsidRPr="00E53BE9" w:rsidRDefault="005F7306" w:rsidP="00955A5B">
            <w:pPr>
              <w:pStyle w:val="TableText"/>
              <w:rPr>
                <w:sz w:val="26"/>
              </w:rPr>
            </w:pPr>
            <w:r w:rsidRPr="00E53BE9">
              <w:rPr>
                <w:rFonts w:hint="cs"/>
                <w:sz w:val="26"/>
                <w:rtl/>
              </w:rPr>
              <w:t xml:space="preserve">2. </w:t>
            </w:r>
          </w:p>
        </w:tc>
        <w:tc>
          <w:tcPr>
            <w:tcW w:w="7143" w:type="dxa"/>
            <w:gridSpan w:val="2"/>
          </w:tcPr>
          <w:p w14:paraId="5D933003" w14:textId="77777777" w:rsidR="005F7306" w:rsidRPr="00E53BE9" w:rsidRDefault="005F7306" w:rsidP="00ED7CBF">
            <w:pPr>
              <w:pStyle w:val="TableBlock"/>
              <w:rPr>
                <w:sz w:val="26"/>
                <w:rtl/>
              </w:rPr>
            </w:pPr>
            <w:r w:rsidRPr="00E53BE9">
              <w:rPr>
                <w:sz w:val="26"/>
                <w:rtl/>
              </w:rPr>
              <w:t>בתקופת תוקפו של חוק זה, על אף האמור בכל דין לרבות סעיף 7 לחוק האזרחות, שר הפנים לא יעניק לתושב אזור או לאזרח או לתושב של מדינה המנויה בתוספת אזרחות לפי חוק האזרחות ולא ייתן לו רישיון לישיבה בישראל לפי חוק הכניסה לישראל, ומפקד האזור לא ייתן לתושב אזור היתר לשהייה בישראל לפי תחיקת הביטחון באזור</w:t>
            </w:r>
            <w:r w:rsidRPr="00E53BE9">
              <w:rPr>
                <w:sz w:val="26"/>
              </w:rPr>
              <w:t>.</w:t>
            </w:r>
          </w:p>
        </w:tc>
      </w:tr>
      <w:tr w:rsidR="005F7306" w:rsidRPr="00E53BE9" w14:paraId="42CA64AD" w14:textId="77777777" w:rsidTr="00E53BE9">
        <w:tc>
          <w:tcPr>
            <w:tcW w:w="1871" w:type="dxa"/>
          </w:tcPr>
          <w:p w14:paraId="5F305B62" w14:textId="77777777" w:rsidR="005F7306" w:rsidRPr="00E53BE9" w:rsidRDefault="005F7306" w:rsidP="00955A5B">
            <w:pPr>
              <w:pStyle w:val="TableSideHeading"/>
              <w:keepLines w:val="0"/>
              <w:rPr>
                <w:sz w:val="26"/>
              </w:rPr>
            </w:pPr>
            <w:r w:rsidRPr="00E53BE9">
              <w:rPr>
                <w:rFonts w:hint="eastAsia"/>
                <w:sz w:val="26"/>
                <w:rtl/>
              </w:rPr>
              <w:t>היתר</w:t>
            </w:r>
            <w:r w:rsidRPr="00E53BE9">
              <w:rPr>
                <w:sz w:val="26"/>
                <w:rtl/>
              </w:rPr>
              <w:t xml:space="preserve"> </w:t>
            </w:r>
            <w:r w:rsidRPr="00E53BE9">
              <w:rPr>
                <w:rFonts w:hint="eastAsia"/>
                <w:sz w:val="26"/>
                <w:rtl/>
              </w:rPr>
              <w:t>לגבי</w:t>
            </w:r>
            <w:r w:rsidRPr="00E53BE9">
              <w:rPr>
                <w:sz w:val="26"/>
                <w:rtl/>
              </w:rPr>
              <w:t xml:space="preserve"> </w:t>
            </w:r>
            <w:r w:rsidRPr="00E53BE9">
              <w:rPr>
                <w:rFonts w:hint="eastAsia"/>
                <w:sz w:val="26"/>
                <w:rtl/>
              </w:rPr>
              <w:t>בני</w:t>
            </w:r>
            <w:r w:rsidRPr="00E53BE9">
              <w:rPr>
                <w:sz w:val="26"/>
                <w:rtl/>
              </w:rPr>
              <w:t xml:space="preserve"> </w:t>
            </w:r>
            <w:r w:rsidRPr="00E53BE9">
              <w:rPr>
                <w:rFonts w:hint="eastAsia"/>
                <w:sz w:val="26"/>
                <w:rtl/>
              </w:rPr>
              <w:t>זוג</w:t>
            </w:r>
          </w:p>
        </w:tc>
        <w:tc>
          <w:tcPr>
            <w:tcW w:w="624" w:type="dxa"/>
          </w:tcPr>
          <w:p w14:paraId="5D2EB7E9" w14:textId="77777777" w:rsidR="005F7306" w:rsidRPr="00E53BE9" w:rsidRDefault="005F7306" w:rsidP="00955A5B">
            <w:pPr>
              <w:pStyle w:val="TableText"/>
              <w:rPr>
                <w:sz w:val="26"/>
              </w:rPr>
            </w:pPr>
            <w:r w:rsidRPr="00E53BE9">
              <w:rPr>
                <w:rFonts w:hint="cs"/>
                <w:sz w:val="26"/>
                <w:rtl/>
              </w:rPr>
              <w:t>3.</w:t>
            </w:r>
          </w:p>
        </w:tc>
        <w:tc>
          <w:tcPr>
            <w:tcW w:w="7143" w:type="dxa"/>
            <w:gridSpan w:val="2"/>
          </w:tcPr>
          <w:p w14:paraId="64524267" w14:textId="77777777" w:rsidR="005F7306" w:rsidRPr="00E53BE9" w:rsidRDefault="005F7306" w:rsidP="00ED7CBF">
            <w:pPr>
              <w:pStyle w:val="TableBlock"/>
              <w:rPr>
                <w:sz w:val="26"/>
              </w:rPr>
            </w:pPr>
            <w:r w:rsidRPr="00E53BE9">
              <w:rPr>
                <w:sz w:val="26"/>
                <w:rtl/>
              </w:rPr>
              <w:t>על אף הוראות סעיף 2, רשאי שר הפנים לפי שיקול דעתו לאשר בקשת תושב האזור למתן היתר לשהייה בישראל בידי מפקד האזור –</w:t>
            </w:r>
          </w:p>
        </w:tc>
      </w:tr>
      <w:tr w:rsidR="005F7306" w:rsidRPr="00E53BE9" w14:paraId="4DFBFC27" w14:textId="77777777" w:rsidTr="00E53BE9">
        <w:tc>
          <w:tcPr>
            <w:tcW w:w="1871" w:type="dxa"/>
          </w:tcPr>
          <w:p w14:paraId="698512F8" w14:textId="77777777" w:rsidR="005F7306" w:rsidRPr="00E53BE9" w:rsidRDefault="005F7306" w:rsidP="00955A5B">
            <w:pPr>
              <w:pStyle w:val="TableSideHeading"/>
              <w:rPr>
                <w:sz w:val="26"/>
              </w:rPr>
            </w:pPr>
          </w:p>
        </w:tc>
        <w:tc>
          <w:tcPr>
            <w:tcW w:w="624" w:type="dxa"/>
          </w:tcPr>
          <w:p w14:paraId="313590EE" w14:textId="77777777" w:rsidR="005F7306" w:rsidRPr="00E53BE9" w:rsidRDefault="005F7306" w:rsidP="00955A5B">
            <w:pPr>
              <w:pStyle w:val="TableText"/>
              <w:rPr>
                <w:sz w:val="26"/>
              </w:rPr>
            </w:pPr>
          </w:p>
        </w:tc>
        <w:tc>
          <w:tcPr>
            <w:tcW w:w="7143" w:type="dxa"/>
            <w:gridSpan w:val="2"/>
          </w:tcPr>
          <w:p w14:paraId="6F05D652" w14:textId="77777777" w:rsidR="005F7306" w:rsidRPr="00E53BE9" w:rsidRDefault="005F7306" w:rsidP="00ED7CBF">
            <w:pPr>
              <w:pStyle w:val="TableBlock"/>
              <w:rPr>
                <w:sz w:val="26"/>
              </w:rPr>
            </w:pPr>
            <w:r w:rsidRPr="00E53BE9">
              <w:rPr>
                <w:sz w:val="26"/>
                <w:rtl/>
              </w:rPr>
              <w:t>(1)</w:t>
            </w:r>
            <w:r w:rsidRPr="00E53BE9">
              <w:rPr>
                <w:sz w:val="26"/>
                <w:rtl/>
              </w:rPr>
              <w:tab/>
              <w:t>לגבי תושב אזור שגילו מעל 35 שנים – לשם מניעת הפרדתו מבת זוגו השוהה כדין בישראל;</w:t>
            </w:r>
          </w:p>
        </w:tc>
      </w:tr>
      <w:tr w:rsidR="005F7306" w:rsidRPr="00E53BE9" w14:paraId="6D156B0A" w14:textId="77777777" w:rsidTr="00E53BE9">
        <w:tc>
          <w:tcPr>
            <w:tcW w:w="1871" w:type="dxa"/>
          </w:tcPr>
          <w:p w14:paraId="57054174" w14:textId="77777777" w:rsidR="005F7306" w:rsidRPr="00E53BE9" w:rsidRDefault="005F7306" w:rsidP="00955A5B">
            <w:pPr>
              <w:pStyle w:val="TableSideHeading"/>
              <w:rPr>
                <w:sz w:val="26"/>
              </w:rPr>
            </w:pPr>
          </w:p>
        </w:tc>
        <w:tc>
          <w:tcPr>
            <w:tcW w:w="624" w:type="dxa"/>
          </w:tcPr>
          <w:p w14:paraId="7FACDE72" w14:textId="77777777" w:rsidR="005F7306" w:rsidRPr="00E53BE9" w:rsidRDefault="005F7306" w:rsidP="00955A5B">
            <w:pPr>
              <w:pStyle w:val="TableText"/>
              <w:rPr>
                <w:sz w:val="26"/>
              </w:rPr>
            </w:pPr>
          </w:p>
        </w:tc>
        <w:tc>
          <w:tcPr>
            <w:tcW w:w="7143" w:type="dxa"/>
            <w:gridSpan w:val="2"/>
          </w:tcPr>
          <w:p w14:paraId="25DEBD6B" w14:textId="77777777" w:rsidR="005F7306" w:rsidRPr="00E53BE9" w:rsidRDefault="005F7306" w:rsidP="00ED7CBF">
            <w:pPr>
              <w:pStyle w:val="TableBlock"/>
              <w:rPr>
                <w:sz w:val="26"/>
                <w:rtl/>
              </w:rPr>
            </w:pPr>
            <w:r w:rsidRPr="00E53BE9">
              <w:rPr>
                <w:sz w:val="26"/>
                <w:rtl/>
              </w:rPr>
              <w:t>(2)</w:t>
            </w:r>
            <w:r w:rsidRPr="00E53BE9">
              <w:rPr>
                <w:sz w:val="26"/>
                <w:rtl/>
              </w:rPr>
              <w:tab/>
              <w:t>לגבי תושבת אזור שגילה מעל 25 שנים – לשם מניעת הפרדתה מבן זוגה השוהה כדין בישראל.</w:t>
            </w:r>
          </w:p>
        </w:tc>
      </w:tr>
      <w:tr w:rsidR="005F7306" w:rsidRPr="00E53BE9" w14:paraId="4E7F9F2F" w14:textId="77777777" w:rsidTr="00E53BE9">
        <w:tc>
          <w:tcPr>
            <w:tcW w:w="1871" w:type="dxa"/>
          </w:tcPr>
          <w:p w14:paraId="69B84F2C" w14:textId="77777777" w:rsidR="005F7306" w:rsidRPr="00E53BE9" w:rsidRDefault="005F7306" w:rsidP="00955A5B">
            <w:pPr>
              <w:pStyle w:val="TableSideHeading"/>
              <w:rPr>
                <w:sz w:val="26"/>
              </w:rPr>
            </w:pPr>
            <w:r w:rsidRPr="00E53BE9">
              <w:rPr>
                <w:rFonts w:hint="cs"/>
                <w:sz w:val="26"/>
                <w:rtl/>
              </w:rPr>
              <w:t>היתר לגבי ילדים</w:t>
            </w:r>
          </w:p>
        </w:tc>
        <w:tc>
          <w:tcPr>
            <w:tcW w:w="624" w:type="dxa"/>
          </w:tcPr>
          <w:p w14:paraId="5EC24497" w14:textId="28351B82" w:rsidR="005F7306" w:rsidRPr="00E53BE9" w:rsidRDefault="00D90201" w:rsidP="00955A5B">
            <w:pPr>
              <w:pStyle w:val="TableText"/>
              <w:rPr>
                <w:sz w:val="26"/>
              </w:rPr>
            </w:pPr>
            <w:r w:rsidRPr="00E53BE9">
              <w:rPr>
                <w:rFonts w:hint="cs"/>
                <w:sz w:val="26"/>
                <w:rtl/>
              </w:rPr>
              <w:t>4.</w:t>
            </w:r>
          </w:p>
        </w:tc>
        <w:tc>
          <w:tcPr>
            <w:tcW w:w="7143" w:type="dxa"/>
            <w:gridSpan w:val="2"/>
          </w:tcPr>
          <w:p w14:paraId="5DCE4D7D" w14:textId="77777777" w:rsidR="005F7306" w:rsidRPr="00E53BE9" w:rsidRDefault="005F7306" w:rsidP="00ED7CBF">
            <w:pPr>
              <w:pStyle w:val="TableBlock"/>
              <w:rPr>
                <w:b/>
                <w:bCs/>
                <w:sz w:val="26"/>
                <w:rtl/>
              </w:rPr>
            </w:pPr>
            <w:r w:rsidRPr="00E53BE9">
              <w:rPr>
                <w:sz w:val="26"/>
                <w:rtl/>
              </w:rPr>
              <w:t>על אף הוראות סעיף 2, רשאי שר הפנים, לפי שיקול דעתו –</w:t>
            </w:r>
          </w:p>
        </w:tc>
      </w:tr>
      <w:tr w:rsidR="005F7306" w:rsidRPr="00E53BE9" w14:paraId="4AB15257" w14:textId="77777777" w:rsidTr="00E53BE9">
        <w:tc>
          <w:tcPr>
            <w:tcW w:w="1871" w:type="dxa"/>
          </w:tcPr>
          <w:p w14:paraId="110AA1B3" w14:textId="77777777" w:rsidR="005F7306" w:rsidRPr="00E53BE9" w:rsidRDefault="005F7306" w:rsidP="00955A5B">
            <w:pPr>
              <w:pStyle w:val="TableSideHeading"/>
              <w:rPr>
                <w:sz w:val="26"/>
                <w:rtl/>
              </w:rPr>
            </w:pPr>
          </w:p>
        </w:tc>
        <w:tc>
          <w:tcPr>
            <w:tcW w:w="624" w:type="dxa"/>
          </w:tcPr>
          <w:p w14:paraId="5FE9F869" w14:textId="77777777" w:rsidR="005F7306" w:rsidRPr="00E53BE9" w:rsidRDefault="005F7306" w:rsidP="00955A5B">
            <w:pPr>
              <w:pStyle w:val="TableText"/>
              <w:rPr>
                <w:sz w:val="26"/>
              </w:rPr>
            </w:pPr>
          </w:p>
        </w:tc>
        <w:tc>
          <w:tcPr>
            <w:tcW w:w="7143" w:type="dxa"/>
            <w:gridSpan w:val="2"/>
          </w:tcPr>
          <w:p w14:paraId="2DEBD0AD" w14:textId="77777777" w:rsidR="005F7306" w:rsidRPr="00E53BE9" w:rsidRDefault="005F7306" w:rsidP="00CB7055">
            <w:pPr>
              <w:pStyle w:val="TableBlock"/>
              <w:rPr>
                <w:sz w:val="26"/>
                <w:rtl/>
              </w:rPr>
            </w:pPr>
            <w:r w:rsidRPr="00E53BE9">
              <w:rPr>
                <w:sz w:val="26"/>
                <w:rtl/>
              </w:rPr>
              <w:t>(1)</w:t>
            </w:r>
            <w:r w:rsidRPr="00E53BE9">
              <w:rPr>
                <w:sz w:val="26"/>
                <w:rtl/>
              </w:rPr>
              <w:tab/>
              <w:t>לתת לקטין תושב אזור שגילו עד 14 שנים רישיון לישיבה בישראל לשם מניעת הפרדתו מהורהו המשמורן השוהה כדין בישראל;</w:t>
            </w:r>
          </w:p>
        </w:tc>
      </w:tr>
      <w:tr w:rsidR="005F7306" w:rsidRPr="00E53BE9" w14:paraId="228C18FC" w14:textId="77777777" w:rsidTr="00E53BE9">
        <w:tc>
          <w:tcPr>
            <w:tcW w:w="1871" w:type="dxa"/>
          </w:tcPr>
          <w:p w14:paraId="0FB0B71D" w14:textId="77777777" w:rsidR="005F7306" w:rsidRPr="00E53BE9" w:rsidRDefault="005F7306" w:rsidP="00955A5B">
            <w:pPr>
              <w:pStyle w:val="TableSideHeading"/>
              <w:rPr>
                <w:sz w:val="26"/>
                <w:rtl/>
              </w:rPr>
            </w:pPr>
          </w:p>
        </w:tc>
        <w:tc>
          <w:tcPr>
            <w:tcW w:w="624" w:type="dxa"/>
          </w:tcPr>
          <w:p w14:paraId="096D8F68" w14:textId="77777777" w:rsidR="005F7306" w:rsidRPr="00E53BE9" w:rsidRDefault="005F7306" w:rsidP="00955A5B">
            <w:pPr>
              <w:pStyle w:val="TableText"/>
              <w:rPr>
                <w:sz w:val="26"/>
              </w:rPr>
            </w:pPr>
          </w:p>
        </w:tc>
        <w:tc>
          <w:tcPr>
            <w:tcW w:w="7143" w:type="dxa"/>
            <w:gridSpan w:val="2"/>
          </w:tcPr>
          <w:p w14:paraId="4B234147" w14:textId="77777777" w:rsidR="005F7306" w:rsidRPr="00E53BE9" w:rsidRDefault="005F7306" w:rsidP="00CB7055">
            <w:pPr>
              <w:pStyle w:val="TableBlock"/>
              <w:rPr>
                <w:sz w:val="26"/>
                <w:rtl/>
              </w:rPr>
            </w:pPr>
            <w:r w:rsidRPr="00E53BE9">
              <w:rPr>
                <w:sz w:val="26"/>
                <w:rtl/>
              </w:rPr>
              <w:t>(2)</w:t>
            </w:r>
            <w:r w:rsidRPr="00E53BE9">
              <w:rPr>
                <w:sz w:val="26"/>
                <w:rtl/>
              </w:rPr>
              <w:tab/>
              <w:t>לאשר בקשה למתן היתר לשהייה בישראל בידי מפקד האזור לקטין תושב האזור שגילו מעל 14 שנים לשם מניעת הפרדתו מהורהו המשמורן השוהה כדין בישראל, ובלבד שלא יוארך היתר כאמור אם הקטין אינו מתגורר דרך קבע בישראל.</w:t>
            </w:r>
          </w:p>
        </w:tc>
      </w:tr>
      <w:tr w:rsidR="005F7306" w:rsidRPr="00E53BE9" w14:paraId="76DD98C8" w14:textId="77777777" w:rsidTr="00E53BE9">
        <w:tc>
          <w:tcPr>
            <w:tcW w:w="1871" w:type="dxa"/>
          </w:tcPr>
          <w:p w14:paraId="73A74D5E" w14:textId="77777777" w:rsidR="005F7306" w:rsidRPr="00E53BE9" w:rsidRDefault="005F7306" w:rsidP="00955A5B">
            <w:pPr>
              <w:pStyle w:val="TableSideHeading"/>
              <w:rPr>
                <w:sz w:val="26"/>
                <w:rtl/>
              </w:rPr>
            </w:pPr>
            <w:r w:rsidRPr="00E53BE9">
              <w:rPr>
                <w:rFonts w:hint="cs"/>
                <w:sz w:val="26"/>
                <w:rtl/>
              </w:rPr>
              <w:t xml:space="preserve">היתר ורישיון במקרים הומניטריים </w:t>
            </w:r>
            <w:r w:rsidRPr="00E53BE9">
              <w:rPr>
                <w:rFonts w:hint="cs"/>
                <w:sz w:val="26"/>
                <w:rtl/>
              </w:rPr>
              <w:lastRenderedPageBreak/>
              <w:t>מיוחדים</w:t>
            </w:r>
          </w:p>
        </w:tc>
        <w:tc>
          <w:tcPr>
            <w:tcW w:w="624" w:type="dxa"/>
          </w:tcPr>
          <w:p w14:paraId="744FF679" w14:textId="77777777" w:rsidR="005F7306" w:rsidRPr="00E53BE9" w:rsidRDefault="005F7306" w:rsidP="00955A5B">
            <w:pPr>
              <w:pStyle w:val="TableText"/>
              <w:rPr>
                <w:sz w:val="26"/>
              </w:rPr>
            </w:pPr>
            <w:r w:rsidRPr="00E53BE9">
              <w:rPr>
                <w:rFonts w:hint="cs"/>
                <w:sz w:val="26"/>
                <w:rtl/>
              </w:rPr>
              <w:lastRenderedPageBreak/>
              <w:t>5.</w:t>
            </w:r>
          </w:p>
        </w:tc>
        <w:tc>
          <w:tcPr>
            <w:tcW w:w="7143" w:type="dxa"/>
            <w:gridSpan w:val="2"/>
          </w:tcPr>
          <w:p w14:paraId="3AAF6C61" w14:textId="1C3B9529" w:rsidR="005F7306" w:rsidRPr="00E53BE9" w:rsidRDefault="005F7306" w:rsidP="00CB7055">
            <w:pPr>
              <w:pStyle w:val="TableBlock"/>
              <w:rPr>
                <w:sz w:val="26"/>
                <w:rtl/>
              </w:rPr>
            </w:pPr>
            <w:r w:rsidRPr="00E53BE9">
              <w:rPr>
                <w:sz w:val="26"/>
                <w:rtl/>
              </w:rPr>
              <w:t>(א)</w:t>
            </w:r>
            <w:r w:rsidR="00054C82" w:rsidRPr="00E53BE9">
              <w:rPr>
                <w:sz w:val="26"/>
                <w:rtl/>
              </w:rPr>
              <w:tab/>
            </w:r>
            <w:r w:rsidRPr="00E53BE9">
              <w:rPr>
                <w:sz w:val="26"/>
                <w:rtl/>
              </w:rPr>
              <w:t xml:space="preserve">על אף הוראות סעיף 2, רשאי שר הפנים, מטעמים הומניטריים מיוחדים, בהמלצת ועדה מקצועית שמינה </w:t>
            </w:r>
            <w:proofErr w:type="spellStart"/>
            <w:r w:rsidRPr="00E53BE9">
              <w:rPr>
                <w:sz w:val="26"/>
                <w:rtl/>
              </w:rPr>
              <w:t>לענין</w:t>
            </w:r>
            <w:proofErr w:type="spellEnd"/>
            <w:r w:rsidRPr="00E53BE9">
              <w:rPr>
                <w:sz w:val="26"/>
                <w:rtl/>
              </w:rPr>
              <w:t xml:space="preserve"> זה (בסעיף זה – הוועדה) –</w:t>
            </w:r>
          </w:p>
        </w:tc>
      </w:tr>
      <w:tr w:rsidR="005F7306" w:rsidRPr="00E53BE9" w14:paraId="21FD96C9" w14:textId="77777777" w:rsidTr="00E53BE9">
        <w:tc>
          <w:tcPr>
            <w:tcW w:w="1871" w:type="dxa"/>
          </w:tcPr>
          <w:p w14:paraId="2E3B1ECD" w14:textId="77777777" w:rsidR="005F7306" w:rsidRPr="00E53BE9" w:rsidRDefault="005F7306" w:rsidP="00955A5B">
            <w:pPr>
              <w:pStyle w:val="TableSideHeading"/>
              <w:rPr>
                <w:sz w:val="26"/>
              </w:rPr>
            </w:pPr>
          </w:p>
        </w:tc>
        <w:tc>
          <w:tcPr>
            <w:tcW w:w="624" w:type="dxa"/>
          </w:tcPr>
          <w:p w14:paraId="2D1978EA" w14:textId="77777777" w:rsidR="005F7306" w:rsidRPr="00E53BE9" w:rsidRDefault="005F7306" w:rsidP="00955A5B">
            <w:pPr>
              <w:pStyle w:val="TableText"/>
              <w:rPr>
                <w:sz w:val="26"/>
              </w:rPr>
            </w:pPr>
          </w:p>
        </w:tc>
        <w:tc>
          <w:tcPr>
            <w:tcW w:w="624" w:type="dxa"/>
          </w:tcPr>
          <w:p w14:paraId="454065B3" w14:textId="77777777" w:rsidR="005F7306" w:rsidRPr="00E53BE9" w:rsidRDefault="005F7306" w:rsidP="00955A5B">
            <w:pPr>
              <w:pStyle w:val="TableText"/>
              <w:rPr>
                <w:sz w:val="26"/>
              </w:rPr>
            </w:pPr>
          </w:p>
        </w:tc>
        <w:tc>
          <w:tcPr>
            <w:tcW w:w="6519" w:type="dxa"/>
          </w:tcPr>
          <w:p w14:paraId="528A62D0" w14:textId="77777777" w:rsidR="005F7306" w:rsidRPr="00E53BE9" w:rsidRDefault="005F7306" w:rsidP="00ED7CBF">
            <w:pPr>
              <w:pStyle w:val="TableBlock"/>
              <w:rPr>
                <w:sz w:val="26"/>
              </w:rPr>
            </w:pPr>
            <w:r w:rsidRPr="00E53BE9">
              <w:rPr>
                <w:sz w:val="26"/>
                <w:rtl/>
              </w:rPr>
              <w:t>(1)</w:t>
            </w:r>
            <w:r w:rsidRPr="00E53BE9">
              <w:rPr>
                <w:sz w:val="26"/>
                <w:rtl/>
              </w:rPr>
              <w:tab/>
              <w:t>לתת רישיון לישיבת ארעי בישראל לתושב אזור או לאזרח או לתושב של מדינה המנויה בתוספת, שבן משפחתו שוהה כדין בישראל;</w:t>
            </w:r>
          </w:p>
        </w:tc>
      </w:tr>
      <w:tr w:rsidR="005F7306" w:rsidRPr="00E53BE9" w14:paraId="0F4A1D1F" w14:textId="77777777" w:rsidTr="00E53BE9">
        <w:tc>
          <w:tcPr>
            <w:tcW w:w="1871" w:type="dxa"/>
          </w:tcPr>
          <w:p w14:paraId="188E72F7" w14:textId="77777777" w:rsidR="005F7306" w:rsidRPr="00E53BE9" w:rsidRDefault="005F7306" w:rsidP="00955A5B">
            <w:pPr>
              <w:pStyle w:val="TableSideHeading"/>
              <w:rPr>
                <w:sz w:val="26"/>
              </w:rPr>
            </w:pPr>
          </w:p>
        </w:tc>
        <w:tc>
          <w:tcPr>
            <w:tcW w:w="624" w:type="dxa"/>
          </w:tcPr>
          <w:p w14:paraId="2BDD2E52" w14:textId="77777777" w:rsidR="005F7306" w:rsidRPr="00E53BE9" w:rsidRDefault="005F7306" w:rsidP="00955A5B">
            <w:pPr>
              <w:pStyle w:val="TableText"/>
              <w:rPr>
                <w:sz w:val="26"/>
              </w:rPr>
            </w:pPr>
          </w:p>
        </w:tc>
        <w:tc>
          <w:tcPr>
            <w:tcW w:w="624" w:type="dxa"/>
          </w:tcPr>
          <w:p w14:paraId="5F46C94B" w14:textId="77777777" w:rsidR="005F7306" w:rsidRPr="00E53BE9" w:rsidRDefault="005F7306" w:rsidP="00955A5B">
            <w:pPr>
              <w:pStyle w:val="TableText"/>
              <w:rPr>
                <w:sz w:val="26"/>
              </w:rPr>
            </w:pPr>
          </w:p>
        </w:tc>
        <w:tc>
          <w:tcPr>
            <w:tcW w:w="6519" w:type="dxa"/>
          </w:tcPr>
          <w:p w14:paraId="39A5235B" w14:textId="77777777" w:rsidR="005F7306" w:rsidRPr="00E53BE9" w:rsidRDefault="005F7306" w:rsidP="00ED7CBF">
            <w:pPr>
              <w:pStyle w:val="TableBlock"/>
              <w:rPr>
                <w:sz w:val="26"/>
                <w:rtl/>
              </w:rPr>
            </w:pPr>
            <w:r w:rsidRPr="00E53BE9">
              <w:rPr>
                <w:sz w:val="26"/>
                <w:rtl/>
              </w:rPr>
              <w:t>(2)</w:t>
            </w:r>
            <w:r w:rsidRPr="00E53BE9">
              <w:rPr>
                <w:sz w:val="26"/>
                <w:rtl/>
              </w:rPr>
              <w:tab/>
              <w:t>לאשר בקשה למתן היתר לשהייה בישראל בידי מפקד האזור, לתושב אזור שבן משפחתו שוהה כדין בישראל.</w:t>
            </w:r>
          </w:p>
        </w:tc>
      </w:tr>
      <w:tr w:rsidR="005F7306" w:rsidRPr="00E53BE9" w14:paraId="178A774D" w14:textId="77777777" w:rsidTr="00E53BE9">
        <w:tc>
          <w:tcPr>
            <w:tcW w:w="1871" w:type="dxa"/>
          </w:tcPr>
          <w:p w14:paraId="294BF78B" w14:textId="77777777" w:rsidR="005F7306" w:rsidRPr="00E53BE9" w:rsidRDefault="005F7306" w:rsidP="00955A5B">
            <w:pPr>
              <w:pStyle w:val="TableSideHeading"/>
              <w:rPr>
                <w:sz w:val="26"/>
              </w:rPr>
            </w:pPr>
          </w:p>
        </w:tc>
        <w:tc>
          <w:tcPr>
            <w:tcW w:w="624" w:type="dxa"/>
          </w:tcPr>
          <w:p w14:paraId="62645BB2" w14:textId="77777777" w:rsidR="005F7306" w:rsidRPr="00E53BE9" w:rsidRDefault="005F7306" w:rsidP="00955A5B">
            <w:pPr>
              <w:pStyle w:val="TableText"/>
              <w:rPr>
                <w:sz w:val="26"/>
              </w:rPr>
            </w:pPr>
          </w:p>
        </w:tc>
        <w:tc>
          <w:tcPr>
            <w:tcW w:w="7143" w:type="dxa"/>
            <w:gridSpan w:val="2"/>
          </w:tcPr>
          <w:p w14:paraId="3F1EB174" w14:textId="34D5F733" w:rsidR="005F7306" w:rsidRPr="00E53BE9" w:rsidRDefault="005F7306" w:rsidP="00ED7CBF">
            <w:pPr>
              <w:pStyle w:val="TableBlock"/>
              <w:rPr>
                <w:sz w:val="26"/>
              </w:rPr>
            </w:pPr>
            <w:r w:rsidRPr="00E53BE9">
              <w:rPr>
                <w:sz w:val="26"/>
                <w:rtl/>
              </w:rPr>
              <w:t>(ב)</w:t>
            </w:r>
            <w:r w:rsidR="00054C82" w:rsidRPr="00E53BE9">
              <w:rPr>
                <w:sz w:val="26"/>
                <w:rtl/>
              </w:rPr>
              <w:tab/>
            </w:r>
            <w:r w:rsidRPr="00E53BE9">
              <w:rPr>
                <w:sz w:val="26"/>
                <w:rtl/>
              </w:rPr>
              <w:t>שר הפנים רשאי להחליט על הקמת כמה ועדות לעני</w:t>
            </w:r>
            <w:r w:rsidR="00054C82" w:rsidRPr="00E53BE9">
              <w:rPr>
                <w:rFonts w:hint="cs"/>
                <w:sz w:val="26"/>
                <w:rtl/>
              </w:rPr>
              <w:t>י</w:t>
            </w:r>
            <w:r w:rsidRPr="00E53BE9">
              <w:rPr>
                <w:sz w:val="26"/>
                <w:rtl/>
              </w:rPr>
              <w:t>ן סעיף זה, שהרכבן יהיה כאמור בסעיף קטן (ג).</w:t>
            </w:r>
          </w:p>
        </w:tc>
      </w:tr>
      <w:tr w:rsidR="005F7306" w:rsidRPr="00E53BE9" w14:paraId="1E249589" w14:textId="77777777" w:rsidTr="00E53BE9">
        <w:tc>
          <w:tcPr>
            <w:tcW w:w="1871" w:type="dxa"/>
          </w:tcPr>
          <w:p w14:paraId="360F7561" w14:textId="77777777" w:rsidR="005F7306" w:rsidRPr="00E53BE9" w:rsidRDefault="005F7306" w:rsidP="00955A5B">
            <w:pPr>
              <w:pStyle w:val="TableSideHeading"/>
              <w:rPr>
                <w:sz w:val="26"/>
              </w:rPr>
            </w:pPr>
          </w:p>
        </w:tc>
        <w:tc>
          <w:tcPr>
            <w:tcW w:w="624" w:type="dxa"/>
          </w:tcPr>
          <w:p w14:paraId="0A16CAC1" w14:textId="77777777" w:rsidR="005F7306" w:rsidRPr="00E53BE9" w:rsidRDefault="005F7306" w:rsidP="00955A5B">
            <w:pPr>
              <w:pStyle w:val="TableText"/>
              <w:rPr>
                <w:sz w:val="26"/>
              </w:rPr>
            </w:pPr>
          </w:p>
        </w:tc>
        <w:tc>
          <w:tcPr>
            <w:tcW w:w="7143" w:type="dxa"/>
            <w:gridSpan w:val="2"/>
          </w:tcPr>
          <w:p w14:paraId="276D10A7" w14:textId="0F7926F0" w:rsidR="005F7306" w:rsidRPr="00E53BE9" w:rsidRDefault="005F7306" w:rsidP="00ED7CBF">
            <w:pPr>
              <w:pStyle w:val="TableBlock"/>
              <w:rPr>
                <w:sz w:val="26"/>
                <w:rtl/>
              </w:rPr>
            </w:pPr>
            <w:r w:rsidRPr="00E53BE9">
              <w:rPr>
                <w:sz w:val="26"/>
                <w:rtl/>
              </w:rPr>
              <w:t>(ג)</w:t>
            </w:r>
            <w:r w:rsidR="00054C82" w:rsidRPr="00E53BE9">
              <w:rPr>
                <w:sz w:val="26"/>
                <w:rtl/>
              </w:rPr>
              <w:tab/>
            </w:r>
            <w:r w:rsidRPr="00E53BE9">
              <w:rPr>
                <w:sz w:val="26"/>
                <w:rtl/>
              </w:rPr>
              <w:t>הרכב הוועדה יהיה –</w:t>
            </w:r>
          </w:p>
        </w:tc>
      </w:tr>
      <w:tr w:rsidR="005F7306" w:rsidRPr="00E53BE9" w14:paraId="4FC728ED" w14:textId="77777777" w:rsidTr="00E53BE9">
        <w:tc>
          <w:tcPr>
            <w:tcW w:w="1871" w:type="dxa"/>
          </w:tcPr>
          <w:p w14:paraId="7C896B74" w14:textId="77777777" w:rsidR="005F7306" w:rsidRPr="00E53BE9" w:rsidRDefault="005F7306" w:rsidP="00955A5B">
            <w:pPr>
              <w:pStyle w:val="TableSideHeading"/>
              <w:rPr>
                <w:sz w:val="26"/>
              </w:rPr>
            </w:pPr>
          </w:p>
        </w:tc>
        <w:tc>
          <w:tcPr>
            <w:tcW w:w="624" w:type="dxa"/>
          </w:tcPr>
          <w:p w14:paraId="3EEC344E" w14:textId="77777777" w:rsidR="005F7306" w:rsidRPr="00E53BE9" w:rsidRDefault="005F7306" w:rsidP="00955A5B">
            <w:pPr>
              <w:pStyle w:val="TableText"/>
              <w:rPr>
                <w:sz w:val="26"/>
              </w:rPr>
            </w:pPr>
          </w:p>
        </w:tc>
        <w:tc>
          <w:tcPr>
            <w:tcW w:w="624" w:type="dxa"/>
          </w:tcPr>
          <w:p w14:paraId="069F7539" w14:textId="77777777" w:rsidR="005F7306" w:rsidRPr="00E53BE9" w:rsidRDefault="005F7306" w:rsidP="00955A5B">
            <w:pPr>
              <w:pStyle w:val="TableText"/>
              <w:rPr>
                <w:sz w:val="26"/>
              </w:rPr>
            </w:pPr>
          </w:p>
        </w:tc>
        <w:tc>
          <w:tcPr>
            <w:tcW w:w="6519" w:type="dxa"/>
          </w:tcPr>
          <w:p w14:paraId="2E60B9DD" w14:textId="77777777" w:rsidR="005F7306" w:rsidRPr="00E53BE9" w:rsidRDefault="005F7306" w:rsidP="00ED7CBF">
            <w:pPr>
              <w:pStyle w:val="TableBlock"/>
              <w:rPr>
                <w:sz w:val="26"/>
              </w:rPr>
            </w:pPr>
            <w:r w:rsidRPr="00E53BE9">
              <w:rPr>
                <w:sz w:val="26"/>
                <w:rtl/>
              </w:rPr>
              <w:t>(1)</w:t>
            </w:r>
            <w:r w:rsidRPr="00E53BE9">
              <w:rPr>
                <w:sz w:val="26"/>
                <w:rtl/>
              </w:rPr>
              <w:tab/>
              <w:t>מי שכשיר להתמנות לשופט בית המשפט המחוזי, שימנה שר הפנים והוא יהיה היושב ראש;</w:t>
            </w:r>
          </w:p>
        </w:tc>
      </w:tr>
      <w:tr w:rsidR="005F7306" w:rsidRPr="00E53BE9" w14:paraId="734598F1" w14:textId="77777777" w:rsidTr="00E53BE9">
        <w:tc>
          <w:tcPr>
            <w:tcW w:w="1871" w:type="dxa"/>
          </w:tcPr>
          <w:p w14:paraId="2679FD8A" w14:textId="77777777" w:rsidR="005F7306" w:rsidRPr="00E53BE9" w:rsidRDefault="005F7306" w:rsidP="00955A5B">
            <w:pPr>
              <w:pStyle w:val="TableSideHeading"/>
              <w:rPr>
                <w:sz w:val="26"/>
              </w:rPr>
            </w:pPr>
          </w:p>
        </w:tc>
        <w:tc>
          <w:tcPr>
            <w:tcW w:w="624" w:type="dxa"/>
          </w:tcPr>
          <w:p w14:paraId="3100711F" w14:textId="77777777" w:rsidR="005F7306" w:rsidRPr="00E53BE9" w:rsidRDefault="005F7306" w:rsidP="00955A5B">
            <w:pPr>
              <w:pStyle w:val="TableText"/>
              <w:rPr>
                <w:sz w:val="26"/>
              </w:rPr>
            </w:pPr>
          </w:p>
        </w:tc>
        <w:tc>
          <w:tcPr>
            <w:tcW w:w="624" w:type="dxa"/>
          </w:tcPr>
          <w:p w14:paraId="790091DE" w14:textId="77777777" w:rsidR="005F7306" w:rsidRPr="00E53BE9" w:rsidRDefault="005F7306" w:rsidP="00955A5B">
            <w:pPr>
              <w:pStyle w:val="TableText"/>
              <w:rPr>
                <w:sz w:val="26"/>
              </w:rPr>
            </w:pPr>
          </w:p>
        </w:tc>
        <w:tc>
          <w:tcPr>
            <w:tcW w:w="6519" w:type="dxa"/>
          </w:tcPr>
          <w:p w14:paraId="25E8E929" w14:textId="77777777" w:rsidR="005F7306" w:rsidRPr="00E53BE9" w:rsidRDefault="005F7306" w:rsidP="00ED7CBF">
            <w:pPr>
              <w:pStyle w:val="TableBlock"/>
              <w:rPr>
                <w:sz w:val="26"/>
                <w:rtl/>
              </w:rPr>
            </w:pPr>
            <w:r w:rsidRPr="00E53BE9">
              <w:rPr>
                <w:sz w:val="26"/>
                <w:rtl/>
              </w:rPr>
              <w:t>(2)</w:t>
            </w:r>
            <w:r w:rsidRPr="00E53BE9">
              <w:rPr>
                <w:sz w:val="26"/>
                <w:rtl/>
              </w:rPr>
              <w:tab/>
              <w:t>נציג שימנה שר הביטחון;</w:t>
            </w:r>
          </w:p>
        </w:tc>
      </w:tr>
      <w:tr w:rsidR="005F7306" w:rsidRPr="00E53BE9" w14:paraId="0BED97EF" w14:textId="77777777" w:rsidTr="00E53BE9">
        <w:tc>
          <w:tcPr>
            <w:tcW w:w="1871" w:type="dxa"/>
          </w:tcPr>
          <w:p w14:paraId="50094797" w14:textId="77777777" w:rsidR="005F7306" w:rsidRPr="00E53BE9" w:rsidRDefault="005F7306" w:rsidP="00955A5B">
            <w:pPr>
              <w:pStyle w:val="TableSideHeading"/>
              <w:rPr>
                <w:sz w:val="26"/>
              </w:rPr>
            </w:pPr>
          </w:p>
        </w:tc>
        <w:tc>
          <w:tcPr>
            <w:tcW w:w="624" w:type="dxa"/>
          </w:tcPr>
          <w:p w14:paraId="0F0C5762" w14:textId="77777777" w:rsidR="005F7306" w:rsidRPr="00E53BE9" w:rsidRDefault="005F7306" w:rsidP="00955A5B">
            <w:pPr>
              <w:pStyle w:val="TableText"/>
              <w:rPr>
                <w:sz w:val="26"/>
              </w:rPr>
            </w:pPr>
          </w:p>
        </w:tc>
        <w:tc>
          <w:tcPr>
            <w:tcW w:w="624" w:type="dxa"/>
          </w:tcPr>
          <w:p w14:paraId="6780F0D0" w14:textId="77777777" w:rsidR="005F7306" w:rsidRPr="00E53BE9" w:rsidRDefault="005F7306" w:rsidP="00955A5B">
            <w:pPr>
              <w:pStyle w:val="TableText"/>
              <w:rPr>
                <w:sz w:val="26"/>
              </w:rPr>
            </w:pPr>
          </w:p>
        </w:tc>
        <w:tc>
          <w:tcPr>
            <w:tcW w:w="6519" w:type="dxa"/>
          </w:tcPr>
          <w:p w14:paraId="58A34DD4" w14:textId="77777777" w:rsidR="005F7306" w:rsidRPr="00E53BE9" w:rsidRDefault="005F7306" w:rsidP="00ED7CBF">
            <w:pPr>
              <w:pStyle w:val="TableBlock"/>
              <w:rPr>
                <w:sz w:val="26"/>
                <w:rtl/>
              </w:rPr>
            </w:pPr>
            <w:r w:rsidRPr="00E53BE9">
              <w:rPr>
                <w:sz w:val="26"/>
                <w:rtl/>
              </w:rPr>
              <w:t>(3)</w:t>
            </w:r>
            <w:r w:rsidRPr="00E53BE9">
              <w:rPr>
                <w:sz w:val="26"/>
                <w:rtl/>
              </w:rPr>
              <w:tab/>
              <w:t>נציג שימנה ראש שירות הביטחון הכללי מבין עובדי השירות;</w:t>
            </w:r>
          </w:p>
        </w:tc>
      </w:tr>
      <w:tr w:rsidR="005F7306" w:rsidRPr="00E53BE9" w14:paraId="7E16A1A7" w14:textId="77777777" w:rsidTr="00E53BE9">
        <w:tc>
          <w:tcPr>
            <w:tcW w:w="1871" w:type="dxa"/>
          </w:tcPr>
          <w:p w14:paraId="34EA5E1A" w14:textId="77777777" w:rsidR="005F7306" w:rsidRPr="00E53BE9" w:rsidRDefault="005F7306" w:rsidP="00955A5B">
            <w:pPr>
              <w:pStyle w:val="TableSideHeading"/>
              <w:rPr>
                <w:sz w:val="26"/>
              </w:rPr>
            </w:pPr>
          </w:p>
        </w:tc>
        <w:tc>
          <w:tcPr>
            <w:tcW w:w="624" w:type="dxa"/>
          </w:tcPr>
          <w:p w14:paraId="1E28E0B7" w14:textId="77777777" w:rsidR="005F7306" w:rsidRPr="00E53BE9" w:rsidRDefault="005F7306" w:rsidP="00955A5B">
            <w:pPr>
              <w:pStyle w:val="TableText"/>
              <w:rPr>
                <w:sz w:val="26"/>
              </w:rPr>
            </w:pPr>
          </w:p>
        </w:tc>
        <w:tc>
          <w:tcPr>
            <w:tcW w:w="624" w:type="dxa"/>
          </w:tcPr>
          <w:p w14:paraId="21419B15" w14:textId="77777777" w:rsidR="005F7306" w:rsidRPr="00E53BE9" w:rsidRDefault="005F7306" w:rsidP="00955A5B">
            <w:pPr>
              <w:pStyle w:val="TableText"/>
              <w:rPr>
                <w:sz w:val="26"/>
              </w:rPr>
            </w:pPr>
          </w:p>
        </w:tc>
        <w:tc>
          <w:tcPr>
            <w:tcW w:w="6519" w:type="dxa"/>
          </w:tcPr>
          <w:p w14:paraId="6CE73CDB" w14:textId="77777777" w:rsidR="005F7306" w:rsidRPr="00E53BE9" w:rsidRDefault="005F7306" w:rsidP="00ED7CBF">
            <w:pPr>
              <w:pStyle w:val="TableBlock"/>
              <w:rPr>
                <w:sz w:val="26"/>
                <w:rtl/>
              </w:rPr>
            </w:pPr>
            <w:r w:rsidRPr="00E53BE9">
              <w:rPr>
                <w:sz w:val="26"/>
                <w:rtl/>
              </w:rPr>
              <w:t>(4)</w:t>
            </w:r>
            <w:r w:rsidRPr="00E53BE9">
              <w:rPr>
                <w:sz w:val="26"/>
                <w:rtl/>
              </w:rPr>
              <w:tab/>
              <w:t>נציג שימנה שר הפנים מבין עובדי משרדו;</w:t>
            </w:r>
          </w:p>
        </w:tc>
      </w:tr>
      <w:tr w:rsidR="005F7306" w:rsidRPr="00E53BE9" w14:paraId="3069B4FB" w14:textId="77777777" w:rsidTr="00E53BE9">
        <w:tc>
          <w:tcPr>
            <w:tcW w:w="1871" w:type="dxa"/>
          </w:tcPr>
          <w:p w14:paraId="45448CDD" w14:textId="77777777" w:rsidR="005F7306" w:rsidRPr="00E53BE9" w:rsidRDefault="005F7306" w:rsidP="00955A5B">
            <w:pPr>
              <w:pStyle w:val="TableSideHeading"/>
              <w:rPr>
                <w:sz w:val="26"/>
              </w:rPr>
            </w:pPr>
          </w:p>
        </w:tc>
        <w:tc>
          <w:tcPr>
            <w:tcW w:w="624" w:type="dxa"/>
          </w:tcPr>
          <w:p w14:paraId="71DCC43D" w14:textId="77777777" w:rsidR="005F7306" w:rsidRPr="00E53BE9" w:rsidRDefault="005F7306" w:rsidP="00955A5B">
            <w:pPr>
              <w:pStyle w:val="TableText"/>
              <w:rPr>
                <w:sz w:val="26"/>
              </w:rPr>
            </w:pPr>
          </w:p>
        </w:tc>
        <w:tc>
          <w:tcPr>
            <w:tcW w:w="624" w:type="dxa"/>
          </w:tcPr>
          <w:p w14:paraId="3D613CB7" w14:textId="77777777" w:rsidR="005F7306" w:rsidRPr="00E53BE9" w:rsidRDefault="005F7306" w:rsidP="00955A5B">
            <w:pPr>
              <w:pStyle w:val="TableText"/>
              <w:rPr>
                <w:sz w:val="26"/>
              </w:rPr>
            </w:pPr>
          </w:p>
        </w:tc>
        <w:tc>
          <w:tcPr>
            <w:tcW w:w="6519" w:type="dxa"/>
          </w:tcPr>
          <w:p w14:paraId="56630954" w14:textId="77777777" w:rsidR="005F7306" w:rsidRPr="00E53BE9" w:rsidRDefault="005F7306" w:rsidP="00ED7CBF">
            <w:pPr>
              <w:pStyle w:val="TableBlock"/>
              <w:rPr>
                <w:sz w:val="26"/>
                <w:rtl/>
              </w:rPr>
            </w:pPr>
            <w:r w:rsidRPr="00E53BE9">
              <w:rPr>
                <w:sz w:val="26"/>
                <w:rtl/>
              </w:rPr>
              <w:t>(5)</w:t>
            </w:r>
            <w:r w:rsidRPr="00E53BE9">
              <w:rPr>
                <w:sz w:val="26"/>
                <w:rtl/>
              </w:rPr>
              <w:tab/>
              <w:t>נציג ציבור שימנו שר המשפטים ושר הפנים.</w:t>
            </w:r>
          </w:p>
        </w:tc>
      </w:tr>
      <w:tr w:rsidR="005F7306" w:rsidRPr="00E53BE9" w14:paraId="6E54C625" w14:textId="77777777" w:rsidTr="00E53BE9">
        <w:tc>
          <w:tcPr>
            <w:tcW w:w="1871" w:type="dxa"/>
          </w:tcPr>
          <w:p w14:paraId="6250D660" w14:textId="77777777" w:rsidR="005F7306" w:rsidRPr="00E53BE9" w:rsidRDefault="005F7306" w:rsidP="00955A5B">
            <w:pPr>
              <w:pStyle w:val="TableSideHeading"/>
              <w:rPr>
                <w:sz w:val="26"/>
              </w:rPr>
            </w:pPr>
          </w:p>
        </w:tc>
        <w:tc>
          <w:tcPr>
            <w:tcW w:w="624" w:type="dxa"/>
          </w:tcPr>
          <w:p w14:paraId="523D0EDE" w14:textId="77777777" w:rsidR="005F7306" w:rsidRPr="00E53BE9" w:rsidRDefault="005F7306" w:rsidP="00955A5B">
            <w:pPr>
              <w:pStyle w:val="TableText"/>
              <w:rPr>
                <w:sz w:val="26"/>
              </w:rPr>
            </w:pPr>
          </w:p>
        </w:tc>
        <w:tc>
          <w:tcPr>
            <w:tcW w:w="7143" w:type="dxa"/>
            <w:gridSpan w:val="2"/>
          </w:tcPr>
          <w:p w14:paraId="0B704D5E" w14:textId="35D77CA3" w:rsidR="005F7306" w:rsidRPr="00E53BE9" w:rsidRDefault="005F7306" w:rsidP="00ED7CBF">
            <w:pPr>
              <w:pStyle w:val="TableBlock"/>
              <w:rPr>
                <w:b/>
                <w:bCs/>
                <w:sz w:val="26"/>
              </w:rPr>
            </w:pPr>
            <w:r w:rsidRPr="00E53BE9">
              <w:rPr>
                <w:sz w:val="26"/>
                <w:rtl/>
              </w:rPr>
              <w:t>(ד)</w:t>
            </w:r>
            <w:r w:rsidR="00054C82" w:rsidRPr="00E53BE9">
              <w:rPr>
                <w:sz w:val="26"/>
                <w:rtl/>
              </w:rPr>
              <w:tab/>
            </w:r>
            <w:r w:rsidRPr="00E53BE9">
              <w:rPr>
                <w:sz w:val="26"/>
                <w:rtl/>
              </w:rPr>
              <w:t xml:space="preserve">שר הפנים ייתן החלטה, בכתב, אם לתת רישיון או לאשר בקשה, לפי </w:t>
            </w:r>
            <w:proofErr w:type="spellStart"/>
            <w:r w:rsidRPr="00E53BE9">
              <w:rPr>
                <w:sz w:val="26"/>
                <w:rtl/>
              </w:rPr>
              <w:t>הענין</w:t>
            </w:r>
            <w:proofErr w:type="spellEnd"/>
            <w:r w:rsidRPr="00E53BE9">
              <w:rPr>
                <w:sz w:val="26"/>
                <w:rtl/>
              </w:rPr>
              <w:t>, כאמור בסעיף קטן (א), בתוך שישה חודשים מיום שהומצאו לוועדה כל המסמכים הדרושים; החלטת השר תהיה מנומקת.</w:t>
            </w:r>
          </w:p>
        </w:tc>
      </w:tr>
      <w:tr w:rsidR="005F7306" w:rsidRPr="00E53BE9" w14:paraId="17A3878F" w14:textId="77777777" w:rsidTr="00E53BE9">
        <w:tc>
          <w:tcPr>
            <w:tcW w:w="1871" w:type="dxa"/>
          </w:tcPr>
          <w:p w14:paraId="45425FB8" w14:textId="77777777" w:rsidR="005F7306" w:rsidRPr="00E53BE9" w:rsidRDefault="005F7306" w:rsidP="00955A5B">
            <w:pPr>
              <w:pStyle w:val="TableSideHeading"/>
              <w:rPr>
                <w:sz w:val="26"/>
              </w:rPr>
            </w:pPr>
          </w:p>
        </w:tc>
        <w:tc>
          <w:tcPr>
            <w:tcW w:w="624" w:type="dxa"/>
          </w:tcPr>
          <w:p w14:paraId="1E5EED70" w14:textId="77777777" w:rsidR="005F7306" w:rsidRPr="00E53BE9" w:rsidRDefault="005F7306" w:rsidP="00955A5B">
            <w:pPr>
              <w:pStyle w:val="TableText"/>
              <w:rPr>
                <w:sz w:val="26"/>
              </w:rPr>
            </w:pPr>
          </w:p>
        </w:tc>
        <w:tc>
          <w:tcPr>
            <w:tcW w:w="7143" w:type="dxa"/>
            <w:gridSpan w:val="2"/>
          </w:tcPr>
          <w:p w14:paraId="3AC7A220" w14:textId="26D53C94" w:rsidR="005F7306" w:rsidRPr="00E53BE9" w:rsidRDefault="005F7306" w:rsidP="00ED7CBF">
            <w:pPr>
              <w:pStyle w:val="TableBlock"/>
              <w:rPr>
                <w:b/>
                <w:bCs/>
                <w:sz w:val="26"/>
                <w:rtl/>
              </w:rPr>
            </w:pPr>
            <w:r w:rsidRPr="00E53BE9">
              <w:rPr>
                <w:sz w:val="26"/>
                <w:rtl/>
              </w:rPr>
              <w:t>(ה)</w:t>
            </w:r>
            <w:r w:rsidR="00054C82" w:rsidRPr="00E53BE9">
              <w:rPr>
                <w:sz w:val="26"/>
                <w:rtl/>
              </w:rPr>
              <w:tab/>
            </w:r>
            <w:r w:rsidRPr="00E53BE9">
              <w:rPr>
                <w:sz w:val="26"/>
                <w:rtl/>
              </w:rPr>
              <w:t>לענ</w:t>
            </w:r>
            <w:r w:rsidR="00054C82" w:rsidRPr="00E53BE9">
              <w:rPr>
                <w:rFonts w:hint="cs"/>
                <w:sz w:val="26"/>
                <w:rtl/>
              </w:rPr>
              <w:t>י</w:t>
            </w:r>
            <w:r w:rsidRPr="00E53BE9">
              <w:rPr>
                <w:sz w:val="26"/>
                <w:rtl/>
              </w:rPr>
              <w:t>ין סעיף זה –</w:t>
            </w:r>
          </w:p>
        </w:tc>
      </w:tr>
      <w:tr w:rsidR="005F7306" w:rsidRPr="00E53BE9" w14:paraId="24A0FDF6" w14:textId="77777777" w:rsidTr="00E53BE9">
        <w:tc>
          <w:tcPr>
            <w:tcW w:w="1871" w:type="dxa"/>
          </w:tcPr>
          <w:p w14:paraId="77943BEF" w14:textId="77777777" w:rsidR="005F7306" w:rsidRPr="00E53BE9" w:rsidRDefault="005F7306" w:rsidP="00955A5B">
            <w:pPr>
              <w:pStyle w:val="TableSideHeading"/>
              <w:rPr>
                <w:sz w:val="26"/>
              </w:rPr>
            </w:pPr>
          </w:p>
        </w:tc>
        <w:tc>
          <w:tcPr>
            <w:tcW w:w="624" w:type="dxa"/>
          </w:tcPr>
          <w:p w14:paraId="0CCC2881" w14:textId="77777777" w:rsidR="005F7306" w:rsidRPr="00E53BE9" w:rsidRDefault="005F7306" w:rsidP="00955A5B">
            <w:pPr>
              <w:pStyle w:val="TableText"/>
              <w:rPr>
                <w:sz w:val="26"/>
              </w:rPr>
            </w:pPr>
          </w:p>
        </w:tc>
        <w:tc>
          <w:tcPr>
            <w:tcW w:w="624" w:type="dxa"/>
          </w:tcPr>
          <w:p w14:paraId="0F3A86E7" w14:textId="77777777" w:rsidR="005F7306" w:rsidRPr="00E53BE9" w:rsidRDefault="005F7306" w:rsidP="00955A5B">
            <w:pPr>
              <w:pStyle w:val="TableText"/>
              <w:rPr>
                <w:sz w:val="26"/>
              </w:rPr>
            </w:pPr>
          </w:p>
        </w:tc>
        <w:tc>
          <w:tcPr>
            <w:tcW w:w="6519" w:type="dxa"/>
          </w:tcPr>
          <w:p w14:paraId="5355FB92" w14:textId="77777777" w:rsidR="005F7306" w:rsidRPr="00E53BE9" w:rsidRDefault="005F7306" w:rsidP="00ED7CBF">
            <w:pPr>
              <w:pStyle w:val="TableBlock"/>
              <w:rPr>
                <w:sz w:val="26"/>
              </w:rPr>
            </w:pPr>
            <w:r w:rsidRPr="00E53BE9">
              <w:rPr>
                <w:sz w:val="26"/>
                <w:rtl/>
              </w:rPr>
              <w:t>(1)</w:t>
            </w:r>
            <w:r w:rsidRPr="00E53BE9">
              <w:rPr>
                <w:sz w:val="26"/>
                <w:rtl/>
              </w:rPr>
              <w:tab/>
              <w:t>העובדה כי בן משפחתו של מבקש ההיתר או הרישיון, השוהה כדין בישראל, הוא בן זוגו, או כי לבני הזוג ילדים משותפים, לא תהווה כשלעצמה טעם הומניטרי מיוחד;</w:t>
            </w:r>
          </w:p>
        </w:tc>
      </w:tr>
      <w:tr w:rsidR="005F7306" w:rsidRPr="00E53BE9" w14:paraId="5511C13B" w14:textId="77777777" w:rsidTr="00E53BE9">
        <w:tc>
          <w:tcPr>
            <w:tcW w:w="1871" w:type="dxa"/>
          </w:tcPr>
          <w:p w14:paraId="4F3B8BC0" w14:textId="77777777" w:rsidR="005F7306" w:rsidRPr="00E53BE9" w:rsidRDefault="005F7306" w:rsidP="00955A5B">
            <w:pPr>
              <w:pStyle w:val="TableSideHeading"/>
              <w:rPr>
                <w:sz w:val="26"/>
              </w:rPr>
            </w:pPr>
          </w:p>
        </w:tc>
        <w:tc>
          <w:tcPr>
            <w:tcW w:w="624" w:type="dxa"/>
          </w:tcPr>
          <w:p w14:paraId="3A6D263B" w14:textId="77777777" w:rsidR="005F7306" w:rsidRPr="00E53BE9" w:rsidRDefault="005F7306" w:rsidP="00955A5B">
            <w:pPr>
              <w:pStyle w:val="TableText"/>
              <w:rPr>
                <w:sz w:val="26"/>
              </w:rPr>
            </w:pPr>
          </w:p>
        </w:tc>
        <w:tc>
          <w:tcPr>
            <w:tcW w:w="624" w:type="dxa"/>
          </w:tcPr>
          <w:p w14:paraId="08608B57" w14:textId="77777777" w:rsidR="005F7306" w:rsidRPr="00E53BE9" w:rsidRDefault="005F7306" w:rsidP="00955A5B">
            <w:pPr>
              <w:pStyle w:val="TableText"/>
              <w:rPr>
                <w:sz w:val="26"/>
              </w:rPr>
            </w:pPr>
          </w:p>
        </w:tc>
        <w:tc>
          <w:tcPr>
            <w:tcW w:w="6519" w:type="dxa"/>
          </w:tcPr>
          <w:p w14:paraId="7ACE3D47" w14:textId="0F5F69AA" w:rsidR="005F7306" w:rsidRPr="00E53BE9" w:rsidRDefault="005F7306" w:rsidP="00ED7CBF">
            <w:pPr>
              <w:pStyle w:val="TableBlock"/>
              <w:rPr>
                <w:sz w:val="26"/>
                <w:rtl/>
              </w:rPr>
            </w:pPr>
            <w:r w:rsidRPr="00E53BE9">
              <w:rPr>
                <w:sz w:val="26"/>
                <w:rtl/>
              </w:rPr>
              <w:t>(2)</w:t>
            </w:r>
            <w:r w:rsidRPr="00E53BE9">
              <w:rPr>
                <w:sz w:val="26"/>
                <w:rtl/>
              </w:rPr>
              <w:tab/>
              <w:t xml:space="preserve">היה מבקש הרישיון תושב סוריה, ובן זוגו הוא בן העדה הדרוזית השוהה כדין בישראל ומתגורר בשטח רמת הגולן שהוחל עליו המשפט, השיפוט </w:t>
            </w:r>
            <w:proofErr w:type="spellStart"/>
            <w:r w:rsidRPr="00E53BE9">
              <w:rPr>
                <w:sz w:val="26"/>
                <w:rtl/>
              </w:rPr>
              <w:t>והמינהל</w:t>
            </w:r>
            <w:proofErr w:type="spellEnd"/>
            <w:r w:rsidRPr="00E53BE9">
              <w:rPr>
                <w:sz w:val="26"/>
                <w:rtl/>
              </w:rPr>
              <w:t xml:space="preserve"> של מדינת ישראל, לפי חוק רמת הגולן, </w:t>
            </w:r>
            <w:proofErr w:type="spellStart"/>
            <w:r w:rsidRPr="00E53BE9">
              <w:rPr>
                <w:sz w:val="26"/>
                <w:rtl/>
              </w:rPr>
              <w:t>התשמ"ב</w:t>
            </w:r>
            <w:proofErr w:type="spellEnd"/>
            <w:r w:rsidRPr="00E53BE9">
              <w:rPr>
                <w:rFonts w:hint="cs"/>
                <w:sz w:val="26"/>
                <w:rtl/>
              </w:rPr>
              <w:t>–</w:t>
            </w:r>
            <w:r w:rsidRPr="00E53BE9">
              <w:rPr>
                <w:sz w:val="26"/>
                <w:rtl/>
              </w:rPr>
              <w:t>1981</w:t>
            </w:r>
            <w:r w:rsidR="00ED7CBF" w:rsidRPr="00E53BE9">
              <w:rPr>
                <w:sz w:val="26"/>
                <w:vertAlign w:val="superscript"/>
                <w:rtl/>
              </w:rPr>
              <w:footnoteReference w:id="4"/>
            </w:r>
            <w:r w:rsidRPr="00E53BE9">
              <w:rPr>
                <w:sz w:val="26"/>
                <w:rtl/>
              </w:rPr>
              <w:t>, רשאי שר הפנים לראות בכך טעם הומניטרי מיוחד.</w:t>
            </w:r>
          </w:p>
        </w:tc>
      </w:tr>
      <w:tr w:rsidR="005F7306" w:rsidRPr="00E53BE9" w14:paraId="3AABCF5B" w14:textId="77777777" w:rsidTr="00E53BE9">
        <w:tc>
          <w:tcPr>
            <w:tcW w:w="1871" w:type="dxa"/>
          </w:tcPr>
          <w:p w14:paraId="252ED8C4" w14:textId="77777777" w:rsidR="005F7306" w:rsidRPr="00E53BE9" w:rsidRDefault="005F7306" w:rsidP="00955A5B">
            <w:pPr>
              <w:pStyle w:val="TableSideHeading"/>
              <w:rPr>
                <w:sz w:val="26"/>
              </w:rPr>
            </w:pPr>
          </w:p>
        </w:tc>
        <w:tc>
          <w:tcPr>
            <w:tcW w:w="624" w:type="dxa"/>
          </w:tcPr>
          <w:p w14:paraId="113E9300" w14:textId="77777777" w:rsidR="005F7306" w:rsidRPr="00E53BE9" w:rsidRDefault="005F7306" w:rsidP="00955A5B">
            <w:pPr>
              <w:pStyle w:val="TableText"/>
              <w:rPr>
                <w:sz w:val="26"/>
              </w:rPr>
            </w:pPr>
          </w:p>
        </w:tc>
        <w:tc>
          <w:tcPr>
            <w:tcW w:w="7143" w:type="dxa"/>
            <w:gridSpan w:val="2"/>
          </w:tcPr>
          <w:p w14:paraId="289A1888" w14:textId="2693EDCC" w:rsidR="005F7306" w:rsidRPr="00E53BE9" w:rsidRDefault="005F7306" w:rsidP="00A34E44">
            <w:pPr>
              <w:pStyle w:val="TableBlock"/>
              <w:rPr>
                <w:sz w:val="26"/>
              </w:rPr>
            </w:pPr>
            <w:r w:rsidRPr="00E53BE9">
              <w:rPr>
                <w:sz w:val="26"/>
                <w:rtl/>
              </w:rPr>
              <w:t>(ו)</w:t>
            </w:r>
            <w:r w:rsidR="00054C82" w:rsidRPr="00E53BE9">
              <w:rPr>
                <w:sz w:val="26"/>
                <w:rtl/>
              </w:rPr>
              <w:tab/>
            </w:r>
            <w:r w:rsidRPr="00E53BE9">
              <w:rPr>
                <w:sz w:val="26"/>
                <w:rtl/>
              </w:rPr>
              <w:t>שר הפנים יכול לקבוע בצו, באישור הממשלה, מכסה שנתית מרבית של רישיונות או היתרים שיינתנו או שיאושרו לפי סעיף זה.</w:t>
            </w:r>
          </w:p>
        </w:tc>
      </w:tr>
      <w:tr w:rsidR="005F7306" w:rsidRPr="00E53BE9" w14:paraId="3E070420" w14:textId="77777777" w:rsidTr="00E53BE9">
        <w:tc>
          <w:tcPr>
            <w:tcW w:w="1871" w:type="dxa"/>
          </w:tcPr>
          <w:p w14:paraId="6C3EA781" w14:textId="77777777" w:rsidR="005F7306" w:rsidRPr="00E53BE9" w:rsidRDefault="005F7306" w:rsidP="00955A5B">
            <w:pPr>
              <w:pStyle w:val="TableSideHeading"/>
              <w:rPr>
                <w:sz w:val="26"/>
              </w:rPr>
            </w:pPr>
          </w:p>
        </w:tc>
        <w:tc>
          <w:tcPr>
            <w:tcW w:w="624" w:type="dxa"/>
          </w:tcPr>
          <w:p w14:paraId="3AACEAB6" w14:textId="77777777" w:rsidR="005F7306" w:rsidRPr="00E53BE9" w:rsidRDefault="005F7306" w:rsidP="00955A5B">
            <w:pPr>
              <w:pStyle w:val="TableText"/>
              <w:rPr>
                <w:sz w:val="26"/>
              </w:rPr>
            </w:pPr>
          </w:p>
        </w:tc>
        <w:tc>
          <w:tcPr>
            <w:tcW w:w="7143" w:type="dxa"/>
            <w:gridSpan w:val="2"/>
          </w:tcPr>
          <w:p w14:paraId="16B522DC" w14:textId="14168447" w:rsidR="005F7306" w:rsidRPr="00E53BE9" w:rsidRDefault="005F7306" w:rsidP="00A34E44">
            <w:pPr>
              <w:pStyle w:val="TableBlock"/>
              <w:rPr>
                <w:sz w:val="26"/>
                <w:rtl/>
              </w:rPr>
            </w:pPr>
            <w:r w:rsidRPr="00E53BE9">
              <w:rPr>
                <w:sz w:val="26"/>
                <w:rtl/>
              </w:rPr>
              <w:t>(ז)</w:t>
            </w:r>
            <w:r w:rsidR="00054C82" w:rsidRPr="00E53BE9">
              <w:rPr>
                <w:sz w:val="26"/>
                <w:rtl/>
              </w:rPr>
              <w:tab/>
            </w:r>
            <w:r w:rsidRPr="00E53BE9">
              <w:rPr>
                <w:sz w:val="26"/>
                <w:rtl/>
              </w:rPr>
              <w:t>בסעיף זה, "בן משפחה" – בן זוג, הורה או ילד.</w:t>
            </w:r>
          </w:p>
        </w:tc>
      </w:tr>
      <w:tr w:rsidR="005F7306" w:rsidRPr="00E53BE9" w14:paraId="164D73B4" w14:textId="77777777" w:rsidTr="00E53BE9">
        <w:tc>
          <w:tcPr>
            <w:tcW w:w="1871" w:type="dxa"/>
          </w:tcPr>
          <w:p w14:paraId="2E360DED" w14:textId="77777777" w:rsidR="005F7306" w:rsidRPr="00E53BE9" w:rsidRDefault="005F7306" w:rsidP="00955A5B">
            <w:pPr>
              <w:pStyle w:val="TableSideHeading"/>
              <w:rPr>
                <w:sz w:val="26"/>
              </w:rPr>
            </w:pPr>
            <w:r w:rsidRPr="00E53BE9">
              <w:rPr>
                <w:rFonts w:hint="cs"/>
                <w:sz w:val="26"/>
                <w:rtl/>
              </w:rPr>
              <w:t>היתרים נוספים</w:t>
            </w:r>
          </w:p>
        </w:tc>
        <w:tc>
          <w:tcPr>
            <w:tcW w:w="624" w:type="dxa"/>
          </w:tcPr>
          <w:p w14:paraId="6AC10FD1" w14:textId="77777777" w:rsidR="005F7306" w:rsidRPr="00E53BE9" w:rsidRDefault="005F7306" w:rsidP="00955A5B">
            <w:pPr>
              <w:pStyle w:val="TableText"/>
              <w:rPr>
                <w:sz w:val="26"/>
              </w:rPr>
            </w:pPr>
            <w:r w:rsidRPr="00E53BE9">
              <w:rPr>
                <w:rFonts w:hint="cs"/>
                <w:sz w:val="26"/>
                <w:rtl/>
              </w:rPr>
              <w:t>6.</w:t>
            </w:r>
          </w:p>
        </w:tc>
        <w:tc>
          <w:tcPr>
            <w:tcW w:w="7143" w:type="dxa"/>
            <w:gridSpan w:val="2"/>
          </w:tcPr>
          <w:p w14:paraId="0B88B326" w14:textId="77777777" w:rsidR="005F7306" w:rsidRPr="00E53BE9" w:rsidRDefault="005F7306" w:rsidP="00A34E44">
            <w:pPr>
              <w:pStyle w:val="TableBlock"/>
              <w:rPr>
                <w:b/>
                <w:bCs/>
                <w:sz w:val="26"/>
              </w:rPr>
            </w:pPr>
            <w:r w:rsidRPr="00E53BE9">
              <w:rPr>
                <w:sz w:val="26"/>
                <w:rtl/>
              </w:rPr>
              <w:t>על אף הוראות סעיף 2, רשאי מפקד האזור לתת היתר לשהייה בישראל למטרה כמפורט להלן:</w:t>
            </w:r>
          </w:p>
        </w:tc>
      </w:tr>
      <w:tr w:rsidR="00A34E44" w:rsidRPr="00E53BE9" w14:paraId="3F09F366" w14:textId="77777777" w:rsidTr="00E53BE9">
        <w:tc>
          <w:tcPr>
            <w:tcW w:w="1871" w:type="dxa"/>
          </w:tcPr>
          <w:p w14:paraId="345C6B07" w14:textId="77777777" w:rsidR="00A34E44" w:rsidRPr="00E53BE9" w:rsidRDefault="00A34E44" w:rsidP="00955A5B">
            <w:pPr>
              <w:pStyle w:val="TableSideHeading"/>
              <w:rPr>
                <w:sz w:val="26"/>
              </w:rPr>
            </w:pPr>
          </w:p>
        </w:tc>
        <w:tc>
          <w:tcPr>
            <w:tcW w:w="624" w:type="dxa"/>
          </w:tcPr>
          <w:p w14:paraId="5882AC94" w14:textId="77777777" w:rsidR="00A34E44" w:rsidRPr="00E53BE9" w:rsidRDefault="00A34E44" w:rsidP="00955A5B">
            <w:pPr>
              <w:pStyle w:val="TableText"/>
              <w:rPr>
                <w:sz w:val="26"/>
              </w:rPr>
            </w:pPr>
          </w:p>
        </w:tc>
        <w:tc>
          <w:tcPr>
            <w:tcW w:w="7143" w:type="dxa"/>
            <w:gridSpan w:val="2"/>
          </w:tcPr>
          <w:p w14:paraId="794DF702" w14:textId="77777777" w:rsidR="00A34E44" w:rsidRPr="00E53BE9" w:rsidRDefault="00A34E44" w:rsidP="00CB7055">
            <w:pPr>
              <w:pStyle w:val="TableBlock"/>
              <w:rPr>
                <w:sz w:val="26"/>
              </w:rPr>
            </w:pPr>
            <w:r w:rsidRPr="00E53BE9">
              <w:rPr>
                <w:rFonts w:hint="cs"/>
                <w:sz w:val="26"/>
                <w:rtl/>
              </w:rPr>
              <w:t>(1)</w:t>
            </w:r>
            <w:r w:rsidRPr="00E53BE9">
              <w:rPr>
                <w:sz w:val="26"/>
                <w:rtl/>
              </w:rPr>
              <w:tab/>
            </w:r>
            <w:r w:rsidRPr="00E53BE9">
              <w:rPr>
                <w:rFonts w:hint="cs"/>
                <w:sz w:val="26"/>
                <w:rtl/>
              </w:rPr>
              <w:t>טיפול רפואי</w:t>
            </w:r>
            <w:r w:rsidRPr="00E53BE9">
              <w:rPr>
                <w:sz w:val="26"/>
                <w:rtl/>
              </w:rPr>
              <w:t>;</w:t>
            </w:r>
          </w:p>
        </w:tc>
      </w:tr>
      <w:tr w:rsidR="00A34E44" w:rsidRPr="00E53BE9" w14:paraId="72694F7E" w14:textId="77777777" w:rsidTr="00E53BE9">
        <w:tc>
          <w:tcPr>
            <w:tcW w:w="1871" w:type="dxa"/>
          </w:tcPr>
          <w:p w14:paraId="7BCB6AA4" w14:textId="77777777" w:rsidR="00A34E44" w:rsidRPr="00E53BE9" w:rsidRDefault="00A34E44" w:rsidP="00955A5B">
            <w:pPr>
              <w:pStyle w:val="TableSideHeading"/>
              <w:rPr>
                <w:sz w:val="26"/>
              </w:rPr>
            </w:pPr>
          </w:p>
        </w:tc>
        <w:tc>
          <w:tcPr>
            <w:tcW w:w="624" w:type="dxa"/>
          </w:tcPr>
          <w:p w14:paraId="45C70692" w14:textId="77777777" w:rsidR="00A34E44" w:rsidRPr="00E53BE9" w:rsidRDefault="00A34E44" w:rsidP="00955A5B">
            <w:pPr>
              <w:pStyle w:val="TableText"/>
              <w:rPr>
                <w:sz w:val="26"/>
              </w:rPr>
            </w:pPr>
          </w:p>
        </w:tc>
        <w:tc>
          <w:tcPr>
            <w:tcW w:w="7143" w:type="dxa"/>
            <w:gridSpan w:val="2"/>
          </w:tcPr>
          <w:p w14:paraId="509B571A" w14:textId="77777777" w:rsidR="00A34E44" w:rsidRPr="00E53BE9" w:rsidRDefault="00A34E44" w:rsidP="00CB7055">
            <w:pPr>
              <w:pStyle w:val="TableBlock"/>
              <w:rPr>
                <w:sz w:val="26"/>
                <w:rtl/>
              </w:rPr>
            </w:pPr>
            <w:r w:rsidRPr="00E53BE9">
              <w:rPr>
                <w:rFonts w:hint="cs"/>
                <w:sz w:val="26"/>
                <w:rtl/>
              </w:rPr>
              <w:t>(2)</w:t>
            </w:r>
            <w:r w:rsidRPr="00E53BE9">
              <w:rPr>
                <w:sz w:val="26"/>
                <w:rtl/>
              </w:rPr>
              <w:tab/>
            </w:r>
            <w:r w:rsidRPr="00E53BE9">
              <w:rPr>
                <w:rFonts w:hint="cs"/>
                <w:sz w:val="26"/>
                <w:rtl/>
              </w:rPr>
              <w:t>עבודה בישראל</w:t>
            </w:r>
            <w:r w:rsidRPr="00E53BE9">
              <w:rPr>
                <w:sz w:val="26"/>
                <w:rtl/>
              </w:rPr>
              <w:t>;</w:t>
            </w:r>
          </w:p>
        </w:tc>
      </w:tr>
      <w:tr w:rsidR="00A34E44" w:rsidRPr="00E53BE9" w14:paraId="5AE32477" w14:textId="77777777" w:rsidTr="00E53BE9">
        <w:tc>
          <w:tcPr>
            <w:tcW w:w="1871" w:type="dxa"/>
          </w:tcPr>
          <w:p w14:paraId="4D1B86D0" w14:textId="77777777" w:rsidR="00A34E44" w:rsidRPr="00E53BE9" w:rsidRDefault="00A34E44" w:rsidP="00955A5B">
            <w:pPr>
              <w:pStyle w:val="TableSideHeading"/>
              <w:rPr>
                <w:sz w:val="26"/>
              </w:rPr>
            </w:pPr>
          </w:p>
        </w:tc>
        <w:tc>
          <w:tcPr>
            <w:tcW w:w="624" w:type="dxa"/>
          </w:tcPr>
          <w:p w14:paraId="340FC516" w14:textId="77777777" w:rsidR="00A34E44" w:rsidRPr="00E53BE9" w:rsidRDefault="00A34E44" w:rsidP="00955A5B">
            <w:pPr>
              <w:pStyle w:val="TableText"/>
              <w:rPr>
                <w:sz w:val="26"/>
              </w:rPr>
            </w:pPr>
          </w:p>
        </w:tc>
        <w:tc>
          <w:tcPr>
            <w:tcW w:w="7143" w:type="dxa"/>
            <w:gridSpan w:val="2"/>
          </w:tcPr>
          <w:p w14:paraId="535E11F1" w14:textId="77777777" w:rsidR="00A34E44" w:rsidRPr="00E53BE9" w:rsidRDefault="00A34E44" w:rsidP="00CB7055">
            <w:pPr>
              <w:pStyle w:val="TableBlock"/>
              <w:rPr>
                <w:sz w:val="26"/>
                <w:rtl/>
              </w:rPr>
            </w:pPr>
            <w:r w:rsidRPr="00E53BE9">
              <w:rPr>
                <w:rFonts w:hint="cs"/>
                <w:sz w:val="26"/>
                <w:rtl/>
              </w:rPr>
              <w:t>(3)</w:t>
            </w:r>
            <w:r w:rsidRPr="00E53BE9">
              <w:rPr>
                <w:sz w:val="26"/>
                <w:rtl/>
              </w:rPr>
              <w:tab/>
              <w:t>למטרה זמנית, ובלבד שהיתר לשהייה למטרה כאמור יינתן לתקופה מצטברת שלא תעלה על שישה חודשים</w:t>
            </w:r>
            <w:r w:rsidRPr="00E53BE9">
              <w:rPr>
                <w:rFonts w:hint="cs"/>
                <w:sz w:val="26"/>
                <w:rtl/>
              </w:rPr>
              <w:t>.</w:t>
            </w:r>
          </w:p>
        </w:tc>
      </w:tr>
      <w:tr w:rsidR="005F7306" w:rsidRPr="00E53BE9" w14:paraId="5C8A17C8" w14:textId="77777777" w:rsidTr="00E53BE9">
        <w:tc>
          <w:tcPr>
            <w:tcW w:w="1871" w:type="dxa"/>
          </w:tcPr>
          <w:p w14:paraId="56FAC1DF" w14:textId="77777777" w:rsidR="005F7306" w:rsidRPr="00E53BE9" w:rsidRDefault="005F7306" w:rsidP="00955A5B">
            <w:pPr>
              <w:pStyle w:val="TableSideHeading"/>
              <w:keepLines w:val="0"/>
              <w:rPr>
                <w:sz w:val="26"/>
              </w:rPr>
            </w:pPr>
            <w:r w:rsidRPr="00E53BE9">
              <w:rPr>
                <w:rFonts w:hint="cs"/>
                <w:sz w:val="26"/>
                <w:rtl/>
              </w:rPr>
              <w:t>היתר מיוחד</w:t>
            </w:r>
          </w:p>
        </w:tc>
        <w:tc>
          <w:tcPr>
            <w:tcW w:w="624" w:type="dxa"/>
          </w:tcPr>
          <w:p w14:paraId="6CEC5D47" w14:textId="77777777" w:rsidR="005F7306" w:rsidRPr="00E53BE9" w:rsidRDefault="005F7306" w:rsidP="00955A5B">
            <w:pPr>
              <w:pStyle w:val="TableText"/>
              <w:rPr>
                <w:sz w:val="26"/>
                <w:rtl/>
              </w:rPr>
            </w:pPr>
            <w:r w:rsidRPr="00E53BE9">
              <w:rPr>
                <w:rFonts w:hint="cs"/>
                <w:sz w:val="26"/>
                <w:rtl/>
              </w:rPr>
              <w:t>7.</w:t>
            </w:r>
          </w:p>
        </w:tc>
        <w:tc>
          <w:tcPr>
            <w:tcW w:w="7143" w:type="dxa"/>
            <w:gridSpan w:val="2"/>
          </w:tcPr>
          <w:p w14:paraId="42C361C2" w14:textId="280E8E40" w:rsidR="005F7306" w:rsidRPr="00E53BE9" w:rsidRDefault="005F7306" w:rsidP="00A34E44">
            <w:pPr>
              <w:pStyle w:val="TableBlock"/>
              <w:rPr>
                <w:b/>
                <w:bCs/>
                <w:sz w:val="26"/>
                <w:rtl/>
              </w:rPr>
            </w:pPr>
            <w:r w:rsidRPr="00E53BE9">
              <w:rPr>
                <w:sz w:val="26"/>
                <w:rtl/>
              </w:rPr>
              <w:t>על אף הוראות סעיף 2, רשאי שר הפנים להעניק אזרחות או לתת רישיון לישיבה בישראל, לתושב אזור או לאזרח או לתושב של מדינה המנויה בתוספת, ורשאי מפקד האזור לתת לתושב אזור היתר לשהייה בישראל, אם שוכנעו כי התושב או האזרח כאמור מזדהה עם מדינת ישראל ויעדיה וכי הוא או בן משפחתו פעלו פעולה של ממש לקידום הביטחון, הכלכלה או ענין חשוב אחר של המדינה, או שהענקת האזרחות, מתן הרישיון לישיבה בישראל או מתן ההיתר לשהייה בישראל, לפי הענ</w:t>
            </w:r>
            <w:r w:rsidR="00054C82" w:rsidRPr="00E53BE9">
              <w:rPr>
                <w:rFonts w:hint="cs"/>
                <w:sz w:val="26"/>
                <w:rtl/>
              </w:rPr>
              <w:t>י</w:t>
            </w:r>
            <w:r w:rsidRPr="00E53BE9">
              <w:rPr>
                <w:sz w:val="26"/>
                <w:rtl/>
              </w:rPr>
              <w:t>ין, הם מענ</w:t>
            </w:r>
            <w:r w:rsidR="00054C82" w:rsidRPr="00E53BE9">
              <w:rPr>
                <w:rFonts w:hint="cs"/>
                <w:sz w:val="26"/>
                <w:rtl/>
              </w:rPr>
              <w:t>י</w:t>
            </w:r>
            <w:r w:rsidRPr="00E53BE9">
              <w:rPr>
                <w:sz w:val="26"/>
                <w:rtl/>
              </w:rPr>
              <w:t>ינה המיוחד של המדינה; בפסקה זו, "בן משפחה" – בן זוג, הורה, ילד</w:t>
            </w:r>
            <w:r w:rsidRPr="00E53BE9">
              <w:rPr>
                <w:sz w:val="26"/>
              </w:rPr>
              <w:t>.</w:t>
            </w:r>
          </w:p>
        </w:tc>
      </w:tr>
      <w:tr w:rsidR="005F7306" w:rsidRPr="00E53BE9" w14:paraId="1F5AC47C" w14:textId="77777777" w:rsidTr="00E53BE9">
        <w:tc>
          <w:tcPr>
            <w:tcW w:w="1871" w:type="dxa"/>
          </w:tcPr>
          <w:p w14:paraId="38BF385C" w14:textId="77777777" w:rsidR="005F7306" w:rsidRPr="00E53BE9" w:rsidRDefault="005F7306" w:rsidP="00955A5B">
            <w:pPr>
              <w:pStyle w:val="TableSideHeading"/>
              <w:keepLines w:val="0"/>
              <w:rPr>
                <w:sz w:val="26"/>
              </w:rPr>
            </w:pPr>
            <w:r w:rsidRPr="00E53BE9">
              <w:rPr>
                <w:rFonts w:hint="cs"/>
                <w:sz w:val="26"/>
                <w:rtl/>
              </w:rPr>
              <w:t xml:space="preserve">מניעה </w:t>
            </w:r>
            <w:proofErr w:type="spellStart"/>
            <w:r w:rsidRPr="00E53BE9">
              <w:rPr>
                <w:rFonts w:hint="cs"/>
                <w:sz w:val="26"/>
                <w:rtl/>
              </w:rPr>
              <w:t>בטחונית</w:t>
            </w:r>
            <w:proofErr w:type="spellEnd"/>
          </w:p>
        </w:tc>
        <w:tc>
          <w:tcPr>
            <w:tcW w:w="624" w:type="dxa"/>
          </w:tcPr>
          <w:p w14:paraId="1AE2000F" w14:textId="77777777" w:rsidR="005F7306" w:rsidRPr="00E53BE9" w:rsidRDefault="005F7306" w:rsidP="00955A5B">
            <w:pPr>
              <w:pStyle w:val="TableText"/>
              <w:rPr>
                <w:sz w:val="26"/>
                <w:rtl/>
              </w:rPr>
            </w:pPr>
            <w:r w:rsidRPr="00E53BE9">
              <w:rPr>
                <w:rFonts w:hint="cs"/>
                <w:sz w:val="26"/>
                <w:rtl/>
              </w:rPr>
              <w:t>8.</w:t>
            </w:r>
          </w:p>
        </w:tc>
        <w:tc>
          <w:tcPr>
            <w:tcW w:w="7143" w:type="dxa"/>
            <w:gridSpan w:val="2"/>
          </w:tcPr>
          <w:p w14:paraId="6B2902BC" w14:textId="77777777" w:rsidR="005F7306" w:rsidRPr="00E53BE9" w:rsidRDefault="005F7306" w:rsidP="00A34E44">
            <w:pPr>
              <w:pStyle w:val="TableBlock"/>
              <w:rPr>
                <w:sz w:val="26"/>
              </w:rPr>
            </w:pPr>
            <w:r w:rsidRPr="00E53BE9">
              <w:rPr>
                <w:sz w:val="26"/>
                <w:rtl/>
              </w:rPr>
              <w:t xml:space="preserve">לא יינתן היתר לשהייה בישראל או רישיון לישיבה בישראל, לתושב אזור, לפי סעיפים 3, </w:t>
            </w:r>
            <w:r w:rsidRPr="00E53BE9">
              <w:rPr>
                <w:rFonts w:hint="cs"/>
                <w:sz w:val="26"/>
                <w:rtl/>
              </w:rPr>
              <w:t>5</w:t>
            </w:r>
            <w:r w:rsidRPr="00E53BE9">
              <w:rPr>
                <w:sz w:val="26"/>
                <w:rtl/>
              </w:rPr>
              <w:t xml:space="preserve">, </w:t>
            </w:r>
            <w:r w:rsidRPr="00E53BE9">
              <w:rPr>
                <w:rFonts w:hint="cs"/>
                <w:sz w:val="26"/>
                <w:rtl/>
              </w:rPr>
              <w:t>4</w:t>
            </w:r>
            <w:r w:rsidRPr="00E53BE9">
              <w:rPr>
                <w:sz w:val="26"/>
                <w:rtl/>
              </w:rPr>
              <w:t xml:space="preserve">(2), </w:t>
            </w:r>
            <w:r w:rsidRPr="00E53BE9">
              <w:rPr>
                <w:rFonts w:hint="cs"/>
                <w:sz w:val="26"/>
                <w:rtl/>
              </w:rPr>
              <w:t>6</w:t>
            </w:r>
            <w:r w:rsidRPr="00E53BE9">
              <w:rPr>
                <w:sz w:val="26"/>
                <w:rtl/>
              </w:rPr>
              <w:t>(2) ו-(3) ו-</w:t>
            </w:r>
            <w:r w:rsidRPr="00E53BE9">
              <w:rPr>
                <w:rFonts w:hint="cs"/>
                <w:sz w:val="26"/>
                <w:rtl/>
              </w:rPr>
              <w:t>11</w:t>
            </w:r>
            <w:r w:rsidRPr="00E53BE9">
              <w:rPr>
                <w:sz w:val="26"/>
                <w:rtl/>
              </w:rPr>
              <w:t xml:space="preserve">(2), ולא יינתן רישיון לישיבה בישראל לכל מבקש אחר שאינו תושב אזור, אם קבע שר הפנים או מפקד האזור, לפי </w:t>
            </w:r>
            <w:proofErr w:type="spellStart"/>
            <w:r w:rsidRPr="00E53BE9">
              <w:rPr>
                <w:sz w:val="26"/>
                <w:rtl/>
              </w:rPr>
              <w:t>הענין</w:t>
            </w:r>
            <w:proofErr w:type="spellEnd"/>
            <w:r w:rsidRPr="00E53BE9">
              <w:rPr>
                <w:sz w:val="26"/>
                <w:rtl/>
              </w:rPr>
              <w:t xml:space="preserve">, בהתאם לחוות דעת מאת גורמי הביטחון המוסמכים, כי תושב האזור או המבקש האחר או בן משפחתם עלולים להוות סיכון ביטחוני למדינת ישראל; בסעיף זה, "בן משפחה" – בן זוג, הורה, ילד, אח ואחות ובני זוגם. </w:t>
            </w:r>
            <w:proofErr w:type="spellStart"/>
            <w:r w:rsidRPr="00E53BE9">
              <w:rPr>
                <w:sz w:val="26"/>
                <w:rtl/>
              </w:rPr>
              <w:t>לענין</w:t>
            </w:r>
            <w:proofErr w:type="spellEnd"/>
            <w:r w:rsidRPr="00E53BE9">
              <w:rPr>
                <w:sz w:val="26"/>
                <w:rtl/>
              </w:rPr>
              <w:t xml:space="preserve"> זה, רשאי שר הפנים לקבוע כי תושב האזור או המבקש האחר עלולים להוות סיכון ביטחוני למדינת ישראל, בין השאר על סמך חוות דעת מאת גורמי הביטחון המוסמכים ולפיה במדינת מושבו או באזור מגוריו של תושב האזור או המבקש האחר מתבצעת פעילות העלולה לסכן את ביטחון מדינת ישראל או אזרחיה</w:t>
            </w:r>
            <w:r w:rsidRPr="00E53BE9">
              <w:rPr>
                <w:sz w:val="26"/>
              </w:rPr>
              <w:t>.</w:t>
            </w:r>
          </w:p>
        </w:tc>
      </w:tr>
      <w:tr w:rsidR="005F7306" w:rsidRPr="00E53BE9" w14:paraId="1E565BF4" w14:textId="77777777" w:rsidTr="00E53BE9">
        <w:tc>
          <w:tcPr>
            <w:tcW w:w="1871" w:type="dxa"/>
          </w:tcPr>
          <w:p w14:paraId="783088F5" w14:textId="77777777" w:rsidR="005F7306" w:rsidRPr="00E53BE9" w:rsidRDefault="005F7306" w:rsidP="00955A5B">
            <w:pPr>
              <w:pStyle w:val="TableSideHeading"/>
              <w:keepLines w:val="0"/>
              <w:rPr>
                <w:sz w:val="26"/>
              </w:rPr>
            </w:pPr>
            <w:r w:rsidRPr="00E53BE9">
              <w:rPr>
                <w:rFonts w:hint="cs"/>
                <w:sz w:val="26"/>
                <w:rtl/>
              </w:rPr>
              <w:t>שינוי התוספת</w:t>
            </w:r>
          </w:p>
        </w:tc>
        <w:tc>
          <w:tcPr>
            <w:tcW w:w="624" w:type="dxa"/>
          </w:tcPr>
          <w:p w14:paraId="79031CE1" w14:textId="77777777" w:rsidR="005F7306" w:rsidRPr="00E53BE9" w:rsidRDefault="005F7306" w:rsidP="00955A5B">
            <w:pPr>
              <w:pStyle w:val="TableText"/>
              <w:rPr>
                <w:sz w:val="26"/>
                <w:rtl/>
              </w:rPr>
            </w:pPr>
            <w:r w:rsidRPr="00E53BE9">
              <w:rPr>
                <w:rFonts w:hint="cs"/>
                <w:sz w:val="26"/>
                <w:rtl/>
              </w:rPr>
              <w:t>9.</w:t>
            </w:r>
          </w:p>
        </w:tc>
        <w:tc>
          <w:tcPr>
            <w:tcW w:w="7143" w:type="dxa"/>
            <w:gridSpan w:val="2"/>
          </w:tcPr>
          <w:p w14:paraId="0777E9F0" w14:textId="77777777" w:rsidR="005F7306" w:rsidRPr="00E53BE9" w:rsidRDefault="005F7306" w:rsidP="00CB7055">
            <w:pPr>
              <w:pStyle w:val="TableBlock"/>
              <w:rPr>
                <w:sz w:val="26"/>
                <w:rtl/>
              </w:rPr>
            </w:pPr>
            <w:r w:rsidRPr="00E53BE9">
              <w:rPr>
                <w:sz w:val="26"/>
                <w:rtl/>
              </w:rPr>
              <w:t>הממשלה רשאית, בצו, לשנות את התוספת</w:t>
            </w:r>
            <w:r w:rsidRPr="00E53BE9">
              <w:rPr>
                <w:sz w:val="26"/>
              </w:rPr>
              <w:t>.</w:t>
            </w:r>
          </w:p>
        </w:tc>
      </w:tr>
      <w:tr w:rsidR="005F7306" w:rsidRPr="00E53BE9" w14:paraId="182596E0" w14:textId="77777777" w:rsidTr="00E53BE9">
        <w:tc>
          <w:tcPr>
            <w:tcW w:w="1871" w:type="dxa"/>
          </w:tcPr>
          <w:p w14:paraId="72126938" w14:textId="77777777" w:rsidR="005F7306" w:rsidRPr="00E53BE9" w:rsidRDefault="005F7306" w:rsidP="00955A5B">
            <w:pPr>
              <w:pStyle w:val="TableSideHeading"/>
              <w:keepLines w:val="0"/>
              <w:rPr>
                <w:sz w:val="26"/>
                <w:rtl/>
              </w:rPr>
            </w:pPr>
            <w:r w:rsidRPr="00E53BE9">
              <w:rPr>
                <w:rFonts w:hint="cs"/>
                <w:sz w:val="26"/>
                <w:rtl/>
              </w:rPr>
              <w:t>הוראות מעבר</w:t>
            </w:r>
          </w:p>
        </w:tc>
        <w:tc>
          <w:tcPr>
            <w:tcW w:w="624" w:type="dxa"/>
          </w:tcPr>
          <w:p w14:paraId="475B716B" w14:textId="77777777" w:rsidR="005F7306" w:rsidRPr="00E53BE9" w:rsidDel="00BB5F9D" w:rsidRDefault="005F7306" w:rsidP="00955A5B">
            <w:pPr>
              <w:pStyle w:val="TableText"/>
              <w:rPr>
                <w:sz w:val="26"/>
                <w:rtl/>
              </w:rPr>
            </w:pPr>
            <w:r w:rsidRPr="00E53BE9">
              <w:rPr>
                <w:rFonts w:hint="cs"/>
                <w:sz w:val="26"/>
                <w:rtl/>
              </w:rPr>
              <w:t>10.</w:t>
            </w:r>
          </w:p>
        </w:tc>
        <w:tc>
          <w:tcPr>
            <w:tcW w:w="7143" w:type="dxa"/>
            <w:gridSpan w:val="2"/>
          </w:tcPr>
          <w:p w14:paraId="1A1AFB40" w14:textId="77777777" w:rsidR="005F7306" w:rsidRPr="00E53BE9" w:rsidRDefault="005F7306" w:rsidP="00A34E44">
            <w:pPr>
              <w:pStyle w:val="TableBlock"/>
              <w:rPr>
                <w:b/>
                <w:bCs/>
                <w:sz w:val="26"/>
                <w:rtl/>
              </w:rPr>
            </w:pPr>
            <w:r w:rsidRPr="00E53BE9">
              <w:rPr>
                <w:sz w:val="26"/>
                <w:rtl/>
              </w:rPr>
              <w:t>על אף הוראות חוק זה –</w:t>
            </w:r>
          </w:p>
        </w:tc>
      </w:tr>
      <w:tr w:rsidR="005F7306" w:rsidRPr="00E53BE9" w14:paraId="019387E9" w14:textId="77777777" w:rsidTr="00E53BE9">
        <w:tc>
          <w:tcPr>
            <w:tcW w:w="1871" w:type="dxa"/>
          </w:tcPr>
          <w:p w14:paraId="7519D3EE" w14:textId="77777777" w:rsidR="005F7306" w:rsidRPr="00E53BE9" w:rsidRDefault="005F7306" w:rsidP="00955A5B">
            <w:pPr>
              <w:pStyle w:val="TableSideHeading"/>
              <w:keepLines w:val="0"/>
              <w:rPr>
                <w:sz w:val="26"/>
                <w:rtl/>
              </w:rPr>
            </w:pPr>
          </w:p>
        </w:tc>
        <w:tc>
          <w:tcPr>
            <w:tcW w:w="624" w:type="dxa"/>
          </w:tcPr>
          <w:p w14:paraId="7AE45961" w14:textId="77777777" w:rsidR="005F7306" w:rsidRPr="00E53BE9" w:rsidRDefault="005F7306" w:rsidP="00955A5B">
            <w:pPr>
              <w:pStyle w:val="TableText"/>
              <w:rPr>
                <w:sz w:val="26"/>
                <w:rtl/>
              </w:rPr>
            </w:pPr>
          </w:p>
        </w:tc>
        <w:tc>
          <w:tcPr>
            <w:tcW w:w="7143" w:type="dxa"/>
            <w:gridSpan w:val="2"/>
          </w:tcPr>
          <w:p w14:paraId="2545CB43" w14:textId="77777777" w:rsidR="005F7306" w:rsidRPr="00E53BE9" w:rsidRDefault="005F7306" w:rsidP="00A34E44">
            <w:pPr>
              <w:pStyle w:val="TableBlock"/>
              <w:rPr>
                <w:b/>
                <w:bCs/>
                <w:sz w:val="26"/>
                <w:rtl/>
              </w:rPr>
            </w:pPr>
            <w:r w:rsidRPr="00E53BE9">
              <w:rPr>
                <w:sz w:val="26"/>
                <w:rtl/>
              </w:rPr>
              <w:t>(1)</w:t>
            </w:r>
            <w:r w:rsidRPr="00E53BE9">
              <w:rPr>
                <w:sz w:val="26"/>
                <w:rtl/>
              </w:rPr>
              <w:tab/>
              <w:t>רשאי שר הפנים או מפקד האזור, לפי הענ</w:t>
            </w:r>
            <w:r w:rsidRPr="00E53BE9">
              <w:rPr>
                <w:rFonts w:hint="cs"/>
                <w:sz w:val="26"/>
                <w:rtl/>
              </w:rPr>
              <w:t>י</w:t>
            </w:r>
            <w:r w:rsidRPr="00E53BE9">
              <w:rPr>
                <w:sz w:val="26"/>
                <w:rtl/>
              </w:rPr>
              <w:t xml:space="preserve">ין, להאריך את תוקפו של רישיון לישיבה בישראל או של היתר לשהייה בישראל, שהיו בידי תושב אזור ערב תחילתו של חוק זה, בהתחשב, בין השאר, בקיומה של מניעה ביטחונית </w:t>
            </w:r>
            <w:r w:rsidRPr="00E53BE9">
              <w:rPr>
                <w:sz w:val="26"/>
                <w:rtl/>
              </w:rPr>
              <w:lastRenderedPageBreak/>
              <w:t xml:space="preserve">כאמור בסעיף </w:t>
            </w:r>
            <w:r w:rsidRPr="00E53BE9">
              <w:rPr>
                <w:rFonts w:hint="cs"/>
                <w:sz w:val="26"/>
                <w:rtl/>
              </w:rPr>
              <w:t>8</w:t>
            </w:r>
            <w:r w:rsidRPr="00E53BE9">
              <w:rPr>
                <w:sz w:val="26"/>
                <w:rtl/>
              </w:rPr>
              <w:t>;</w:t>
            </w:r>
          </w:p>
        </w:tc>
      </w:tr>
      <w:tr w:rsidR="005F7306" w:rsidRPr="00E53BE9" w14:paraId="324B0B20" w14:textId="77777777" w:rsidTr="00E53BE9">
        <w:tc>
          <w:tcPr>
            <w:tcW w:w="1871" w:type="dxa"/>
          </w:tcPr>
          <w:p w14:paraId="13D19C76" w14:textId="77777777" w:rsidR="005F7306" w:rsidRPr="00E53BE9" w:rsidRDefault="005F7306" w:rsidP="00955A5B">
            <w:pPr>
              <w:pStyle w:val="TableSideHeading"/>
              <w:keepLines w:val="0"/>
              <w:rPr>
                <w:sz w:val="26"/>
                <w:rtl/>
              </w:rPr>
            </w:pPr>
          </w:p>
        </w:tc>
        <w:tc>
          <w:tcPr>
            <w:tcW w:w="624" w:type="dxa"/>
          </w:tcPr>
          <w:p w14:paraId="6B6C11CA" w14:textId="77777777" w:rsidR="005F7306" w:rsidRPr="00E53BE9" w:rsidRDefault="005F7306" w:rsidP="00955A5B">
            <w:pPr>
              <w:pStyle w:val="TableText"/>
              <w:rPr>
                <w:sz w:val="26"/>
                <w:rtl/>
              </w:rPr>
            </w:pPr>
          </w:p>
        </w:tc>
        <w:tc>
          <w:tcPr>
            <w:tcW w:w="7143" w:type="dxa"/>
            <w:gridSpan w:val="2"/>
          </w:tcPr>
          <w:p w14:paraId="2BF35D32" w14:textId="52837E24" w:rsidR="005F7306" w:rsidRPr="00E53BE9" w:rsidRDefault="005F7306" w:rsidP="00CB7055">
            <w:pPr>
              <w:pStyle w:val="TableBlock"/>
              <w:rPr>
                <w:sz w:val="26"/>
                <w:rtl/>
              </w:rPr>
            </w:pPr>
            <w:r w:rsidRPr="00E53BE9">
              <w:rPr>
                <w:sz w:val="26"/>
                <w:rtl/>
              </w:rPr>
              <w:t>(2)</w:t>
            </w:r>
            <w:r w:rsidRPr="00E53BE9">
              <w:rPr>
                <w:sz w:val="26"/>
                <w:rtl/>
              </w:rPr>
              <w:tab/>
              <w:t xml:space="preserve">רשאי מפקד האזור לתת היתר לשהייה זמנית בישראל לתושב אזור שהגיש בקשה להתאזרחות לפי חוק האזרחות או בקשה לרישיון לישיבה בישראל לפי חוק הכניסה לישראל, לפני יום א' בסיון </w:t>
            </w:r>
            <w:proofErr w:type="spellStart"/>
            <w:r w:rsidRPr="00E53BE9">
              <w:rPr>
                <w:sz w:val="26"/>
                <w:rtl/>
              </w:rPr>
              <w:t>התשס"ב</w:t>
            </w:r>
            <w:proofErr w:type="spellEnd"/>
            <w:r w:rsidRPr="00E53BE9">
              <w:rPr>
                <w:sz w:val="26"/>
                <w:rtl/>
              </w:rPr>
              <w:t xml:space="preserve"> (12 במאי 2002) ואשר ביום תחילתו של חוק זה טרם ניתנה החלטה בעני</w:t>
            </w:r>
            <w:r w:rsidR="006446EA" w:rsidRPr="00E53BE9">
              <w:rPr>
                <w:rFonts w:hint="cs"/>
                <w:sz w:val="26"/>
                <w:rtl/>
              </w:rPr>
              <w:t>י</w:t>
            </w:r>
            <w:r w:rsidRPr="00E53BE9">
              <w:rPr>
                <w:sz w:val="26"/>
                <w:rtl/>
              </w:rPr>
              <w:t>נו, ובלבד שלא תוענק לתושב כאמור, לפי הוראות פסקה זו, אזרחות לפי חוק האזרחות ולא יינתן לו רישיון לישיבת ארעי או לישיבת קבע, לפי חוק הכניסה לישראל.</w:t>
            </w:r>
          </w:p>
        </w:tc>
      </w:tr>
      <w:tr w:rsidR="005F7306" w:rsidRPr="00E53BE9" w14:paraId="131BFFC5" w14:textId="77777777" w:rsidTr="00E53BE9">
        <w:tc>
          <w:tcPr>
            <w:tcW w:w="1871" w:type="dxa"/>
          </w:tcPr>
          <w:p w14:paraId="03F69ACD" w14:textId="77777777" w:rsidR="005F7306" w:rsidRPr="00E53BE9" w:rsidRDefault="005F7306" w:rsidP="00955A5B">
            <w:pPr>
              <w:pStyle w:val="TableSideHeading"/>
              <w:keepLines w:val="0"/>
              <w:rPr>
                <w:sz w:val="26"/>
              </w:rPr>
            </w:pPr>
            <w:r w:rsidRPr="00E53BE9">
              <w:rPr>
                <w:rFonts w:hint="cs"/>
                <w:sz w:val="26"/>
                <w:rtl/>
              </w:rPr>
              <w:t>חובת דיווח</w:t>
            </w:r>
          </w:p>
        </w:tc>
        <w:tc>
          <w:tcPr>
            <w:tcW w:w="624" w:type="dxa"/>
          </w:tcPr>
          <w:p w14:paraId="269D6B96" w14:textId="77777777" w:rsidR="005F7306" w:rsidRPr="00E53BE9" w:rsidRDefault="005F7306" w:rsidP="00955A5B">
            <w:pPr>
              <w:pStyle w:val="TableText"/>
              <w:rPr>
                <w:sz w:val="26"/>
              </w:rPr>
            </w:pPr>
            <w:r w:rsidRPr="00E53BE9">
              <w:rPr>
                <w:rFonts w:hint="cs"/>
                <w:sz w:val="26"/>
                <w:rtl/>
              </w:rPr>
              <w:t>11.</w:t>
            </w:r>
          </w:p>
        </w:tc>
        <w:tc>
          <w:tcPr>
            <w:tcW w:w="7143" w:type="dxa"/>
            <w:gridSpan w:val="2"/>
          </w:tcPr>
          <w:p w14:paraId="00352D6B" w14:textId="77777777" w:rsidR="005F7306" w:rsidRPr="00E53BE9" w:rsidRDefault="005F7306" w:rsidP="00A34E44">
            <w:pPr>
              <w:pStyle w:val="TableBlock"/>
              <w:rPr>
                <w:sz w:val="26"/>
                <w:rtl/>
              </w:rPr>
            </w:pPr>
            <w:r w:rsidRPr="00E53BE9">
              <w:rPr>
                <w:rFonts w:hint="cs"/>
                <w:sz w:val="26"/>
                <w:rtl/>
              </w:rPr>
              <w:t>שר הפנים ימסור לוועדת הפנים והגנת הסביבה של הכנסת, בתחילת כל חודש, דיווח על מספר הבקשות שאושרו לפי כל אחד מהסעיפים 3, 5 או 12, בחודש שקדם למועד הדיווח.</w:t>
            </w:r>
          </w:p>
        </w:tc>
      </w:tr>
      <w:tr w:rsidR="005F7306" w:rsidRPr="00E53BE9" w14:paraId="5AC4C997" w14:textId="77777777" w:rsidTr="00E53BE9">
        <w:tc>
          <w:tcPr>
            <w:tcW w:w="1871" w:type="dxa"/>
          </w:tcPr>
          <w:p w14:paraId="342FEE41" w14:textId="19440061" w:rsidR="005F7306" w:rsidRPr="00E53BE9" w:rsidRDefault="005F7306" w:rsidP="000717DE">
            <w:pPr>
              <w:pStyle w:val="TableSideHeading"/>
              <w:keepLines w:val="0"/>
              <w:rPr>
                <w:sz w:val="26"/>
              </w:rPr>
            </w:pPr>
            <w:r w:rsidRPr="00E53BE9">
              <w:rPr>
                <w:rFonts w:hint="cs"/>
                <w:sz w:val="26"/>
                <w:rtl/>
              </w:rPr>
              <w:t>קביעת מכסה לאישור בקשות</w:t>
            </w:r>
          </w:p>
        </w:tc>
        <w:tc>
          <w:tcPr>
            <w:tcW w:w="624" w:type="dxa"/>
          </w:tcPr>
          <w:p w14:paraId="2DD3F29C" w14:textId="77777777" w:rsidR="005F7306" w:rsidRPr="00E53BE9" w:rsidRDefault="005F7306" w:rsidP="00955A5B">
            <w:pPr>
              <w:pStyle w:val="TableText"/>
              <w:rPr>
                <w:sz w:val="26"/>
              </w:rPr>
            </w:pPr>
            <w:r w:rsidRPr="00E53BE9">
              <w:rPr>
                <w:rFonts w:hint="cs"/>
                <w:sz w:val="26"/>
                <w:rtl/>
              </w:rPr>
              <w:t>12.</w:t>
            </w:r>
          </w:p>
        </w:tc>
        <w:tc>
          <w:tcPr>
            <w:tcW w:w="7143" w:type="dxa"/>
            <w:gridSpan w:val="2"/>
          </w:tcPr>
          <w:p w14:paraId="370F232A" w14:textId="3EDD511D" w:rsidR="005F7306" w:rsidRPr="00E53BE9" w:rsidRDefault="005F7306" w:rsidP="00A34E44">
            <w:pPr>
              <w:pStyle w:val="TableBlock"/>
              <w:rPr>
                <w:sz w:val="26"/>
                <w:rtl/>
              </w:rPr>
            </w:pPr>
            <w:r w:rsidRPr="00E53BE9">
              <w:rPr>
                <w:rFonts w:hint="cs"/>
                <w:sz w:val="26"/>
                <w:rtl/>
              </w:rPr>
              <w:t xml:space="preserve">שר </w:t>
            </w:r>
            <w:r w:rsidRPr="00E53BE9">
              <w:rPr>
                <w:rFonts w:hint="eastAsia"/>
                <w:sz w:val="26"/>
                <w:rtl/>
              </w:rPr>
              <w:t>הפנים</w:t>
            </w:r>
            <w:r w:rsidR="00D90201" w:rsidRPr="00E53BE9">
              <w:rPr>
                <w:rFonts w:hint="cs"/>
                <w:sz w:val="26"/>
                <w:rtl/>
              </w:rPr>
              <w:t xml:space="preserve"> יביא לאישור</w:t>
            </w:r>
            <w:r w:rsidRPr="00E53BE9">
              <w:rPr>
                <w:sz w:val="26"/>
                <w:rtl/>
              </w:rPr>
              <w:t xml:space="preserve"> ועדת הפנים והגנת הסביבה של </w:t>
            </w:r>
            <w:r w:rsidRPr="00E53BE9">
              <w:rPr>
                <w:rFonts w:hint="eastAsia"/>
                <w:sz w:val="26"/>
                <w:rtl/>
              </w:rPr>
              <w:t>הכנסת</w:t>
            </w:r>
            <w:r w:rsidRPr="00E53BE9">
              <w:rPr>
                <w:sz w:val="26"/>
                <w:rtl/>
              </w:rPr>
              <w:t xml:space="preserve"> </w:t>
            </w:r>
            <w:r w:rsidR="00D90201" w:rsidRPr="00E53BE9">
              <w:rPr>
                <w:rFonts w:hint="eastAsia"/>
                <w:sz w:val="26"/>
                <w:rtl/>
              </w:rPr>
              <w:t>ו</w:t>
            </w:r>
            <w:r w:rsidR="00D90201" w:rsidRPr="00E53BE9">
              <w:rPr>
                <w:rFonts w:hint="cs"/>
                <w:sz w:val="26"/>
                <w:rtl/>
              </w:rPr>
              <w:t>לאישור ה</w:t>
            </w:r>
            <w:r w:rsidR="00D90201" w:rsidRPr="00E53BE9">
              <w:rPr>
                <w:rFonts w:hint="eastAsia"/>
                <w:sz w:val="26"/>
                <w:rtl/>
              </w:rPr>
              <w:t>כנסת</w:t>
            </w:r>
            <w:r w:rsidR="000717DE" w:rsidRPr="00E53BE9">
              <w:rPr>
                <w:sz w:val="26"/>
                <w:rtl/>
              </w:rPr>
              <w:t xml:space="preserve">, </w:t>
            </w:r>
            <w:r w:rsidRPr="00E53BE9">
              <w:rPr>
                <w:rFonts w:hint="eastAsia"/>
                <w:sz w:val="26"/>
                <w:rtl/>
              </w:rPr>
              <w:t>מכסה</w:t>
            </w:r>
            <w:r w:rsidRPr="00E53BE9">
              <w:rPr>
                <w:sz w:val="26"/>
                <w:rtl/>
              </w:rPr>
              <w:t xml:space="preserve"> </w:t>
            </w:r>
            <w:r w:rsidRPr="00E53BE9">
              <w:rPr>
                <w:rFonts w:hint="eastAsia"/>
                <w:sz w:val="26"/>
                <w:rtl/>
              </w:rPr>
              <w:t>מרבית</w:t>
            </w:r>
            <w:r w:rsidRPr="00E53BE9">
              <w:rPr>
                <w:sz w:val="26"/>
                <w:rtl/>
              </w:rPr>
              <w:t xml:space="preserve"> </w:t>
            </w:r>
            <w:r w:rsidRPr="00E53BE9">
              <w:rPr>
                <w:rFonts w:hint="eastAsia"/>
                <w:sz w:val="26"/>
                <w:rtl/>
              </w:rPr>
              <w:t>למספר</w:t>
            </w:r>
            <w:r w:rsidRPr="00E53BE9">
              <w:rPr>
                <w:sz w:val="26"/>
                <w:rtl/>
              </w:rPr>
              <w:t xml:space="preserve"> </w:t>
            </w:r>
            <w:r w:rsidRPr="00E53BE9">
              <w:rPr>
                <w:rFonts w:hint="eastAsia"/>
                <w:sz w:val="26"/>
                <w:rtl/>
              </w:rPr>
              <w:t>הבקשות</w:t>
            </w:r>
            <w:r w:rsidRPr="00E53BE9">
              <w:rPr>
                <w:sz w:val="26"/>
                <w:rtl/>
              </w:rPr>
              <w:t xml:space="preserve"> </w:t>
            </w:r>
            <w:r w:rsidRPr="00E53BE9">
              <w:rPr>
                <w:rFonts w:hint="eastAsia"/>
                <w:sz w:val="26"/>
                <w:rtl/>
              </w:rPr>
              <w:t>שיאושרו</w:t>
            </w:r>
            <w:r w:rsidRPr="00E53BE9">
              <w:rPr>
                <w:sz w:val="26"/>
                <w:rtl/>
              </w:rPr>
              <w:t xml:space="preserve"> </w:t>
            </w:r>
            <w:r w:rsidR="00D90201" w:rsidRPr="00E53BE9">
              <w:rPr>
                <w:rFonts w:hint="cs"/>
                <w:sz w:val="26"/>
                <w:rtl/>
              </w:rPr>
              <w:t>ב</w:t>
            </w:r>
            <w:r w:rsidRPr="00E53BE9">
              <w:rPr>
                <w:rFonts w:hint="eastAsia"/>
                <w:sz w:val="26"/>
                <w:rtl/>
              </w:rPr>
              <w:t>שנה</w:t>
            </w:r>
            <w:r w:rsidRPr="00E53BE9">
              <w:rPr>
                <w:sz w:val="26"/>
                <w:rtl/>
              </w:rPr>
              <w:t xml:space="preserve"> </w:t>
            </w:r>
            <w:r w:rsidRPr="00E53BE9">
              <w:rPr>
                <w:rFonts w:hint="eastAsia"/>
                <w:sz w:val="26"/>
                <w:rtl/>
              </w:rPr>
              <w:t>על</w:t>
            </w:r>
            <w:r w:rsidRPr="00E53BE9">
              <w:rPr>
                <w:sz w:val="26"/>
                <w:rtl/>
              </w:rPr>
              <w:t xml:space="preserve"> </w:t>
            </w:r>
            <w:r w:rsidRPr="00E53BE9">
              <w:rPr>
                <w:rFonts w:hint="eastAsia"/>
                <w:sz w:val="26"/>
                <w:rtl/>
              </w:rPr>
              <w:t>פי</w:t>
            </w:r>
            <w:r w:rsidRPr="00E53BE9">
              <w:rPr>
                <w:sz w:val="26"/>
                <w:rtl/>
              </w:rPr>
              <w:t xml:space="preserve"> </w:t>
            </w:r>
            <w:r w:rsidRPr="00E53BE9">
              <w:rPr>
                <w:rFonts w:hint="eastAsia"/>
                <w:sz w:val="26"/>
                <w:rtl/>
              </w:rPr>
              <w:t>סעיפים</w:t>
            </w:r>
            <w:r w:rsidRPr="00E53BE9">
              <w:rPr>
                <w:sz w:val="26"/>
                <w:rtl/>
              </w:rPr>
              <w:t xml:space="preserve"> 3 ו-5; </w:t>
            </w:r>
            <w:r w:rsidRPr="00E53BE9">
              <w:rPr>
                <w:rFonts w:hint="eastAsia"/>
                <w:sz w:val="26"/>
                <w:rtl/>
              </w:rPr>
              <w:t>המכסה</w:t>
            </w:r>
            <w:r w:rsidRPr="00E53BE9">
              <w:rPr>
                <w:sz w:val="26"/>
                <w:rtl/>
              </w:rPr>
              <w:t xml:space="preserve"> </w:t>
            </w:r>
            <w:r w:rsidRPr="00E53BE9">
              <w:rPr>
                <w:rFonts w:hint="eastAsia"/>
                <w:sz w:val="26"/>
                <w:rtl/>
              </w:rPr>
              <w:t>יכול</w:t>
            </w:r>
            <w:r w:rsidRPr="00E53BE9">
              <w:rPr>
                <w:sz w:val="26"/>
                <w:rtl/>
              </w:rPr>
              <w:t xml:space="preserve"> </w:t>
            </w:r>
            <w:r w:rsidRPr="00E53BE9">
              <w:rPr>
                <w:rFonts w:hint="eastAsia"/>
                <w:sz w:val="26"/>
                <w:rtl/>
              </w:rPr>
              <w:t>שתקבע</w:t>
            </w:r>
            <w:r w:rsidRPr="00E53BE9">
              <w:rPr>
                <w:sz w:val="26"/>
                <w:rtl/>
              </w:rPr>
              <w:t xml:space="preserve"> </w:t>
            </w:r>
            <w:r w:rsidRPr="00E53BE9">
              <w:rPr>
                <w:rFonts w:hint="eastAsia"/>
                <w:sz w:val="26"/>
                <w:rtl/>
              </w:rPr>
              <w:t>כי</w:t>
            </w:r>
            <w:r w:rsidRPr="00E53BE9">
              <w:rPr>
                <w:sz w:val="26"/>
                <w:rtl/>
              </w:rPr>
              <w:t xml:space="preserve"> </w:t>
            </w:r>
            <w:r w:rsidRPr="00E53BE9">
              <w:rPr>
                <w:rFonts w:hint="eastAsia"/>
                <w:sz w:val="26"/>
                <w:rtl/>
              </w:rPr>
              <w:t>לא</w:t>
            </w:r>
            <w:r w:rsidRPr="00E53BE9">
              <w:rPr>
                <w:sz w:val="26"/>
                <w:rtl/>
              </w:rPr>
              <w:t xml:space="preserve"> </w:t>
            </w:r>
            <w:r w:rsidRPr="00E53BE9">
              <w:rPr>
                <w:rFonts w:hint="eastAsia"/>
                <w:sz w:val="26"/>
                <w:rtl/>
              </w:rPr>
              <w:t>תאושר</w:t>
            </w:r>
            <w:r w:rsidRPr="00E53BE9">
              <w:rPr>
                <w:sz w:val="26"/>
                <w:rtl/>
              </w:rPr>
              <w:t xml:space="preserve"> </w:t>
            </w:r>
            <w:r w:rsidRPr="00E53BE9">
              <w:rPr>
                <w:rFonts w:hint="eastAsia"/>
                <w:sz w:val="26"/>
                <w:rtl/>
              </w:rPr>
              <w:t>ולו</w:t>
            </w:r>
            <w:r w:rsidRPr="00E53BE9">
              <w:rPr>
                <w:sz w:val="26"/>
                <w:rtl/>
              </w:rPr>
              <w:t xml:space="preserve"> </w:t>
            </w:r>
            <w:r w:rsidRPr="00E53BE9">
              <w:rPr>
                <w:rFonts w:hint="eastAsia"/>
                <w:sz w:val="26"/>
                <w:rtl/>
              </w:rPr>
              <w:t>בקשה</w:t>
            </w:r>
            <w:r w:rsidRPr="00E53BE9">
              <w:rPr>
                <w:sz w:val="26"/>
                <w:rtl/>
              </w:rPr>
              <w:t xml:space="preserve"> </w:t>
            </w:r>
            <w:r w:rsidRPr="00E53BE9">
              <w:rPr>
                <w:rFonts w:hint="eastAsia"/>
                <w:sz w:val="26"/>
                <w:rtl/>
              </w:rPr>
              <w:t>אחת</w:t>
            </w:r>
            <w:r w:rsidRPr="00E53BE9">
              <w:rPr>
                <w:sz w:val="26"/>
                <w:rtl/>
              </w:rPr>
              <w:t xml:space="preserve">, </w:t>
            </w:r>
            <w:r w:rsidRPr="00E53BE9">
              <w:rPr>
                <w:rFonts w:hint="eastAsia"/>
                <w:sz w:val="26"/>
                <w:rtl/>
              </w:rPr>
              <w:t>לרבות</w:t>
            </w:r>
            <w:r w:rsidRPr="00E53BE9">
              <w:rPr>
                <w:sz w:val="26"/>
                <w:rtl/>
              </w:rPr>
              <w:t xml:space="preserve"> </w:t>
            </w:r>
            <w:r w:rsidRPr="00E53BE9">
              <w:rPr>
                <w:rFonts w:hint="eastAsia"/>
                <w:sz w:val="26"/>
                <w:rtl/>
              </w:rPr>
              <w:t>לפי</w:t>
            </w:r>
            <w:r w:rsidRPr="00E53BE9">
              <w:rPr>
                <w:sz w:val="26"/>
                <w:rtl/>
              </w:rPr>
              <w:t xml:space="preserve"> </w:t>
            </w:r>
            <w:r w:rsidRPr="00E53BE9">
              <w:rPr>
                <w:rFonts w:hint="eastAsia"/>
                <w:sz w:val="26"/>
                <w:rtl/>
              </w:rPr>
              <w:t>סעיף</w:t>
            </w:r>
            <w:r w:rsidRPr="00E53BE9">
              <w:rPr>
                <w:sz w:val="26"/>
                <w:rtl/>
              </w:rPr>
              <w:t xml:space="preserve"> 5;</w:t>
            </w:r>
            <w:r w:rsidRPr="00E53BE9">
              <w:rPr>
                <w:sz w:val="26"/>
              </w:rPr>
              <w:t xml:space="preserve"> </w:t>
            </w:r>
            <w:r w:rsidRPr="00E53BE9">
              <w:rPr>
                <w:rFonts w:hint="eastAsia"/>
                <w:sz w:val="26"/>
                <w:rtl/>
              </w:rPr>
              <w:t>עד</w:t>
            </w:r>
            <w:r w:rsidRPr="00E53BE9">
              <w:rPr>
                <w:sz w:val="26"/>
                <w:rtl/>
              </w:rPr>
              <w:t xml:space="preserve"> </w:t>
            </w:r>
            <w:r w:rsidRPr="00E53BE9">
              <w:rPr>
                <w:rFonts w:hint="eastAsia"/>
                <w:sz w:val="26"/>
                <w:rtl/>
              </w:rPr>
              <w:t>לקביעת</w:t>
            </w:r>
            <w:r w:rsidRPr="00E53BE9">
              <w:rPr>
                <w:sz w:val="26"/>
                <w:rtl/>
              </w:rPr>
              <w:t xml:space="preserve"> </w:t>
            </w:r>
            <w:r w:rsidRPr="00E53BE9">
              <w:rPr>
                <w:rFonts w:hint="eastAsia"/>
                <w:sz w:val="26"/>
                <w:rtl/>
              </w:rPr>
              <w:t>מכסה</w:t>
            </w:r>
            <w:r w:rsidRPr="00E53BE9">
              <w:rPr>
                <w:sz w:val="26"/>
                <w:rtl/>
              </w:rPr>
              <w:t xml:space="preserve"> </w:t>
            </w:r>
            <w:r w:rsidRPr="00E53BE9">
              <w:rPr>
                <w:rFonts w:hint="eastAsia"/>
                <w:sz w:val="26"/>
                <w:rtl/>
              </w:rPr>
              <w:t>כאמור</w:t>
            </w:r>
            <w:r w:rsidRPr="00E53BE9">
              <w:rPr>
                <w:sz w:val="26"/>
                <w:rtl/>
              </w:rPr>
              <w:t xml:space="preserve">, </w:t>
            </w:r>
            <w:r w:rsidRPr="00E53BE9">
              <w:rPr>
                <w:rFonts w:hint="eastAsia"/>
                <w:sz w:val="26"/>
                <w:rtl/>
              </w:rPr>
              <w:t>תעמוד</w:t>
            </w:r>
            <w:r w:rsidRPr="00E53BE9">
              <w:rPr>
                <w:rFonts w:hint="cs"/>
                <w:sz w:val="26"/>
                <w:rtl/>
              </w:rPr>
              <w:t xml:space="preserve"> המכסה השנתית לאישור בקשות לפי סעיפים 3 ו-5 על מספר הבקשות שאושרו בשנת 2017.</w:t>
            </w:r>
          </w:p>
        </w:tc>
      </w:tr>
      <w:tr w:rsidR="005F7306" w:rsidRPr="00E53BE9" w14:paraId="720A41F7" w14:textId="77777777" w:rsidTr="00E53BE9">
        <w:tc>
          <w:tcPr>
            <w:tcW w:w="1871" w:type="dxa"/>
          </w:tcPr>
          <w:p w14:paraId="4A767CB2" w14:textId="77777777" w:rsidR="005F7306" w:rsidRPr="00E53BE9" w:rsidRDefault="005F7306" w:rsidP="00955A5B">
            <w:pPr>
              <w:pStyle w:val="TableSideHeading"/>
              <w:keepLines w:val="0"/>
              <w:rPr>
                <w:sz w:val="26"/>
              </w:rPr>
            </w:pPr>
            <w:r w:rsidRPr="00E53BE9">
              <w:rPr>
                <w:rFonts w:hint="eastAsia"/>
                <w:sz w:val="26"/>
                <w:rtl/>
              </w:rPr>
              <w:t>תוקף</w:t>
            </w:r>
            <w:r w:rsidRPr="00E53BE9">
              <w:rPr>
                <w:sz w:val="26"/>
                <w:rtl/>
              </w:rPr>
              <w:t xml:space="preserve"> </w:t>
            </w:r>
            <w:r w:rsidRPr="00E53BE9">
              <w:rPr>
                <w:rFonts w:hint="eastAsia"/>
                <w:sz w:val="26"/>
                <w:rtl/>
              </w:rPr>
              <w:t>צו</w:t>
            </w:r>
          </w:p>
        </w:tc>
        <w:tc>
          <w:tcPr>
            <w:tcW w:w="624" w:type="dxa"/>
          </w:tcPr>
          <w:p w14:paraId="3E9AA682" w14:textId="77777777" w:rsidR="005F7306" w:rsidRPr="00E53BE9" w:rsidRDefault="005F7306" w:rsidP="00955A5B">
            <w:pPr>
              <w:pStyle w:val="TableText"/>
              <w:rPr>
                <w:sz w:val="26"/>
              </w:rPr>
            </w:pPr>
            <w:r w:rsidRPr="00E53BE9">
              <w:rPr>
                <w:rFonts w:hint="cs"/>
                <w:sz w:val="26"/>
                <w:rtl/>
              </w:rPr>
              <w:t>13.</w:t>
            </w:r>
          </w:p>
        </w:tc>
        <w:tc>
          <w:tcPr>
            <w:tcW w:w="7143" w:type="dxa"/>
            <w:gridSpan w:val="2"/>
          </w:tcPr>
          <w:p w14:paraId="4DF2AE01" w14:textId="77777777" w:rsidR="005F7306" w:rsidRPr="00E53BE9" w:rsidRDefault="005F7306" w:rsidP="00A34E44">
            <w:pPr>
              <w:pStyle w:val="TableBlock"/>
              <w:rPr>
                <w:sz w:val="26"/>
                <w:rtl/>
              </w:rPr>
            </w:pPr>
            <w:r w:rsidRPr="00E53BE9">
              <w:rPr>
                <w:rFonts w:hint="cs"/>
                <w:sz w:val="26"/>
                <w:rtl/>
              </w:rPr>
              <w:t>(א)</w:t>
            </w:r>
            <w:r w:rsidRPr="00E53BE9">
              <w:rPr>
                <w:sz w:val="26"/>
                <w:rtl/>
              </w:rPr>
              <w:tab/>
            </w:r>
            <w:r w:rsidRPr="00E53BE9">
              <w:rPr>
                <w:rFonts w:hint="cs"/>
                <w:sz w:val="26"/>
                <w:rtl/>
              </w:rPr>
              <w:t xml:space="preserve">חוק זה יעמוד בתוקפו עד יום ד' בתשרי </w:t>
            </w:r>
            <w:proofErr w:type="spellStart"/>
            <w:r w:rsidRPr="00E53BE9">
              <w:rPr>
                <w:rFonts w:hint="cs"/>
                <w:sz w:val="26"/>
                <w:rtl/>
              </w:rPr>
              <w:t>התשפ"ג</w:t>
            </w:r>
            <w:proofErr w:type="spellEnd"/>
            <w:r w:rsidRPr="00E53BE9">
              <w:rPr>
                <w:rFonts w:hint="cs"/>
                <w:sz w:val="26"/>
                <w:rtl/>
              </w:rPr>
              <w:t xml:space="preserve"> (22 בספטמבר 2022), ואולם רשאית הממשלה, באישור הכנסת, להאריך בצו את תוקפו לתקופה שלא תעלה בכל פעם על שנה אחת.</w:t>
            </w:r>
          </w:p>
        </w:tc>
      </w:tr>
      <w:tr w:rsidR="005F7306" w:rsidRPr="00E53BE9" w14:paraId="15E3FA20" w14:textId="77777777" w:rsidTr="00E53BE9">
        <w:tc>
          <w:tcPr>
            <w:tcW w:w="1871" w:type="dxa"/>
          </w:tcPr>
          <w:p w14:paraId="0E918643" w14:textId="77777777" w:rsidR="005F7306" w:rsidRPr="00E53BE9" w:rsidRDefault="005F7306" w:rsidP="00955A5B">
            <w:pPr>
              <w:pStyle w:val="TableSideHeading"/>
              <w:keepLines w:val="0"/>
              <w:rPr>
                <w:sz w:val="26"/>
                <w:highlight w:val="green"/>
                <w:rtl/>
              </w:rPr>
            </w:pPr>
          </w:p>
        </w:tc>
        <w:tc>
          <w:tcPr>
            <w:tcW w:w="624" w:type="dxa"/>
          </w:tcPr>
          <w:p w14:paraId="7FD8709C" w14:textId="77777777" w:rsidR="005F7306" w:rsidRPr="00E53BE9" w:rsidRDefault="005F7306" w:rsidP="00955A5B">
            <w:pPr>
              <w:pStyle w:val="TableText"/>
              <w:rPr>
                <w:sz w:val="26"/>
                <w:rtl/>
              </w:rPr>
            </w:pPr>
          </w:p>
        </w:tc>
        <w:tc>
          <w:tcPr>
            <w:tcW w:w="7143" w:type="dxa"/>
            <w:gridSpan w:val="2"/>
          </w:tcPr>
          <w:p w14:paraId="2D64FA52" w14:textId="77777777" w:rsidR="005F7306" w:rsidRPr="00E53BE9" w:rsidRDefault="005F7306" w:rsidP="00A34E44">
            <w:pPr>
              <w:pStyle w:val="TableBlock"/>
              <w:rPr>
                <w:sz w:val="26"/>
                <w:rtl/>
              </w:rPr>
            </w:pPr>
            <w:r w:rsidRPr="00E53BE9">
              <w:rPr>
                <w:rFonts w:hint="cs"/>
                <w:sz w:val="26"/>
                <w:rtl/>
              </w:rPr>
              <w:t>(ב)</w:t>
            </w:r>
            <w:r w:rsidRPr="00E53BE9">
              <w:rPr>
                <w:sz w:val="26"/>
                <w:rtl/>
              </w:rPr>
              <w:tab/>
            </w:r>
            <w:r w:rsidRPr="00E53BE9">
              <w:rPr>
                <w:rFonts w:hint="cs"/>
                <w:sz w:val="26"/>
                <w:rtl/>
              </w:rPr>
              <w:t>סעיף זה יעמוד בתוקפו עד יום תחילת תוקפו של חוק יסוד: ההגירה והכניסה לישראל.</w:t>
            </w:r>
          </w:p>
        </w:tc>
      </w:tr>
      <w:tr w:rsidR="00F0343C" w:rsidRPr="00E53BE9" w14:paraId="4F8E7471" w14:textId="77777777" w:rsidTr="00E53BE9">
        <w:tc>
          <w:tcPr>
            <w:tcW w:w="1871" w:type="dxa"/>
          </w:tcPr>
          <w:p w14:paraId="5EC11183" w14:textId="77777777" w:rsidR="00F0343C" w:rsidRPr="00E53BE9" w:rsidRDefault="00F0343C" w:rsidP="00955A5B">
            <w:pPr>
              <w:pStyle w:val="TableSideHeading"/>
              <w:keepLines w:val="0"/>
              <w:rPr>
                <w:sz w:val="26"/>
                <w:highlight w:val="green"/>
                <w:rtl/>
              </w:rPr>
            </w:pPr>
          </w:p>
        </w:tc>
        <w:tc>
          <w:tcPr>
            <w:tcW w:w="624" w:type="dxa"/>
          </w:tcPr>
          <w:p w14:paraId="2FC9A79B" w14:textId="77777777" w:rsidR="00F0343C" w:rsidRPr="00E53BE9" w:rsidRDefault="00F0343C" w:rsidP="00F0343C">
            <w:pPr>
              <w:pStyle w:val="TableText"/>
              <w:rPr>
                <w:sz w:val="26"/>
                <w:rtl/>
              </w:rPr>
            </w:pPr>
          </w:p>
        </w:tc>
        <w:tc>
          <w:tcPr>
            <w:tcW w:w="7143" w:type="dxa"/>
            <w:gridSpan w:val="2"/>
          </w:tcPr>
          <w:p w14:paraId="662FB70E" w14:textId="2D9D8E46" w:rsidR="00F0343C" w:rsidRPr="00E53BE9" w:rsidRDefault="00F0343C" w:rsidP="00F0343C">
            <w:pPr>
              <w:pStyle w:val="TableHead"/>
              <w:outlineLvl w:val="9"/>
              <w:rPr>
                <w:rFonts w:hint="cs"/>
                <w:sz w:val="26"/>
                <w:rtl/>
              </w:rPr>
            </w:pPr>
            <w:r w:rsidRPr="00E53BE9">
              <w:rPr>
                <w:rFonts w:hint="cs"/>
                <w:sz w:val="26"/>
                <w:rtl/>
              </w:rPr>
              <w:t>תוספת</w:t>
            </w:r>
          </w:p>
        </w:tc>
      </w:tr>
      <w:tr w:rsidR="00F0343C" w:rsidRPr="00E53BE9" w14:paraId="1EEBECF1" w14:textId="77777777" w:rsidTr="00E53BE9">
        <w:tc>
          <w:tcPr>
            <w:tcW w:w="1871" w:type="dxa"/>
          </w:tcPr>
          <w:p w14:paraId="0E9F994B" w14:textId="77777777" w:rsidR="00F0343C" w:rsidRPr="00E53BE9" w:rsidRDefault="00F0343C" w:rsidP="00F0343C">
            <w:pPr>
              <w:pStyle w:val="TableSideHeading"/>
              <w:keepLines w:val="0"/>
              <w:rPr>
                <w:sz w:val="26"/>
                <w:highlight w:val="green"/>
                <w:rtl/>
              </w:rPr>
            </w:pPr>
          </w:p>
        </w:tc>
        <w:tc>
          <w:tcPr>
            <w:tcW w:w="624" w:type="dxa"/>
          </w:tcPr>
          <w:p w14:paraId="1BC8826D" w14:textId="77777777" w:rsidR="00F0343C" w:rsidRPr="00E53BE9" w:rsidRDefault="00F0343C" w:rsidP="00F0343C">
            <w:pPr>
              <w:pStyle w:val="TableText"/>
              <w:rPr>
                <w:sz w:val="26"/>
                <w:rtl/>
              </w:rPr>
            </w:pPr>
          </w:p>
        </w:tc>
        <w:tc>
          <w:tcPr>
            <w:tcW w:w="7143" w:type="dxa"/>
            <w:gridSpan w:val="2"/>
          </w:tcPr>
          <w:p w14:paraId="76406191" w14:textId="07D5E05B" w:rsidR="00F0343C" w:rsidRPr="00E53BE9" w:rsidRDefault="00F0343C" w:rsidP="00F0343C">
            <w:pPr>
              <w:pStyle w:val="TableBlock"/>
              <w:jc w:val="center"/>
              <w:rPr>
                <w:rFonts w:hint="cs"/>
                <w:sz w:val="26"/>
                <w:rtl/>
              </w:rPr>
            </w:pPr>
            <w:r w:rsidRPr="00E53BE9">
              <w:rPr>
                <w:rFonts w:hint="cs"/>
                <w:sz w:val="26"/>
                <w:rtl/>
              </w:rPr>
              <w:t>(</w:t>
            </w:r>
            <w:r w:rsidRPr="00E53BE9">
              <w:rPr>
                <w:sz w:val="26"/>
                <w:rtl/>
              </w:rPr>
              <w:t>סעיפים 2, 3א1, 3ג, 3ה</w:t>
            </w:r>
            <w:r w:rsidRPr="00E53BE9">
              <w:rPr>
                <w:rFonts w:hint="cs"/>
                <w:sz w:val="26"/>
                <w:rtl/>
              </w:rPr>
              <w:t>)</w:t>
            </w:r>
          </w:p>
        </w:tc>
      </w:tr>
      <w:tr w:rsidR="00F0343C" w:rsidRPr="00E53BE9" w14:paraId="3F73C8D0" w14:textId="77777777" w:rsidTr="00E53BE9">
        <w:tc>
          <w:tcPr>
            <w:tcW w:w="1871" w:type="dxa"/>
          </w:tcPr>
          <w:p w14:paraId="482ADE3C" w14:textId="77777777" w:rsidR="00F0343C" w:rsidRPr="00E53BE9" w:rsidRDefault="00F0343C" w:rsidP="00F0343C">
            <w:pPr>
              <w:pStyle w:val="TableSideHeading"/>
              <w:keepLines w:val="0"/>
              <w:rPr>
                <w:sz w:val="26"/>
                <w:highlight w:val="green"/>
                <w:rtl/>
              </w:rPr>
            </w:pPr>
          </w:p>
        </w:tc>
        <w:tc>
          <w:tcPr>
            <w:tcW w:w="624" w:type="dxa"/>
          </w:tcPr>
          <w:p w14:paraId="2F9C8A00" w14:textId="77777777" w:rsidR="00F0343C" w:rsidRPr="00E53BE9" w:rsidRDefault="00F0343C" w:rsidP="00F0343C">
            <w:pPr>
              <w:pStyle w:val="TableText"/>
              <w:rPr>
                <w:sz w:val="26"/>
              </w:rPr>
            </w:pPr>
          </w:p>
        </w:tc>
        <w:tc>
          <w:tcPr>
            <w:tcW w:w="7143" w:type="dxa"/>
            <w:gridSpan w:val="2"/>
          </w:tcPr>
          <w:p w14:paraId="2366F28D" w14:textId="77777777" w:rsidR="00F0343C" w:rsidRPr="00E53BE9" w:rsidRDefault="00F0343C" w:rsidP="00F0343C">
            <w:pPr>
              <w:pStyle w:val="TableHead"/>
              <w:outlineLvl w:val="9"/>
              <w:rPr>
                <w:sz w:val="26"/>
                <w:rtl/>
              </w:rPr>
            </w:pPr>
            <w:r w:rsidRPr="00E53BE9">
              <w:rPr>
                <w:rFonts w:hint="cs"/>
                <w:sz w:val="26"/>
                <w:rtl/>
              </w:rPr>
              <w:t>איראן, לבנון, סוריה, עיראק</w:t>
            </w:r>
          </w:p>
        </w:tc>
      </w:tr>
    </w:tbl>
    <w:p w14:paraId="57EBB93D" w14:textId="77777777" w:rsidR="005F7306" w:rsidRDefault="005F7306" w:rsidP="005F7306">
      <w:pPr>
        <w:pStyle w:val="HeadDivreiHesber"/>
        <w:rPr>
          <w:rtl/>
        </w:rPr>
      </w:pPr>
      <w:r w:rsidRPr="0027450A">
        <w:rPr>
          <w:rFonts w:hint="cs"/>
          <w:rtl/>
        </w:rPr>
        <w:t>דברי הסבר</w:t>
      </w:r>
    </w:p>
    <w:p w14:paraId="092E45A9" w14:textId="77777777" w:rsidR="005F7306" w:rsidRDefault="005F7306" w:rsidP="00E53BE9">
      <w:pPr>
        <w:pStyle w:val="Hesber"/>
        <w:rPr>
          <w:rtl/>
        </w:rPr>
      </w:pPr>
      <w:r w:rsidRPr="00E53BE9">
        <w:rPr>
          <w:rFonts w:hint="cs"/>
          <w:rtl/>
        </w:rPr>
        <w:t>מטרתו</w:t>
      </w:r>
      <w:r>
        <w:rPr>
          <w:rFonts w:hint="cs"/>
          <w:rtl/>
        </w:rPr>
        <w:t xml:space="preserve"> של חוק זה להביא לתיקון הוראת השעה שעמדה בתוקפה בין השנים 2003 </w:t>
      </w:r>
      <w:r>
        <w:rPr>
          <w:rtl/>
        </w:rPr>
        <w:t>–</w:t>
      </w:r>
      <w:r>
        <w:rPr>
          <w:rFonts w:hint="cs"/>
          <w:rtl/>
        </w:rPr>
        <w:t xml:space="preserve"> 2020 בישראל, ואשר במהלך השנים חל כרסום בכוחה, וזאת לאור פסיקות בית המשפט העליון, דבר שהביא בסופו של דבר לכך שהחוק האזרחות לא עצר עוד את שטף הבקשות, ומשכך לא היה עוד טעם בהארכת תוקפו.  </w:t>
      </w:r>
    </w:p>
    <w:p w14:paraId="4F331878" w14:textId="77777777" w:rsidR="005F7306" w:rsidRDefault="005F7306" w:rsidP="005F7306">
      <w:pPr>
        <w:pStyle w:val="Hesber"/>
        <w:rPr>
          <w:rtl/>
        </w:rPr>
      </w:pPr>
      <w:r>
        <w:rPr>
          <w:rFonts w:hint="cs"/>
          <w:rtl/>
        </w:rPr>
        <w:t xml:space="preserve">חוק </w:t>
      </w:r>
      <w:r w:rsidRPr="001523C6">
        <w:rPr>
          <w:rFonts w:hint="cs"/>
          <w:rtl/>
        </w:rPr>
        <w:t>האזרחות</w:t>
      </w:r>
      <w:r>
        <w:rPr>
          <w:rFonts w:hint="cs"/>
          <w:rtl/>
        </w:rPr>
        <w:t xml:space="preserve"> והכניסה לישראל (הוראת שעה), התשס"ג-2003 (להלן </w:t>
      </w:r>
      <w:r>
        <w:rPr>
          <w:rtl/>
        </w:rPr>
        <w:t>–</w:t>
      </w:r>
      <w:r>
        <w:rPr>
          <w:rFonts w:hint="cs"/>
          <w:rtl/>
        </w:rPr>
        <w:t xml:space="preserve"> הוראת השעה) נחקק לראשונה בשנת 2003, ומטרת חקיקתו הייתה למנוע איחוד משפחות בין ערבים ישראלים לבין ערביי יהודה ושומרון שאינם בעלי אזרחות ישראלית, ובדרך זו להביא לכניסת רבבות פלסטינים לישראל, תוך קביעת עובדה הלכה למעשה של "זכות שיבה שקטה" לערביי יהודה ושומרון.</w:t>
      </w:r>
    </w:p>
    <w:p w14:paraId="763E96A5" w14:textId="77777777" w:rsidR="005F7306" w:rsidRDefault="005F7306" w:rsidP="005F7306">
      <w:pPr>
        <w:pStyle w:val="Hesber"/>
        <w:rPr>
          <w:rtl/>
        </w:rPr>
      </w:pPr>
      <w:r>
        <w:rPr>
          <w:rFonts w:hint="cs"/>
          <w:rtl/>
        </w:rPr>
        <w:t xml:space="preserve">מטרה נוספת שעמדה בבסיס החוק הייתה הצורך למנוע כניסת ערבים שעשויים לבצע פיגועי טרור, </w:t>
      </w:r>
      <w:r>
        <w:rPr>
          <w:rFonts w:hint="cs"/>
          <w:rtl/>
        </w:rPr>
        <w:lastRenderedPageBreak/>
        <w:t>וזאת באמצעות קבלת אזרחות ישראלית, המאפשרת להם בין היתר חופש תנועה בישראל, ובדרך זו להביא לפגיעה במדינה תוך ניצול הזכויות שהוקנו להם על ידי המדינה.</w:t>
      </w:r>
    </w:p>
    <w:p w14:paraId="5A263D16" w14:textId="77777777" w:rsidR="005F7306" w:rsidRDefault="005F7306" w:rsidP="005F7306">
      <w:pPr>
        <w:pStyle w:val="Hesber"/>
        <w:rPr>
          <w:rtl/>
        </w:rPr>
      </w:pPr>
      <w:r>
        <w:rPr>
          <w:rFonts w:hint="cs"/>
          <w:rtl/>
        </w:rPr>
        <w:t xml:space="preserve">ואולם במהלך השנים הוגשו נגד החוק מספר עתירות לבג"ץ, עתירות שהביאו לתיקונו של החוק, וכן להוספת חריגים נוספים. כתוצאה מכך חל גידול עקבי במהלך השנים באחוז הבקשות שאושרו בכל שנה, כך שבשנת 2019 אושרו 76% מהבקשות שהוגשו. </w:t>
      </w:r>
    </w:p>
    <w:p w14:paraId="08026CA8" w14:textId="77777777" w:rsidR="005F7306" w:rsidRDefault="005F7306" w:rsidP="005F7306">
      <w:pPr>
        <w:pStyle w:val="Hesber"/>
        <w:rPr>
          <w:rtl/>
        </w:rPr>
      </w:pPr>
      <w:r>
        <w:rPr>
          <w:rFonts w:hint="cs"/>
          <w:rtl/>
        </w:rPr>
        <w:t>לאור האמור, מוצע לקבוע מחדש את חוק האזרחות כהוראת שעה, תוך קביעת מכסות מקסימום למתן היתרי שהייה ואישורי אזרחות, כך שהפרצות שנפרצו בחוק ייסגרו, וההיתרים שיינתנו יהיו בשיעור מפוקח שתקבע הכנסת. עוד מוצע לקבוע כי שר הפנים ידווח לוועדת הפנים והגנת הסביבה של הכנסת בכל חודש על מספר האישורים שניתנו בחודש שקדם לדיווח. הדבר עתיד להביא לשקיפות התהליך ותוצאותיו, וכן להגברת אפקטיביות הפיקוח של הכנסת על התהליך.</w:t>
      </w:r>
    </w:p>
    <w:p w14:paraId="600F1F94" w14:textId="77777777" w:rsidR="005F7306" w:rsidRDefault="005F7306" w:rsidP="005F7306">
      <w:pPr>
        <w:pStyle w:val="Hesber"/>
        <w:rPr>
          <w:rtl/>
        </w:rPr>
      </w:pPr>
      <w:r>
        <w:rPr>
          <w:rFonts w:hint="cs"/>
          <w:rtl/>
        </w:rPr>
        <w:t>בנוסף, מוצע לקבוע כי לאחר חקיקתו של חוק יסוד: ההגירה והכניסה לישראל יהפוך החוק לחוק רגיל שאינו קבוע כהוראת שעה. חוק יסוד ההגירה עתיד לקבוע את העקרונות המנחים לקבלת מעמד בישראל, וכן את העקרונות לאפשרות להגר לישראל. משכך, לאחר חקיקת חוק היסוד, ומאחר שחוק האזרחות יעמוד בעקרונות המנחים שייקבעו בחוק יסוד ההגירה, ניתן יהיה לקבוע את חוק האזרחות כחוק קבוע, והוא יהיה הסדר משלים, שיחד עם חוק היסוד, ויחד עם חוק השבות, יהווה את המסגרת הנורמטיבית המלאה לאפשרות להגר או לקבל מעמד בישראל.</w:t>
      </w:r>
    </w:p>
    <w:p w14:paraId="3F3B5399" w14:textId="77777777" w:rsidR="005F7306" w:rsidRDefault="005F7306" w:rsidP="005F7306">
      <w:pPr>
        <w:pStyle w:val="Hesber"/>
        <w:rPr>
          <w:rtl/>
        </w:rPr>
      </w:pPr>
    </w:p>
    <w:p w14:paraId="7F6961CB" w14:textId="77777777" w:rsidR="00E13C27" w:rsidRDefault="00E13C27" w:rsidP="00604A05">
      <w:pPr>
        <w:pStyle w:val="Hesber"/>
        <w:snapToGrid/>
        <w:ind w:left="2880" w:firstLine="720"/>
        <w:rPr>
          <w:rtl/>
        </w:rPr>
      </w:pPr>
    </w:p>
    <w:p w14:paraId="13951F8D" w14:textId="77777777" w:rsidR="00051096" w:rsidRDefault="00E53BE9">
      <w:pPr>
        <w:jc w:val="left"/>
      </w:pPr>
      <w:bookmarkStart w:id="6" w:name="selectedDocDateB"/>
      <w:bookmarkEnd w:id="6"/>
      <w:r>
        <w:rPr>
          <w:rFonts w:eastAsia="David" w:hint="cs"/>
          <w:sz w:val="26"/>
          <w:szCs w:val="26"/>
          <w:rtl/>
        </w:rPr>
        <w:t>--------------------------------</w:t>
      </w:r>
    </w:p>
    <w:p w14:paraId="5AE827E2" w14:textId="77777777" w:rsidR="00051096" w:rsidRDefault="00E53BE9">
      <w:pPr>
        <w:jc w:val="left"/>
      </w:pPr>
      <w:r>
        <w:rPr>
          <w:rFonts w:eastAsia="David" w:hint="cs"/>
          <w:sz w:val="26"/>
          <w:szCs w:val="26"/>
          <w:rtl/>
        </w:rPr>
        <w:t>הוגשה ליו"ר הכנסת והסגנים</w:t>
      </w:r>
    </w:p>
    <w:p w14:paraId="174EE3C5" w14:textId="77777777" w:rsidR="00051096" w:rsidRDefault="00E53BE9">
      <w:pPr>
        <w:jc w:val="left"/>
      </w:pPr>
      <w:r>
        <w:rPr>
          <w:rFonts w:eastAsia="David" w:hint="cs"/>
          <w:sz w:val="26"/>
          <w:szCs w:val="26"/>
          <w:rtl/>
        </w:rPr>
        <w:t>והונחה על שולחן הכנסת ביום</w:t>
      </w:r>
    </w:p>
    <w:p w14:paraId="4884A7CD" w14:textId="77777777" w:rsidR="00051096" w:rsidRDefault="00E53BE9">
      <w:pPr>
        <w:jc w:val="left"/>
      </w:pPr>
      <w:r>
        <w:rPr>
          <w:rFonts w:eastAsia="David" w:hint="cs"/>
          <w:sz w:val="26"/>
          <w:szCs w:val="26"/>
          <w:rtl/>
        </w:rPr>
        <w:t xml:space="preserve">ה' בחשוון </w:t>
      </w:r>
      <w:proofErr w:type="spellStart"/>
      <w:r>
        <w:rPr>
          <w:rFonts w:eastAsia="David" w:hint="cs"/>
          <w:sz w:val="26"/>
          <w:szCs w:val="26"/>
          <w:rtl/>
        </w:rPr>
        <w:t>התשפ"ב</w:t>
      </w:r>
      <w:proofErr w:type="spellEnd"/>
      <w:r>
        <w:rPr>
          <w:rFonts w:eastAsia="David" w:hint="cs"/>
          <w:sz w:val="26"/>
          <w:szCs w:val="26"/>
          <w:rtl/>
        </w:rPr>
        <w:t xml:space="preserve"> (11.10.2021) </w:t>
      </w:r>
    </w:p>
    <w:p w14:paraId="72C1E5AD" w14:textId="77777777" w:rsidR="00051096" w:rsidRDefault="00051096">
      <w:pPr>
        <w:spacing w:line="276" w:lineRule="auto"/>
        <w:jc w:val="left"/>
      </w:pPr>
    </w:p>
    <w:sectPr w:rsidR="00051096" w:rsidSect="00CB7055">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65EEC2F0"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E53BE9">
      <w:rPr>
        <w:rStyle w:val="aa"/>
        <w:noProof/>
        <w:rtl/>
      </w:rPr>
      <w:t>5</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CB7055">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202DE76" w14:textId="5F2B4213" w:rsidR="005F7306" w:rsidRDefault="005F7306" w:rsidP="00A81599">
      <w:pPr>
        <w:pStyle w:val="a4"/>
      </w:pPr>
      <w:r>
        <w:rPr>
          <w:rStyle w:val="a5"/>
        </w:rPr>
        <w:footnoteRef/>
      </w:r>
      <w:r>
        <w:rPr>
          <w:rtl/>
        </w:rPr>
        <w:t xml:space="preserve"> </w:t>
      </w:r>
      <w:r w:rsidRPr="002C16AA">
        <w:rPr>
          <w:rtl/>
        </w:rPr>
        <w:t xml:space="preserve">ס"ח </w:t>
      </w:r>
      <w:proofErr w:type="spellStart"/>
      <w:r w:rsidR="00A81599">
        <w:rPr>
          <w:rFonts w:hint="cs"/>
          <w:rtl/>
        </w:rPr>
        <w:t>ה</w:t>
      </w:r>
      <w:r w:rsidRPr="002C16AA">
        <w:rPr>
          <w:rtl/>
        </w:rPr>
        <w:t>תשי"ב</w:t>
      </w:r>
      <w:proofErr w:type="spellEnd"/>
      <w:r w:rsidR="00A81599">
        <w:rPr>
          <w:rFonts w:hint="cs"/>
          <w:rtl/>
        </w:rPr>
        <w:t>,</w:t>
      </w:r>
      <w:r w:rsidRPr="002C16AA">
        <w:rPr>
          <w:rtl/>
        </w:rPr>
        <w:t xml:space="preserve"> עמ' 146</w:t>
      </w:r>
      <w:r w:rsidR="00A81599">
        <w:rPr>
          <w:rFonts w:hint="cs"/>
          <w:rtl/>
        </w:rPr>
        <w:t>.</w:t>
      </w:r>
    </w:p>
  </w:footnote>
  <w:footnote w:id="3">
    <w:p w14:paraId="231D3274" w14:textId="119B5FAA" w:rsidR="005F7306" w:rsidRDefault="005F7306" w:rsidP="00A81599">
      <w:pPr>
        <w:pStyle w:val="a4"/>
      </w:pPr>
      <w:r>
        <w:rPr>
          <w:rStyle w:val="a5"/>
        </w:rPr>
        <w:footnoteRef/>
      </w:r>
      <w:r>
        <w:rPr>
          <w:rtl/>
        </w:rPr>
        <w:t xml:space="preserve"> </w:t>
      </w:r>
      <w:r w:rsidRPr="002C16AA">
        <w:rPr>
          <w:rtl/>
        </w:rPr>
        <w:t xml:space="preserve">ס"ח </w:t>
      </w:r>
      <w:proofErr w:type="spellStart"/>
      <w:r w:rsidR="00A81599">
        <w:rPr>
          <w:rFonts w:hint="cs"/>
          <w:rtl/>
        </w:rPr>
        <w:t>ה</w:t>
      </w:r>
      <w:r w:rsidRPr="002C16AA">
        <w:rPr>
          <w:rtl/>
        </w:rPr>
        <w:t>תשי"ב</w:t>
      </w:r>
      <w:proofErr w:type="spellEnd"/>
      <w:r w:rsidR="00A81599">
        <w:rPr>
          <w:rFonts w:hint="cs"/>
          <w:rtl/>
        </w:rPr>
        <w:t>,</w:t>
      </w:r>
      <w:r w:rsidRPr="002C16AA">
        <w:rPr>
          <w:rtl/>
        </w:rPr>
        <w:t xml:space="preserve"> עמ' 354</w:t>
      </w:r>
      <w:r w:rsidR="00A81599">
        <w:rPr>
          <w:rFonts w:hint="cs"/>
          <w:rtl/>
        </w:rPr>
        <w:t>.</w:t>
      </w:r>
    </w:p>
  </w:footnote>
  <w:footnote w:id="4">
    <w:p w14:paraId="5A65589A" w14:textId="6A0FD7C9" w:rsidR="00ED7CBF" w:rsidRDefault="00ED7CBF" w:rsidP="00ED7CBF">
      <w:pPr>
        <w:pStyle w:val="a4"/>
      </w:pPr>
      <w:r>
        <w:rPr>
          <w:rStyle w:val="a5"/>
        </w:rPr>
        <w:footnoteRef/>
      </w:r>
      <w:r>
        <w:rPr>
          <w:rtl/>
        </w:rPr>
        <w:t xml:space="preserve"> </w:t>
      </w:r>
      <w:r w:rsidRPr="002C16AA">
        <w:rPr>
          <w:rtl/>
        </w:rPr>
        <w:t xml:space="preserve">ס"ח </w:t>
      </w:r>
      <w:proofErr w:type="spellStart"/>
      <w:r>
        <w:rPr>
          <w:rFonts w:hint="cs"/>
          <w:rtl/>
        </w:rPr>
        <w:t>ה</w:t>
      </w:r>
      <w:r w:rsidRPr="002C16AA">
        <w:rPr>
          <w:rtl/>
        </w:rPr>
        <w:t>תשמ"ב</w:t>
      </w:r>
      <w:proofErr w:type="spellEnd"/>
      <w:r>
        <w:rPr>
          <w:rFonts w:hint="cs"/>
          <w:rtl/>
        </w:rPr>
        <w:t>,</w:t>
      </w:r>
      <w:r w:rsidRPr="002C16AA">
        <w:rPr>
          <w:rtl/>
        </w:rPr>
        <w:t xml:space="preserve"> עמ' 6</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45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DA1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907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128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AEAC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60E7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03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5460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303D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A7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02632"/>
    <w:rsid w:val="00015B27"/>
    <w:rsid w:val="00051096"/>
    <w:rsid w:val="00054C82"/>
    <w:rsid w:val="00063A3E"/>
    <w:rsid w:val="000717D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5F7306"/>
    <w:rsid w:val="00604A05"/>
    <w:rsid w:val="0062674B"/>
    <w:rsid w:val="006363B2"/>
    <w:rsid w:val="006446EA"/>
    <w:rsid w:val="00644940"/>
    <w:rsid w:val="006818A9"/>
    <w:rsid w:val="006A2D81"/>
    <w:rsid w:val="006C1D0D"/>
    <w:rsid w:val="006E027F"/>
    <w:rsid w:val="0070601E"/>
    <w:rsid w:val="00712C72"/>
    <w:rsid w:val="00735FE9"/>
    <w:rsid w:val="00763CAA"/>
    <w:rsid w:val="00765F66"/>
    <w:rsid w:val="0078664F"/>
    <w:rsid w:val="007A27CE"/>
    <w:rsid w:val="007C3FA6"/>
    <w:rsid w:val="007D585A"/>
    <w:rsid w:val="007D5A12"/>
    <w:rsid w:val="007E13D9"/>
    <w:rsid w:val="007E59F9"/>
    <w:rsid w:val="00810BCD"/>
    <w:rsid w:val="00812C98"/>
    <w:rsid w:val="00814D92"/>
    <w:rsid w:val="0083181D"/>
    <w:rsid w:val="00843EB2"/>
    <w:rsid w:val="00865572"/>
    <w:rsid w:val="00874BBC"/>
    <w:rsid w:val="00880214"/>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34E44"/>
    <w:rsid w:val="00A443CF"/>
    <w:rsid w:val="00A6611D"/>
    <w:rsid w:val="00A81599"/>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A20E5"/>
    <w:rsid w:val="00CB7055"/>
    <w:rsid w:val="00CF1AA2"/>
    <w:rsid w:val="00D142D3"/>
    <w:rsid w:val="00D17774"/>
    <w:rsid w:val="00D63620"/>
    <w:rsid w:val="00D8410D"/>
    <w:rsid w:val="00D867D7"/>
    <w:rsid w:val="00D90201"/>
    <w:rsid w:val="00DB7060"/>
    <w:rsid w:val="00DE3153"/>
    <w:rsid w:val="00E06736"/>
    <w:rsid w:val="00E13C27"/>
    <w:rsid w:val="00E33BBD"/>
    <w:rsid w:val="00E374F2"/>
    <w:rsid w:val="00E45103"/>
    <w:rsid w:val="00E53BE9"/>
    <w:rsid w:val="00E55A60"/>
    <w:rsid w:val="00E62778"/>
    <w:rsid w:val="00E635A2"/>
    <w:rsid w:val="00E63D38"/>
    <w:rsid w:val="00E665B9"/>
    <w:rsid w:val="00EA01E6"/>
    <w:rsid w:val="00EA3DE8"/>
    <w:rsid w:val="00EA758F"/>
    <w:rsid w:val="00ED4A6F"/>
    <w:rsid w:val="00ED7CBF"/>
    <w:rsid w:val="00EF3A3A"/>
    <w:rsid w:val="00F0343C"/>
    <w:rsid w:val="00F628D6"/>
    <w:rsid w:val="00F67051"/>
    <w:rsid w:val="00F86A1E"/>
    <w:rsid w:val="00FA2C9A"/>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768AB393-3440-4538-BC95-473E183C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055"/>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CB7055"/>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CB7055"/>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CB7055"/>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CB7055"/>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CB7055"/>
    <w:pPr>
      <w:spacing w:line="259" w:lineRule="auto"/>
      <w:outlineLvl w:val="4"/>
    </w:pPr>
    <w:rPr>
      <w:color w:val="000000" w:themeColor="text1"/>
    </w:rPr>
  </w:style>
  <w:style w:type="character" w:default="1" w:styleId="a0">
    <w:name w:val="Default Paragraph Font"/>
    <w:uiPriority w:val="1"/>
    <w:semiHidden/>
    <w:unhideWhenUsed/>
    <w:rsid w:val="00CB705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B7055"/>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CB7055"/>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CB7055"/>
    <w:rPr>
      <w:sz w:val="36"/>
      <w:szCs w:val="52"/>
    </w:rPr>
  </w:style>
  <w:style w:type="paragraph" w:customStyle="1" w:styleId="Cover3-Haknesset">
    <w:name w:val="Cover 3-Haknesset"/>
    <w:basedOn w:val="Cover1-Reshumot"/>
    <w:rsid w:val="00CB7055"/>
    <w:rPr>
      <w:b/>
      <w:bCs/>
      <w:spacing w:val="60"/>
    </w:rPr>
  </w:style>
  <w:style w:type="paragraph" w:customStyle="1" w:styleId="Cover4-Date">
    <w:name w:val="Cover 4-Date"/>
    <w:basedOn w:val="a"/>
    <w:rsid w:val="00CB7055"/>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CB7055"/>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CB7055"/>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CB7055"/>
    <w:pPr>
      <w:spacing w:before="120" w:after="120"/>
    </w:pPr>
    <w:rPr>
      <w:color w:val="FF0000"/>
      <w:w w:val="80"/>
    </w:rPr>
  </w:style>
  <w:style w:type="paragraph" w:styleId="a3">
    <w:name w:val="endnote text"/>
    <w:basedOn w:val="a"/>
    <w:semiHidden/>
    <w:rsid w:val="00CB7055"/>
    <w:pPr>
      <w:ind w:left="227" w:hanging="227"/>
    </w:pPr>
    <w:rPr>
      <w:sz w:val="14"/>
      <w:szCs w:val="22"/>
    </w:rPr>
  </w:style>
  <w:style w:type="paragraph" w:customStyle="1" w:styleId="TableText">
    <w:name w:val="Table Text"/>
    <w:basedOn w:val="a"/>
    <w:rsid w:val="00CB7055"/>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CB7055"/>
    <w:pPr>
      <w:outlineLvl w:val="2"/>
    </w:pPr>
  </w:style>
  <w:style w:type="paragraph" w:customStyle="1" w:styleId="TableBlock">
    <w:name w:val="Table Block"/>
    <w:basedOn w:val="TableText"/>
    <w:rsid w:val="00CB7055"/>
    <w:pPr>
      <w:jc w:val="both"/>
    </w:pPr>
  </w:style>
  <w:style w:type="paragraph" w:customStyle="1" w:styleId="TableHead">
    <w:name w:val="Table Head"/>
    <w:basedOn w:val="TableText"/>
    <w:rsid w:val="00CB7055"/>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CB7055"/>
    <w:pPr>
      <w:outlineLvl w:val="9"/>
    </w:pPr>
  </w:style>
  <w:style w:type="paragraph" w:customStyle="1" w:styleId="Hesber">
    <w:name w:val="Hesber"/>
    <w:basedOn w:val="a"/>
    <w:rsid w:val="00CB7055"/>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CB7055"/>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CB7055"/>
    <w:rPr>
      <w:vertAlign w:val="superscript"/>
    </w:rPr>
  </w:style>
  <w:style w:type="paragraph" w:customStyle="1" w:styleId="HesberHeading">
    <w:name w:val="Hesber Heading"/>
    <w:basedOn w:val="Hesber"/>
    <w:rsid w:val="00CB7055"/>
    <w:pPr>
      <w:tabs>
        <w:tab w:val="left" w:pos="624"/>
        <w:tab w:val="left" w:pos="1247"/>
      </w:tabs>
    </w:pPr>
    <w:rPr>
      <w:b/>
      <w:bCs/>
    </w:rPr>
  </w:style>
  <w:style w:type="paragraph" w:customStyle="1" w:styleId="HesberWriters">
    <w:name w:val="Hesber Writers"/>
    <w:basedOn w:val="Hesber"/>
    <w:rsid w:val="00CB7055"/>
    <w:pPr>
      <w:spacing w:before="120" w:after="120"/>
      <w:ind w:left="1418"/>
      <w:jc w:val="right"/>
    </w:pPr>
    <w:rPr>
      <w:b/>
      <w:bCs/>
    </w:rPr>
  </w:style>
  <w:style w:type="paragraph" w:customStyle="1" w:styleId="Hesber1st">
    <w:name w:val="Hesber 1st"/>
    <w:basedOn w:val="Hesber"/>
    <w:rsid w:val="00CB7055"/>
    <w:pPr>
      <w:tabs>
        <w:tab w:val="left" w:pos="680"/>
        <w:tab w:val="left" w:pos="1020"/>
      </w:tabs>
      <w:ind w:firstLine="0"/>
    </w:pPr>
  </w:style>
  <w:style w:type="character" w:styleId="a6">
    <w:name w:val="endnote reference"/>
    <w:basedOn w:val="a0"/>
    <w:semiHidden/>
    <w:rsid w:val="00CB7055"/>
    <w:rPr>
      <w:vertAlign w:val="superscript"/>
    </w:rPr>
  </w:style>
  <w:style w:type="paragraph" w:customStyle="1" w:styleId="TableBlockOutdent">
    <w:name w:val="Table BlockOutdent"/>
    <w:basedOn w:val="TableBlock"/>
    <w:rsid w:val="00CB7055"/>
    <w:pPr>
      <w:ind w:left="624" w:hanging="624"/>
    </w:pPr>
  </w:style>
  <w:style w:type="paragraph" w:styleId="a7">
    <w:name w:val="header"/>
    <w:basedOn w:val="a"/>
    <w:rsid w:val="00CB7055"/>
    <w:pPr>
      <w:tabs>
        <w:tab w:val="center" w:pos="4153"/>
        <w:tab w:val="right" w:pos="8306"/>
      </w:tabs>
    </w:pPr>
  </w:style>
  <w:style w:type="paragraph" w:styleId="a8">
    <w:name w:val="footer"/>
    <w:basedOn w:val="a"/>
    <w:rsid w:val="00CB7055"/>
    <w:pPr>
      <w:tabs>
        <w:tab w:val="center" w:pos="4153"/>
        <w:tab w:val="right" w:pos="8306"/>
      </w:tabs>
    </w:pPr>
  </w:style>
  <w:style w:type="paragraph" w:customStyle="1" w:styleId="HeadDivreiHesber">
    <w:name w:val="Head DivreiHesber"/>
    <w:basedOn w:val="a"/>
    <w:rsid w:val="00CB7055"/>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CB7055"/>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CB7055"/>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customStyle="1" w:styleId="default">
    <w:name w:val="default"/>
    <w:basedOn w:val="a0"/>
    <w:rsid w:val="007E13D9"/>
  </w:style>
  <w:style w:type="character" w:customStyle="1" w:styleId="10">
    <w:name w:val="כותרת 1 תו"/>
    <w:basedOn w:val="a0"/>
    <w:link w:val="1"/>
    <w:uiPriority w:val="9"/>
    <w:rsid w:val="00CB7055"/>
    <w:rPr>
      <w:rFonts w:asciiTheme="majorHAnsi" w:eastAsiaTheme="majorEastAsia" w:hAnsiTheme="majorHAnsi" w:cs="David"/>
      <w:bCs/>
      <w:sz w:val="32"/>
      <w:szCs w:val="36"/>
    </w:rPr>
  </w:style>
  <w:style w:type="character" w:customStyle="1" w:styleId="20">
    <w:name w:val="כותרת 2 תו"/>
    <w:basedOn w:val="a0"/>
    <w:link w:val="2"/>
    <w:rsid w:val="00CB7055"/>
    <w:rPr>
      <w:rFonts w:asciiTheme="majorHAnsi" w:eastAsiaTheme="majorEastAsia" w:hAnsiTheme="majorHAnsi" w:cs="David"/>
      <w:bCs/>
      <w:sz w:val="26"/>
      <w:szCs w:val="36"/>
      <w:u w:val="single"/>
    </w:rPr>
  </w:style>
  <w:style w:type="character" w:customStyle="1" w:styleId="30">
    <w:name w:val="כותרת 3 תו"/>
    <w:basedOn w:val="a0"/>
    <w:link w:val="3"/>
    <w:rsid w:val="00CB7055"/>
    <w:rPr>
      <w:rFonts w:asciiTheme="majorHAnsi" w:eastAsiaTheme="majorEastAsia" w:hAnsiTheme="majorHAnsi" w:cs="David"/>
      <w:sz w:val="24"/>
      <w:szCs w:val="28"/>
      <w:u w:val="double"/>
    </w:rPr>
  </w:style>
  <w:style w:type="character" w:customStyle="1" w:styleId="40">
    <w:name w:val="כותרת 4 תו"/>
    <w:basedOn w:val="a0"/>
    <w:link w:val="4"/>
    <w:uiPriority w:val="9"/>
    <w:rsid w:val="00CB7055"/>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CB7055"/>
    <w:rPr>
      <w:rFonts w:ascii="David" w:eastAsiaTheme="minorHAnsi" w:hAnsi="David" w:cs="David"/>
      <w:color w:val="000000" w:themeColor="text1"/>
      <w:sz w:val="24"/>
      <w:szCs w:val="24"/>
    </w:rPr>
  </w:style>
  <w:style w:type="paragraph" w:styleId="ad">
    <w:name w:val="TOC Heading"/>
    <w:basedOn w:val="1"/>
    <w:next w:val="a"/>
    <w:uiPriority w:val="39"/>
    <w:unhideWhenUsed/>
    <w:qFormat/>
    <w:rsid w:val="00CB7055"/>
    <w:pPr>
      <w:widowControl/>
      <w:spacing w:before="120" w:after="120"/>
      <w:outlineLvl w:val="9"/>
    </w:pPr>
    <w:rPr>
      <w:rtl/>
      <w:cs/>
    </w:rPr>
  </w:style>
  <w:style w:type="paragraph" w:styleId="TOC1">
    <w:name w:val="toc 1"/>
    <w:basedOn w:val="a"/>
    <w:next w:val="a"/>
    <w:autoRedefine/>
    <w:uiPriority w:val="39"/>
    <w:unhideWhenUsed/>
    <w:rsid w:val="00CB7055"/>
    <w:pPr>
      <w:tabs>
        <w:tab w:val="right" w:leader="dot" w:pos="9629"/>
      </w:tabs>
      <w:spacing w:after="100"/>
    </w:pPr>
    <w:rPr>
      <w:bCs/>
      <w:szCs w:val="22"/>
    </w:rPr>
  </w:style>
  <w:style w:type="paragraph" w:styleId="TOC2">
    <w:name w:val="toc 2"/>
    <w:basedOn w:val="a"/>
    <w:next w:val="a"/>
    <w:uiPriority w:val="39"/>
    <w:unhideWhenUsed/>
    <w:rsid w:val="00CB7055"/>
    <w:pPr>
      <w:tabs>
        <w:tab w:val="right" w:leader="dot" w:pos="9628"/>
      </w:tabs>
      <w:spacing w:after="100"/>
    </w:pPr>
    <w:rPr>
      <w:szCs w:val="22"/>
    </w:rPr>
  </w:style>
  <w:style w:type="character" w:styleId="Hyperlink">
    <w:name w:val="Hyperlink"/>
    <w:basedOn w:val="a0"/>
    <w:uiPriority w:val="99"/>
    <w:unhideWhenUsed/>
    <w:rsid w:val="00CB7055"/>
    <w:rPr>
      <w:color w:val="0000FF" w:themeColor="hyperlink"/>
      <w:u w:val="single"/>
    </w:rPr>
  </w:style>
  <w:style w:type="paragraph" w:styleId="TOC3">
    <w:name w:val="toc 3"/>
    <w:basedOn w:val="a"/>
    <w:next w:val="a"/>
    <w:uiPriority w:val="39"/>
    <w:unhideWhenUsed/>
    <w:rsid w:val="00CB7055"/>
    <w:pPr>
      <w:tabs>
        <w:tab w:val="right" w:leader="dot" w:pos="9629"/>
      </w:tabs>
      <w:spacing w:after="100"/>
      <w:ind w:left="567"/>
    </w:pPr>
    <w:rPr>
      <w:szCs w:val="22"/>
    </w:rPr>
  </w:style>
  <w:style w:type="paragraph" w:styleId="TOC4">
    <w:name w:val="toc 4"/>
    <w:basedOn w:val="a"/>
    <w:next w:val="a"/>
    <w:autoRedefine/>
    <w:unhideWhenUsed/>
    <w:qFormat/>
    <w:rsid w:val="00CB7055"/>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CB7055"/>
    <w:pPr>
      <w:tabs>
        <w:tab w:val="right" w:leader="dot" w:pos="9628"/>
      </w:tabs>
      <w:spacing w:after="100"/>
      <w:ind w:left="567"/>
    </w:pPr>
    <w:rPr>
      <w:szCs w:val="22"/>
    </w:rPr>
  </w:style>
  <w:style w:type="paragraph" w:styleId="TOC6">
    <w:name w:val="toc 6"/>
    <w:basedOn w:val="a"/>
    <w:next w:val="a"/>
    <w:autoRedefine/>
    <w:semiHidden/>
    <w:unhideWhenUsed/>
    <w:rsid w:val="00CB7055"/>
    <w:pPr>
      <w:spacing w:after="100"/>
      <w:ind w:left="850"/>
    </w:pPr>
  </w:style>
  <w:style w:type="paragraph" w:styleId="TOC7">
    <w:name w:val="toc 7"/>
    <w:basedOn w:val="a"/>
    <w:next w:val="a"/>
    <w:autoRedefine/>
    <w:semiHidden/>
    <w:unhideWhenUsed/>
    <w:rsid w:val="00CB7055"/>
    <w:pPr>
      <w:spacing w:after="100"/>
      <w:ind w:left="1020"/>
    </w:pPr>
  </w:style>
  <w:style w:type="paragraph" w:styleId="TOC8">
    <w:name w:val="toc 8"/>
    <w:basedOn w:val="a"/>
    <w:next w:val="a"/>
    <w:autoRedefine/>
    <w:semiHidden/>
    <w:unhideWhenUsed/>
    <w:rsid w:val="00CB7055"/>
    <w:pPr>
      <w:spacing w:after="100"/>
      <w:ind w:left="1190"/>
    </w:pPr>
  </w:style>
  <w:style w:type="paragraph" w:styleId="TOC9">
    <w:name w:val="toc 9"/>
    <w:basedOn w:val="a"/>
    <w:next w:val="a"/>
    <w:autoRedefine/>
    <w:semiHidden/>
    <w:unhideWhenUsed/>
    <w:rsid w:val="00CB7055"/>
    <w:pPr>
      <w:spacing w:after="100"/>
      <w:ind w:left="1360"/>
    </w:pPr>
  </w:style>
  <w:style w:type="paragraph" w:customStyle="1" w:styleId="TableHead2">
    <w:name w:val="Table Head2"/>
    <w:basedOn w:val="TableHead"/>
    <w:qFormat/>
    <w:rsid w:val="00CB7055"/>
    <w:pPr>
      <w:outlineLvl w:val="9"/>
    </w:pPr>
  </w:style>
  <w:style w:type="paragraph" w:customStyle="1" w:styleId="TableSideHeading2">
    <w:name w:val="Table SideHeading2"/>
    <w:basedOn w:val="TableSideHeading"/>
    <w:autoRedefine/>
    <w:qFormat/>
    <w:rsid w:val="00CB7055"/>
    <w:pPr>
      <w:keepLines w:val="0"/>
      <w:outlineLvl w:val="9"/>
    </w:pPr>
  </w:style>
  <w:style w:type="paragraph" w:customStyle="1" w:styleId="0">
    <w:name w:val="סגנון שורה ראשונה:  0  ס''מ"/>
    <w:basedOn w:val="2"/>
    <w:rsid w:val="00CB7055"/>
    <w:rPr>
      <w:rFonts w:eastAsia="Times New Roman"/>
    </w:rPr>
  </w:style>
  <w:style w:type="paragraph" w:styleId="ae">
    <w:name w:val="List Paragraph"/>
    <w:basedOn w:val="a"/>
    <w:uiPriority w:val="34"/>
    <w:qFormat/>
    <w:rsid w:val="00CB7055"/>
    <w:pPr>
      <w:widowControl/>
      <w:spacing w:line="259" w:lineRule="auto"/>
    </w:pPr>
    <w:rPr>
      <w:rFonts w:asciiTheme="minorHAnsi" w:hAnsiTheme="minorHAnsi"/>
      <w:sz w:val="22"/>
    </w:rPr>
  </w:style>
  <w:style w:type="table" w:styleId="af">
    <w:name w:val="Table Grid"/>
    <w:basedOn w:val="a1"/>
    <w:rsid w:val="00C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CB70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CB70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0">
    <w:name w:val="טבלת חקיקה"/>
    <w:basedOn w:val="a1"/>
    <w:uiPriority w:val="99"/>
    <w:rsid w:val="00CB7055"/>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CB7055"/>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C4D8-34D3-461E-846E-C402AD96F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875C00B-CDD4-4A60-B75F-A1F552A7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1288</Words>
  <Characters>7344</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דניאלה ווייס עמר</cp:lastModifiedBy>
  <cp:revision>21</cp:revision>
  <cp:lastPrinted>2013-07-04T08:25:00Z</cp:lastPrinted>
  <dcterms:created xsi:type="dcterms:W3CDTF">2015-04-20T09:58:00Z</dcterms:created>
  <dcterms:modified xsi:type="dcterms:W3CDTF">2021-10-07T10:16:00Z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2162396</vt:r8>
  </property>
</Properties>
</file>