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2161404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לימור מגן תלם</w:t>
      </w:r>
      <w:r>
        <w:br/>
      </w:r>
      <w:r>
        <w:rPr>
          <w:rFonts w:hint="cs"/>
          <w:b/>
          <w:bCs/>
          <w:rtl/>
        </w:rPr>
        <w:t xml:space="preserve"> </w:t>
      </w:r>
      <w:r>
        <w:tab/>
      </w:r>
      <w:r>
        <w:tab/>
      </w:r>
      <w:r>
        <w:tab/>
      </w:r>
      <w:r>
        <w:tab/>
      </w:r>
      <w:r>
        <w:rPr>
          <w:rFonts w:hint="cs"/>
          <w:b/>
          <w:bCs/>
          <w:rtl/>
        </w:rPr>
        <w:t>יבגני סובה</w:t>
      </w:r>
      <w:r>
        <w:br/>
      </w:r>
      <w:r>
        <w:rPr>
          <w:rFonts w:hint="cs"/>
          <w:b/>
          <w:bCs/>
          <w:rtl/>
        </w:rPr>
        <w:t xml:space="preserve"> </w:t>
      </w:r>
      <w:r>
        <w:tab/>
      </w:r>
      <w:r>
        <w:tab/>
      </w:r>
      <w:r>
        <w:tab/>
      </w:r>
      <w:r>
        <w:tab/>
      </w:r>
      <w:r>
        <w:rPr>
          <w:rFonts w:hint="cs"/>
          <w:b/>
          <w:bCs/>
          <w:rtl/>
        </w:rPr>
        <w:t xml:space="preserve">יוליה </w:t>
      </w:r>
      <w:proofErr w:type="spellStart"/>
      <w:r>
        <w:rPr>
          <w:rFonts w:hint="cs"/>
          <w:b/>
          <w:bCs/>
          <w:rtl/>
        </w:rPr>
        <w:t>מלינובסקי</w:t>
      </w:r>
      <w:proofErr w:type="spellEnd"/>
      <w:r>
        <w:br/>
      </w:r>
      <w:r>
        <w:rPr>
          <w:rFonts w:hint="cs"/>
          <w:b/>
          <w:bCs/>
          <w:rtl/>
        </w:rPr>
        <w:t xml:space="preserve"> </w:t>
      </w:r>
      <w:r>
        <w:tab/>
      </w:r>
      <w:r>
        <w:tab/>
      </w:r>
      <w:r>
        <w:tab/>
      </w:r>
      <w:r>
        <w:tab/>
      </w:r>
      <w:r>
        <w:rPr>
          <w:rFonts w:hint="cs"/>
          <w:b/>
          <w:bCs/>
          <w:rtl/>
        </w:rPr>
        <w:t>אלכס קושניר</w:t>
      </w:r>
      <w:r>
        <w:br/>
      </w:r>
      <w:r>
        <w:rPr>
          <w:rFonts w:hint="cs"/>
          <w:b/>
          <w:bCs/>
          <w:rtl/>
        </w:rPr>
        <w:t xml:space="preserve"> </w:t>
      </w:r>
      <w:r>
        <w:tab/>
      </w:r>
      <w:r>
        <w:tab/>
      </w:r>
      <w:r>
        <w:tab/>
      </w:r>
      <w:r>
        <w:tab/>
      </w:r>
      <w:r>
        <w:rPr>
          <w:rFonts w:hint="cs"/>
          <w:b/>
          <w:bCs/>
          <w:rtl/>
        </w:rPr>
        <w:t xml:space="preserve">אלינה </w:t>
      </w:r>
      <w:proofErr w:type="spellStart"/>
      <w:r>
        <w:rPr>
          <w:rFonts w:hint="cs"/>
          <w:b/>
          <w:bCs/>
          <w:rtl/>
        </w:rPr>
        <w:t>ברדץ</w:t>
      </w:r>
      <w:proofErr w:type="spellEnd"/>
      <w:r>
        <w:rPr>
          <w:rFonts w:hint="cs"/>
          <w:b/>
          <w:bCs/>
          <w:rtl/>
        </w:rPr>
        <w:t xml:space="preserve">' </w:t>
      </w:r>
      <w:proofErr w:type="spellStart"/>
      <w:r>
        <w:rPr>
          <w:rFonts w:hint="cs"/>
          <w:b/>
          <w:bCs/>
          <w:rtl/>
        </w:rPr>
        <w:t>יאלוב</w:t>
      </w:r>
      <w:proofErr w:type="spellEnd"/>
      <w:r>
        <w:br/>
      </w:r>
      <w:r>
        <w:rPr>
          <w:rFonts w:hint="cs"/>
          <w:b/>
          <w:bCs/>
          <w:rtl/>
        </w:rPr>
        <w:t xml:space="preserve"> </w:t>
      </w:r>
      <w:r>
        <w:tab/>
      </w:r>
      <w:r>
        <w:tab/>
      </w:r>
      <w:r>
        <w:tab/>
      </w:r>
      <w:r>
        <w:tab/>
      </w:r>
      <w:r>
        <w:rPr>
          <w:rFonts w:hint="cs"/>
          <w:b/>
          <w:bCs/>
          <w:rtl/>
        </w:rPr>
        <w:t>שרון רופא אופיר</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פ/2228/24</w:t>
      </w:r>
      <w:bookmarkEnd w:id="4"/>
    </w:p>
    <w:p w14:paraId="0EF2DA4E" w14:textId="2F16CBB6" w:rsidR="00187DC0" w:rsidRPr="00F67051" w:rsidRDefault="00187DC0" w:rsidP="00F11BC0">
      <w:pPr>
        <w:pStyle w:val="HeadHatzaotHok"/>
        <w:rPr>
          <w:rtl/>
        </w:rPr>
      </w:pPr>
      <w:bookmarkStart w:id="5" w:name="LGS_Subject"/>
      <w:r>
        <w:rPr>
          <w:rFonts w:hint="cs"/>
          <w:rtl/>
        </w:rPr>
        <w:t xml:space="preserve">הצעת חוק עבודת הנוער (תיקון </w:t>
      </w:r>
      <w:r w:rsidR="00F11BC0">
        <w:rPr>
          <w:rFonts w:hint="eastAsia"/>
          <w:rtl/>
        </w:rPr>
        <w:t>–</w:t>
      </w:r>
      <w:r>
        <w:rPr>
          <w:rFonts w:hint="cs"/>
          <w:rtl/>
        </w:rPr>
        <w:t xml:space="preserve"> עבודת נוער בהופעות וצילומים), </w:t>
      </w:r>
      <w:proofErr w:type="spellStart"/>
      <w:r>
        <w:rPr>
          <w:rFonts w:hint="cs"/>
          <w:rtl/>
        </w:rPr>
        <w:t>התשפ"ב</w:t>
      </w:r>
      <w:proofErr w:type="spellEnd"/>
      <w:r w:rsidR="00F11BC0">
        <w:rPr>
          <w:rFonts w:hint="eastAsia"/>
          <w:rtl/>
        </w:rPr>
        <w:t>–</w:t>
      </w:r>
      <w:r>
        <w:rPr>
          <w:rFonts w:hint="cs"/>
          <w:rtl/>
        </w:rPr>
        <w:t xml:space="preserve">2021 </w:t>
      </w:r>
      <w:bookmarkEnd w:id="5"/>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187DC0" w14:paraId="37FEFC01" w14:textId="77777777" w:rsidTr="007421E2">
        <w:trPr>
          <w:cantSplit/>
          <w:trHeight w:val="60"/>
        </w:trPr>
        <w:tc>
          <w:tcPr>
            <w:tcW w:w="1871" w:type="dxa"/>
          </w:tcPr>
          <w:p w14:paraId="3EA9C620" w14:textId="77777777" w:rsidR="00187DC0" w:rsidRDefault="00187DC0" w:rsidP="007421E2">
            <w:pPr>
              <w:pStyle w:val="TableSideHeading"/>
              <w:keepLines w:val="0"/>
            </w:pPr>
            <w:r>
              <w:rPr>
                <w:rFonts w:hint="cs"/>
                <w:rtl/>
              </w:rPr>
              <w:t>תיקון סעיף 4</w:t>
            </w:r>
          </w:p>
        </w:tc>
        <w:tc>
          <w:tcPr>
            <w:tcW w:w="624" w:type="dxa"/>
          </w:tcPr>
          <w:p w14:paraId="122281DC" w14:textId="77777777" w:rsidR="00187DC0" w:rsidRDefault="00187DC0" w:rsidP="007421E2">
            <w:pPr>
              <w:pStyle w:val="TableText"/>
              <w:keepLines w:val="0"/>
            </w:pPr>
            <w:r>
              <w:rPr>
                <w:rFonts w:hint="cs"/>
                <w:rtl/>
              </w:rPr>
              <w:t>1.</w:t>
            </w:r>
          </w:p>
        </w:tc>
        <w:tc>
          <w:tcPr>
            <w:tcW w:w="7146" w:type="dxa"/>
          </w:tcPr>
          <w:p w14:paraId="50DC8C4B" w14:textId="77777777" w:rsidR="00187DC0" w:rsidRPr="00A63A83" w:rsidRDefault="00187DC0" w:rsidP="007421E2">
            <w:pPr>
              <w:pStyle w:val="TableHead"/>
              <w:keepLines w:val="0"/>
              <w:jc w:val="both"/>
              <w:rPr>
                <w:b w:val="0"/>
                <w:bCs w:val="0"/>
              </w:rPr>
            </w:pPr>
            <w:r w:rsidRPr="00A63A83">
              <w:rPr>
                <w:rFonts w:hint="cs"/>
                <w:b w:val="0"/>
                <w:bCs w:val="0"/>
                <w:rtl/>
              </w:rPr>
              <w:t>ב</w:t>
            </w:r>
            <w:r w:rsidRPr="00A63A83">
              <w:rPr>
                <w:b w:val="0"/>
                <w:bCs w:val="0"/>
                <w:rtl/>
              </w:rPr>
              <w:t>חוק עבודת הנוער</w:t>
            </w:r>
            <w:r w:rsidRPr="00A63A83">
              <w:rPr>
                <w:rFonts w:hint="cs"/>
                <w:b w:val="0"/>
                <w:bCs w:val="0"/>
                <w:rtl/>
              </w:rPr>
              <w:t xml:space="preserve">, </w:t>
            </w:r>
            <w:proofErr w:type="spellStart"/>
            <w:r w:rsidRPr="00A63A83">
              <w:rPr>
                <w:rFonts w:hint="cs"/>
                <w:b w:val="0"/>
                <w:bCs w:val="0"/>
                <w:rtl/>
              </w:rPr>
              <w:t>התשי"ג</w:t>
            </w:r>
            <w:proofErr w:type="spellEnd"/>
            <w:r w:rsidRPr="00A63A83">
              <w:rPr>
                <w:b w:val="0"/>
                <w:bCs w:val="0"/>
                <w:rtl/>
              </w:rPr>
              <w:t>–</w:t>
            </w:r>
            <w:r w:rsidRPr="00A63A83">
              <w:rPr>
                <w:rFonts w:hint="cs"/>
                <w:b w:val="0"/>
                <w:bCs w:val="0"/>
                <w:rtl/>
              </w:rPr>
              <w:t>1953</w:t>
            </w:r>
            <w:r w:rsidRPr="00A63A83">
              <w:rPr>
                <w:rStyle w:val="a5"/>
                <w:b w:val="0"/>
                <w:bCs w:val="0"/>
                <w:rtl/>
              </w:rPr>
              <w:footnoteReference w:id="2"/>
            </w:r>
            <w:r>
              <w:rPr>
                <w:rFonts w:hint="cs"/>
                <w:b w:val="0"/>
                <w:bCs w:val="0"/>
                <w:rtl/>
              </w:rPr>
              <w:t>,</w:t>
            </w:r>
            <w:r w:rsidRPr="00A63A83">
              <w:rPr>
                <w:rFonts w:hint="cs"/>
                <w:b w:val="0"/>
                <w:bCs w:val="0"/>
                <w:rtl/>
              </w:rPr>
              <w:t xml:space="preserve"> </w:t>
            </w:r>
            <w:r>
              <w:rPr>
                <w:rFonts w:hint="cs"/>
                <w:b w:val="0"/>
                <w:bCs w:val="0"/>
                <w:rtl/>
              </w:rPr>
              <w:t xml:space="preserve">בסעיף 4 </w:t>
            </w:r>
            <w:r>
              <w:rPr>
                <w:b w:val="0"/>
                <w:bCs w:val="0"/>
                <w:rtl/>
              </w:rPr>
              <w:t>–</w:t>
            </w:r>
            <w:r>
              <w:rPr>
                <w:rFonts w:hint="cs"/>
                <w:b w:val="0"/>
                <w:bCs w:val="0"/>
                <w:rtl/>
              </w:rPr>
              <w:t xml:space="preserve"> </w:t>
            </w:r>
          </w:p>
        </w:tc>
      </w:tr>
      <w:tr w:rsidR="00187DC0" w14:paraId="7DCABA91" w14:textId="77777777" w:rsidTr="007421E2">
        <w:trPr>
          <w:cantSplit/>
          <w:trHeight w:val="60"/>
        </w:trPr>
        <w:tc>
          <w:tcPr>
            <w:tcW w:w="1871" w:type="dxa"/>
          </w:tcPr>
          <w:p w14:paraId="4C167546" w14:textId="77777777" w:rsidR="00187DC0" w:rsidRDefault="00187DC0" w:rsidP="007421E2">
            <w:pPr>
              <w:pStyle w:val="TableSideHeading"/>
              <w:keepLines w:val="0"/>
              <w:rPr>
                <w:rtl/>
              </w:rPr>
            </w:pPr>
          </w:p>
        </w:tc>
        <w:tc>
          <w:tcPr>
            <w:tcW w:w="624" w:type="dxa"/>
          </w:tcPr>
          <w:p w14:paraId="149DE024" w14:textId="77777777" w:rsidR="00187DC0" w:rsidRDefault="00187DC0" w:rsidP="007421E2">
            <w:pPr>
              <w:pStyle w:val="TableText"/>
              <w:keepLines w:val="0"/>
              <w:rPr>
                <w:rtl/>
              </w:rPr>
            </w:pPr>
          </w:p>
        </w:tc>
        <w:tc>
          <w:tcPr>
            <w:tcW w:w="7146" w:type="dxa"/>
          </w:tcPr>
          <w:p w14:paraId="07AC732A" w14:textId="77777777" w:rsidR="00187DC0" w:rsidRDefault="00187DC0" w:rsidP="007421E2">
            <w:pPr>
              <w:pStyle w:val="TableBlock"/>
              <w:rPr>
                <w:rtl/>
              </w:rPr>
            </w:pPr>
            <w:r>
              <w:rPr>
                <w:rFonts w:hint="cs"/>
                <w:rtl/>
              </w:rPr>
              <w:t xml:space="preserve">(1) </w:t>
            </w:r>
            <w:r>
              <w:rPr>
                <w:rtl/>
              </w:rPr>
              <w:tab/>
            </w:r>
            <w:r>
              <w:rPr>
                <w:rFonts w:hint="cs"/>
                <w:rtl/>
              </w:rPr>
              <w:t>בסעיף קטן (א), אחרי "ילד" יבוא "או נער" ובמקום "15" יבוא "17";</w:t>
            </w:r>
          </w:p>
        </w:tc>
      </w:tr>
      <w:tr w:rsidR="00187DC0" w14:paraId="30977118" w14:textId="77777777" w:rsidTr="007421E2">
        <w:trPr>
          <w:cantSplit/>
          <w:trHeight w:val="60"/>
        </w:trPr>
        <w:tc>
          <w:tcPr>
            <w:tcW w:w="1871" w:type="dxa"/>
          </w:tcPr>
          <w:p w14:paraId="6564423C" w14:textId="77777777" w:rsidR="00187DC0" w:rsidRDefault="00187DC0" w:rsidP="007421E2">
            <w:pPr>
              <w:pStyle w:val="TableSideHeading"/>
              <w:keepLines w:val="0"/>
            </w:pPr>
          </w:p>
        </w:tc>
        <w:tc>
          <w:tcPr>
            <w:tcW w:w="624" w:type="dxa"/>
          </w:tcPr>
          <w:p w14:paraId="524DF7D9" w14:textId="77777777" w:rsidR="00187DC0" w:rsidRDefault="00187DC0" w:rsidP="007421E2">
            <w:pPr>
              <w:pStyle w:val="TableText"/>
              <w:keepLines w:val="0"/>
            </w:pPr>
          </w:p>
        </w:tc>
        <w:tc>
          <w:tcPr>
            <w:tcW w:w="7146" w:type="dxa"/>
          </w:tcPr>
          <w:p w14:paraId="142A29EF" w14:textId="1891C615" w:rsidR="00187DC0" w:rsidRPr="00C34DE2" w:rsidRDefault="00187DC0" w:rsidP="007421E2">
            <w:pPr>
              <w:pStyle w:val="TableBlock"/>
              <w:keepLines w:val="0"/>
            </w:pPr>
            <w:r>
              <w:rPr>
                <w:rFonts w:hint="cs"/>
                <w:rtl/>
              </w:rPr>
              <w:t xml:space="preserve">(2) </w:t>
            </w:r>
            <w:r>
              <w:rPr>
                <w:rtl/>
              </w:rPr>
              <w:tab/>
            </w:r>
            <w:r>
              <w:rPr>
                <w:rFonts w:hint="cs"/>
                <w:rtl/>
              </w:rPr>
              <w:t>בסעיף קטן (ב), בכל מקום</w:t>
            </w:r>
            <w:r w:rsidR="00F11BC0">
              <w:rPr>
                <w:rFonts w:hint="cs"/>
                <w:rtl/>
              </w:rPr>
              <w:t>,</w:t>
            </w:r>
            <w:r>
              <w:rPr>
                <w:rFonts w:hint="cs"/>
                <w:rtl/>
              </w:rPr>
              <w:t xml:space="preserve"> אחרי "ילד" יבוא "או נער", ובסופו יבוא "או הנער, ושהעסקתו,</w:t>
            </w:r>
            <w:r w:rsidRPr="0032143E">
              <w:rPr>
                <w:rtl/>
              </w:rPr>
              <w:t xml:space="preserve"> לרבות בשלבים הקודמים להעסקה, לרבות מבחני במה, </w:t>
            </w:r>
            <w:r>
              <w:rPr>
                <w:rFonts w:hint="cs"/>
                <w:rtl/>
              </w:rPr>
              <w:t>תיעשה רק ב</w:t>
            </w:r>
            <w:r w:rsidRPr="0032143E">
              <w:rPr>
                <w:rtl/>
              </w:rPr>
              <w:t xml:space="preserve">נוכחות הורה, לרבות אפוטרופוס או </w:t>
            </w:r>
            <w:r>
              <w:rPr>
                <w:rFonts w:hint="cs"/>
                <w:rtl/>
              </w:rPr>
              <w:t>אחראי על הקטין."</w:t>
            </w:r>
          </w:p>
        </w:tc>
      </w:tr>
    </w:tbl>
    <w:p w14:paraId="3CDA7332" w14:textId="77777777" w:rsidR="00187DC0" w:rsidRPr="00A57B25" w:rsidRDefault="00187DC0" w:rsidP="00187DC0">
      <w:pPr>
        <w:pStyle w:val="HeadDivreiHesber"/>
        <w:rPr>
          <w:rtl/>
        </w:rPr>
      </w:pPr>
      <w:r w:rsidRPr="00A57B25">
        <w:rPr>
          <w:rFonts w:hint="cs"/>
          <w:rtl/>
        </w:rPr>
        <w:t>דברי הסבר</w:t>
      </w:r>
    </w:p>
    <w:p w14:paraId="238217F6" w14:textId="77777777" w:rsidR="00187DC0" w:rsidRPr="00F11BC0" w:rsidRDefault="00187DC0" w:rsidP="00F11BC0">
      <w:pPr>
        <w:pStyle w:val="Hesber"/>
        <w:spacing w:line="240" w:lineRule="auto"/>
        <w:rPr>
          <w:rtl/>
        </w:rPr>
      </w:pPr>
      <w:r w:rsidRPr="00F11BC0">
        <w:rPr>
          <w:rFonts w:hint="cs"/>
          <w:rtl/>
        </w:rPr>
        <w:t xml:space="preserve">סעיף 4 לחוק עבודת הנוער, </w:t>
      </w:r>
      <w:proofErr w:type="spellStart"/>
      <w:r w:rsidRPr="00F11BC0">
        <w:rPr>
          <w:rFonts w:hint="cs"/>
          <w:rtl/>
        </w:rPr>
        <w:t>התשי"ג</w:t>
      </w:r>
      <w:proofErr w:type="spellEnd"/>
      <w:r w:rsidRPr="00F11BC0">
        <w:rPr>
          <w:rtl/>
        </w:rPr>
        <w:t>–</w:t>
      </w:r>
      <w:r w:rsidRPr="00F11BC0">
        <w:rPr>
          <w:rFonts w:hint="cs"/>
          <w:rtl/>
        </w:rPr>
        <w:t xml:space="preserve">1953 (להלן </w:t>
      </w:r>
      <w:r w:rsidRPr="00F11BC0">
        <w:rPr>
          <w:rtl/>
        </w:rPr>
        <w:t>–</w:t>
      </w:r>
      <w:r w:rsidRPr="00F11BC0">
        <w:rPr>
          <w:rFonts w:hint="cs"/>
          <w:rtl/>
        </w:rPr>
        <w:t xml:space="preserve"> החוק) קובע לעניין העסקת ילדים מתחת לגיל 15 בהופעות וצילומים תנאים מגבילים, לרבות דרישה לקבלת היתר העסקה מיוחד משר העבודה והרווחה (להלן </w:t>
      </w:r>
      <w:r w:rsidRPr="00F11BC0">
        <w:rPr>
          <w:rtl/>
        </w:rPr>
        <w:t>–</w:t>
      </w:r>
      <w:r w:rsidRPr="00F11BC0">
        <w:rPr>
          <w:rFonts w:hint="cs"/>
          <w:rtl/>
        </w:rPr>
        <w:t xml:space="preserve"> השר).</w:t>
      </w:r>
      <w:r w:rsidRPr="00F11BC0">
        <w:rPr>
          <w:rFonts w:hint="cs"/>
          <w:rtl/>
        </w:rPr>
        <w:tab/>
        <w:t xml:space="preserve">מכאן, שבחוק אין איסור על העסקת ילדים או נערים מעל גיל 15 </w:t>
      </w:r>
      <w:r w:rsidRPr="00F11BC0">
        <w:rPr>
          <w:rtl/>
        </w:rPr>
        <w:t>בהופעה או צילומים לצרכי פרסום</w:t>
      </w:r>
      <w:r w:rsidRPr="00F11BC0">
        <w:rPr>
          <w:rFonts w:hint="cs"/>
          <w:rtl/>
        </w:rPr>
        <w:t xml:space="preserve">, למרות גילם הצעיר, ואין חובה לקבל היתר לכך מהשר, והדבר מקשה להגן עליהם במקום העסקתם. כמו כן, החוק לא מחייב כי העסקתם של ילדים או נערים מעל גיל 15 בהופעה או בצילומים תהיה בליווי הוריהם, וכך ילד או נער מעל גיל 15 יכול על פי החוק להיות מועסק בהופעה או צילומים לצורכי פרסום ללא השגחת מי מהוריו. מצב זה חושף ילדים רבים בישראל, המבקשים לעסוק בהופעה או צילומים ולעבוד בתעשיית הבידור, לניצול ולעיתים אף לפגיעה זדונית, מילולית או פיזית, מצד מעסיקיהם המנצלים את תמימותם. כדי להתמודד עם היעדר הגנה על ילדים ונערים רבים המועסקים בתעשיית הבידור, שגילם על פי רוב הוא 16 שנים, מוצע להעלות את גיל הילדים שנדרש להעסקתם היתר, ולקבוע כי העסקת ילדים או נערים בהופעות וצילומים תהיה אפשרית רק החל מגיל 17. לפיכך, העסקת ילדים או נערים שטרם הגיעו לגיל 17 בהופעות וצילומים תהיה מותנית בקבלת היתר מהשר, וכמו כן תחייב ליווי של ההורה של הילד או הנער המועסק בהופעה או צילומים, של </w:t>
      </w:r>
      <w:proofErr w:type="spellStart"/>
      <w:r w:rsidRPr="00F11BC0">
        <w:rPr>
          <w:rFonts w:hint="cs"/>
          <w:rtl/>
        </w:rPr>
        <w:t>אפוטרופסו</w:t>
      </w:r>
      <w:proofErr w:type="spellEnd"/>
      <w:r w:rsidRPr="00F11BC0">
        <w:rPr>
          <w:rFonts w:hint="cs"/>
          <w:rtl/>
        </w:rPr>
        <w:t xml:space="preserve"> או של אחראי עליו, החל משלב מבחן הבמה </w:t>
      </w:r>
      <w:r w:rsidRPr="00F11BC0">
        <w:rPr>
          <w:rtl/>
        </w:rPr>
        <w:t>–</w:t>
      </w:r>
      <w:r w:rsidRPr="00F11BC0">
        <w:rPr>
          <w:rFonts w:hint="cs"/>
          <w:rtl/>
        </w:rPr>
        <w:t xml:space="preserve"> "האודישן", ובכל שלבי ההעסקה. </w:t>
      </w:r>
    </w:p>
    <w:p w14:paraId="50DE0731" w14:textId="77777777" w:rsidR="00187DC0" w:rsidRPr="00F11BC0" w:rsidRDefault="00187DC0" w:rsidP="00F11BC0">
      <w:pPr>
        <w:pStyle w:val="Hesber"/>
        <w:spacing w:line="240" w:lineRule="auto"/>
        <w:rPr>
          <w:rtl/>
        </w:rPr>
      </w:pPr>
      <w:r w:rsidRPr="00F11BC0">
        <w:rPr>
          <w:rFonts w:hint="cs"/>
          <w:rtl/>
        </w:rPr>
        <w:t>הצעת חוק דומה בעיקרה הונחה על שולחן הכנסת העשרים וארבע על ידי חבר הכנסת רון כץ (פ/2046/24).</w:t>
      </w:r>
    </w:p>
    <w:p w14:paraId="615AEB4C" w14:textId="77777777" w:rsidR="003732F7" w:rsidRDefault="00F11BC0" w:rsidP="00F11BC0">
      <w:pPr>
        <w:spacing w:before="0" w:line="276" w:lineRule="auto"/>
        <w:jc w:val="left"/>
      </w:pPr>
      <w:bookmarkStart w:id="6" w:name="selectedDocDateB"/>
      <w:bookmarkEnd w:id="6"/>
      <w:r>
        <w:rPr>
          <w:rFonts w:ascii="David" w:eastAsia="David" w:hAnsi="David" w:cs="David" w:hint="cs"/>
          <w:sz w:val="26"/>
          <w:szCs w:val="26"/>
          <w:rtl/>
        </w:rPr>
        <w:t>-----------------------</w:t>
      </w:r>
      <w:r>
        <w:rPr>
          <w:rFonts w:ascii="David" w:eastAsia="David" w:hAnsi="David" w:cs="David" w:hint="cs"/>
          <w:sz w:val="26"/>
          <w:szCs w:val="26"/>
          <w:rtl/>
        </w:rPr>
        <w:t>---------</w:t>
      </w:r>
    </w:p>
    <w:p w14:paraId="78019B52" w14:textId="77777777" w:rsidR="003732F7" w:rsidRDefault="00F11BC0" w:rsidP="00F11BC0">
      <w:pPr>
        <w:spacing w:before="0" w:line="276" w:lineRule="auto"/>
        <w:jc w:val="left"/>
      </w:pPr>
      <w:r>
        <w:rPr>
          <w:rFonts w:ascii="David" w:eastAsia="David" w:hAnsi="David" w:cs="David" w:hint="cs"/>
          <w:sz w:val="26"/>
          <w:szCs w:val="26"/>
          <w:rtl/>
        </w:rPr>
        <w:t>הוגשה ליו"ר הכנסת והסגנים</w:t>
      </w:r>
    </w:p>
    <w:p w14:paraId="70B09B63" w14:textId="77777777" w:rsidR="003732F7" w:rsidRDefault="00F11BC0" w:rsidP="00F11BC0">
      <w:pPr>
        <w:spacing w:before="0" w:line="276" w:lineRule="auto"/>
        <w:jc w:val="left"/>
      </w:pPr>
      <w:r>
        <w:rPr>
          <w:rFonts w:ascii="David" w:eastAsia="David" w:hAnsi="David" w:cs="David" w:hint="cs"/>
          <w:sz w:val="26"/>
          <w:szCs w:val="26"/>
          <w:rtl/>
        </w:rPr>
        <w:t>והונחה על שולחן הכנסת ביום</w:t>
      </w:r>
    </w:p>
    <w:p w14:paraId="424615E2" w14:textId="77777777" w:rsidR="003732F7" w:rsidRDefault="00F11BC0" w:rsidP="00F11BC0">
      <w:pPr>
        <w:spacing w:before="0" w:line="276" w:lineRule="auto"/>
        <w:jc w:val="left"/>
      </w:pPr>
      <w:r>
        <w:rPr>
          <w:rFonts w:ascii="David" w:eastAsia="David" w:hAnsi="David" w:cs="David" w:hint="cs"/>
          <w:sz w:val="26"/>
          <w:szCs w:val="26"/>
          <w:rtl/>
        </w:rPr>
        <w:t xml:space="preserve">כ"ח בתשרי </w:t>
      </w:r>
      <w:proofErr w:type="spellStart"/>
      <w:r>
        <w:rPr>
          <w:rFonts w:ascii="David" w:eastAsia="David" w:hAnsi="David" w:cs="David" w:hint="cs"/>
          <w:sz w:val="26"/>
          <w:szCs w:val="26"/>
          <w:rtl/>
        </w:rPr>
        <w:t>התשפ"ב</w:t>
      </w:r>
      <w:proofErr w:type="spellEnd"/>
      <w:r>
        <w:rPr>
          <w:rFonts w:ascii="David" w:eastAsia="David" w:hAnsi="David" w:cs="David" w:hint="cs"/>
          <w:sz w:val="26"/>
          <w:szCs w:val="26"/>
          <w:rtl/>
        </w:rPr>
        <w:t xml:space="preserve"> (04.10.2021) </w:t>
      </w:r>
      <w:bookmarkStart w:id="7" w:name="_GoBack"/>
      <w:bookmarkEnd w:id="7"/>
    </w:p>
    <w:sectPr w:rsidR="003732F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4A5E1BF9"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F11BC0">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63A8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0C6BFEF" w14:textId="77777777" w:rsidR="00187DC0" w:rsidRDefault="00187DC0" w:rsidP="00187DC0">
      <w:pPr>
        <w:pStyle w:val="a4"/>
      </w:pPr>
      <w:r>
        <w:rPr>
          <w:rStyle w:val="a5"/>
        </w:rPr>
        <w:footnoteRef/>
      </w:r>
      <w:r>
        <w:rPr>
          <w:rtl/>
        </w:rPr>
        <w:t xml:space="preserve"> </w:t>
      </w:r>
      <w:r>
        <w:rPr>
          <w:rFonts w:hint="cs"/>
          <w:rtl/>
        </w:rPr>
        <w:t xml:space="preserve">ס"ח </w:t>
      </w:r>
      <w:proofErr w:type="spellStart"/>
      <w:r>
        <w:rPr>
          <w:rFonts w:hint="cs"/>
          <w:rtl/>
        </w:rPr>
        <w:t>התשי"ג</w:t>
      </w:r>
      <w:proofErr w:type="spellEnd"/>
      <w:r>
        <w:rPr>
          <w:rFonts w:hint="cs"/>
          <w:rtl/>
        </w:rPr>
        <w:t>, עמ' 296.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2AA9"/>
    <w:rsid w:val="00015B27"/>
    <w:rsid w:val="00063A3E"/>
    <w:rsid w:val="00072CAC"/>
    <w:rsid w:val="0007681A"/>
    <w:rsid w:val="000A542E"/>
    <w:rsid w:val="00102B6B"/>
    <w:rsid w:val="00102DAE"/>
    <w:rsid w:val="001052D4"/>
    <w:rsid w:val="0010644B"/>
    <w:rsid w:val="001207F8"/>
    <w:rsid w:val="00121924"/>
    <w:rsid w:val="001279A8"/>
    <w:rsid w:val="0014195F"/>
    <w:rsid w:val="00152609"/>
    <w:rsid w:val="00153E1B"/>
    <w:rsid w:val="00165ECE"/>
    <w:rsid w:val="00187DC0"/>
    <w:rsid w:val="001A0623"/>
    <w:rsid w:val="001C23B0"/>
    <w:rsid w:val="001D7AAF"/>
    <w:rsid w:val="001F6EF3"/>
    <w:rsid w:val="00203A7F"/>
    <w:rsid w:val="002162CD"/>
    <w:rsid w:val="0021633A"/>
    <w:rsid w:val="00216AE8"/>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143E"/>
    <w:rsid w:val="003232A2"/>
    <w:rsid w:val="00325C14"/>
    <w:rsid w:val="0036422C"/>
    <w:rsid w:val="003710F6"/>
    <w:rsid w:val="003732F7"/>
    <w:rsid w:val="00386E88"/>
    <w:rsid w:val="00396585"/>
    <w:rsid w:val="003D6E38"/>
    <w:rsid w:val="003D74A0"/>
    <w:rsid w:val="004033D8"/>
    <w:rsid w:val="00404B91"/>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B5CEB"/>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27B66"/>
    <w:rsid w:val="00930EFE"/>
    <w:rsid w:val="00943386"/>
    <w:rsid w:val="009456B6"/>
    <w:rsid w:val="00957589"/>
    <w:rsid w:val="00966D06"/>
    <w:rsid w:val="00982412"/>
    <w:rsid w:val="00983A8D"/>
    <w:rsid w:val="009A0DB8"/>
    <w:rsid w:val="009A7257"/>
    <w:rsid w:val="009D6E0A"/>
    <w:rsid w:val="009E1E33"/>
    <w:rsid w:val="009E5E5F"/>
    <w:rsid w:val="00A14672"/>
    <w:rsid w:val="00A26BD6"/>
    <w:rsid w:val="00A443CF"/>
    <w:rsid w:val="00A63A83"/>
    <w:rsid w:val="00A6611D"/>
    <w:rsid w:val="00A82CB7"/>
    <w:rsid w:val="00A942C1"/>
    <w:rsid w:val="00AA2F03"/>
    <w:rsid w:val="00AC36F7"/>
    <w:rsid w:val="00AC63A4"/>
    <w:rsid w:val="00AD239E"/>
    <w:rsid w:val="00AF32C7"/>
    <w:rsid w:val="00B10265"/>
    <w:rsid w:val="00B16A99"/>
    <w:rsid w:val="00B21211"/>
    <w:rsid w:val="00B35784"/>
    <w:rsid w:val="00B733A7"/>
    <w:rsid w:val="00B75C91"/>
    <w:rsid w:val="00B975AD"/>
    <w:rsid w:val="00BC45FB"/>
    <w:rsid w:val="00BF148D"/>
    <w:rsid w:val="00C23B1A"/>
    <w:rsid w:val="00C310EB"/>
    <w:rsid w:val="00C7578B"/>
    <w:rsid w:val="00C82FAE"/>
    <w:rsid w:val="00C9176A"/>
    <w:rsid w:val="00CF1AA2"/>
    <w:rsid w:val="00D142D3"/>
    <w:rsid w:val="00D17774"/>
    <w:rsid w:val="00D415DE"/>
    <w:rsid w:val="00D62096"/>
    <w:rsid w:val="00D63620"/>
    <w:rsid w:val="00D8410D"/>
    <w:rsid w:val="00D867D7"/>
    <w:rsid w:val="00D94342"/>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11BC0"/>
    <w:rsid w:val="00F628D6"/>
    <w:rsid w:val="00F67051"/>
    <w:rsid w:val="00F771BF"/>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C44B3F9-0E36-4587-B942-D7613BF9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2.xml><?xml version="1.0" encoding="utf-8"?>
<ds:datastoreItem xmlns:ds="http://schemas.openxmlformats.org/officeDocument/2006/customXml" ds:itemID="{C25BB149-1A2E-46E0-9655-BE471F4FA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9E3E5C3C-F323-46B9-B687-DBDAA0A8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315</Words>
  <Characters>1802</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16</cp:revision>
  <cp:lastPrinted>2013-07-04T08:25:00Z</cp:lastPrinted>
  <dcterms:created xsi:type="dcterms:W3CDTF">2015-04-20T09:58:00Z</dcterms:created>
  <dcterms:modified xsi:type="dcterms:W3CDTF">2021-09-29T07:33:00Z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2161404</vt:r8>
  </property>
</Properties>
</file>