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2160774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ג'ידא רינאוי-זועבי</w:t>
      </w:r>
      <w:r>
        <w:br/>
      </w:r>
      <w:r>
        <w:rPr>
          <w:rFonts w:hint="cs"/>
          <w:b/>
          <w:bCs/>
          <w:rtl/>
        </w:rPr>
        <w:t xml:space="preserve"> </w:t>
      </w:r>
      <w:r>
        <w:tab/>
      </w:r>
      <w:r>
        <w:tab/>
      </w:r>
      <w:r>
        <w:tab/>
      </w:r>
      <w:r>
        <w:tab/>
      </w:r>
      <w:r>
        <w:rPr>
          <w:rFonts w:hint="cs"/>
          <w:b/>
          <w:bCs/>
          <w:rtl/>
        </w:rPr>
        <w:t>משה ארבל</w:t>
      </w:r>
      <w:r>
        <w:br/>
      </w:r>
      <w:r>
        <w:rPr>
          <w:rFonts w:hint="cs"/>
          <w:b/>
          <w:bCs/>
          <w:rtl/>
        </w:rPr>
        <w:t xml:space="preserve"> </w:t>
      </w:r>
      <w:r>
        <w:tab/>
      </w:r>
      <w:r>
        <w:tab/>
      </w:r>
      <w:r>
        <w:tab/>
      </w:r>
      <w:r>
        <w:tab/>
      </w:r>
      <w:r>
        <w:rPr>
          <w:rFonts w:hint="cs"/>
          <w:b/>
          <w:bCs/>
          <w:rtl/>
        </w:rPr>
        <w:t>זאב בנימין בגין</w:t>
      </w:r>
      <w:r>
        <w:br/>
      </w:r>
      <w:r>
        <w:rPr>
          <w:rFonts w:hint="cs"/>
          <w:b/>
          <w:bCs/>
          <w:rtl/>
        </w:rPr>
        <w:t xml:space="preserve"> </w:t>
      </w:r>
      <w:r>
        <w:tab/>
      </w:r>
      <w:r>
        <w:tab/>
      </w:r>
      <w:r>
        <w:tab/>
      </w:r>
      <w:r>
        <w:tab/>
      </w:r>
      <w:r>
        <w:rPr>
          <w:rFonts w:hint="cs"/>
          <w:b/>
          <w:bCs/>
          <w:rtl/>
        </w:rPr>
        <w:t>גלעד קריב</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4" w:name="Private_Number"/>
      <w:r>
        <w:rPr>
          <w:rFonts w:hint="cs"/>
          <w:rtl/>
        </w:rPr>
        <w:t>פ/2115/24</w:t>
      </w:r>
      <w:bookmarkEnd w:id="4"/>
    </w:p>
    <w:p w14:paraId="7F6961AC" w14:textId="77777777" w:rsidR="00E13C27" w:rsidRDefault="00E13C27" w:rsidP="00E13C27">
      <w:pPr>
        <w:spacing w:before="0" w:line="360" w:lineRule="auto"/>
        <w:ind w:left="2880" w:firstLine="720"/>
        <w:rPr>
          <w:rFonts w:cs="David"/>
          <w:sz w:val="26"/>
          <w:szCs w:val="26"/>
          <w:rtl/>
        </w:rPr>
      </w:pPr>
    </w:p>
    <w:p w14:paraId="7F6961AD" w14:textId="373D089C" w:rsidR="00E13C27" w:rsidRPr="00F67051" w:rsidRDefault="00A443CF" w:rsidP="0021633A">
      <w:pPr>
        <w:pStyle w:val="HeadHatzaotHok"/>
        <w:rPr>
          <w:rtl/>
        </w:rPr>
      </w:pPr>
      <w:bookmarkStart w:id="5" w:name="LGS_Subject"/>
      <w:r>
        <w:rPr>
          <w:rFonts w:hint="cs"/>
          <w:rtl/>
        </w:rPr>
        <w:t>הצעת חוק החברות הממשלתיות (תיקון – ייצוג הולם בתאגידים ממשל</w:t>
      </w:r>
      <w:r w:rsidR="00012239">
        <w:rPr>
          <w:rFonts w:hint="cs"/>
          <w:rtl/>
        </w:rPr>
        <w:t>תיים וגופים סטטוטוריים), התשפ"א</w:t>
      </w:r>
      <w:r w:rsidR="00012239" w:rsidRPr="00012239">
        <w:rPr>
          <w:rtl/>
        </w:rPr>
        <w:t>–</w:t>
      </w:r>
      <w:r>
        <w:rPr>
          <w:rFonts w:hint="cs"/>
          <w:rtl/>
        </w:rPr>
        <w:t>2021</w:t>
      </w:r>
      <w:bookmarkEnd w:id="5"/>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8A475A" w14:paraId="49E24A30" w14:textId="77777777" w:rsidTr="00A8361A">
        <w:trPr>
          <w:cantSplit/>
          <w:trHeight w:val="60"/>
        </w:trPr>
        <w:tc>
          <w:tcPr>
            <w:tcW w:w="1871" w:type="dxa"/>
          </w:tcPr>
          <w:p w14:paraId="32A65EF4" w14:textId="77777777" w:rsidR="008A475A" w:rsidRDefault="008A475A" w:rsidP="00A8361A">
            <w:pPr>
              <w:pStyle w:val="TableSideHeading"/>
              <w:keepLines w:val="0"/>
            </w:pPr>
            <w:r w:rsidRPr="00106D04">
              <w:rPr>
                <w:sz w:val="26"/>
                <w:rtl/>
              </w:rPr>
              <w:t xml:space="preserve">תיקון </w:t>
            </w:r>
            <w:r>
              <w:rPr>
                <w:rFonts w:hint="cs"/>
                <w:sz w:val="26"/>
                <w:rtl/>
              </w:rPr>
              <w:t>סעיף 50א</w:t>
            </w:r>
          </w:p>
        </w:tc>
        <w:tc>
          <w:tcPr>
            <w:tcW w:w="624" w:type="dxa"/>
          </w:tcPr>
          <w:p w14:paraId="33957C1A" w14:textId="77777777" w:rsidR="008A475A" w:rsidRDefault="008A475A" w:rsidP="00A8361A">
            <w:pPr>
              <w:pStyle w:val="TableText"/>
              <w:keepLines w:val="0"/>
            </w:pPr>
            <w:r w:rsidRPr="00106D04">
              <w:rPr>
                <w:sz w:val="26"/>
                <w:rtl/>
              </w:rPr>
              <w:t>1.</w:t>
            </w:r>
          </w:p>
        </w:tc>
        <w:tc>
          <w:tcPr>
            <w:tcW w:w="7146" w:type="dxa"/>
          </w:tcPr>
          <w:p w14:paraId="08C6B389" w14:textId="77777777" w:rsidR="008A475A" w:rsidRPr="00C34DE2" w:rsidRDefault="008A475A" w:rsidP="00A8361A">
            <w:pPr>
              <w:pStyle w:val="TableBlock"/>
              <w:keepLines w:val="0"/>
            </w:pPr>
            <w:r w:rsidRPr="00106D04">
              <w:rPr>
                <w:sz w:val="26"/>
                <w:rtl/>
              </w:rPr>
              <w:t xml:space="preserve">בחוק </w:t>
            </w:r>
            <w:r>
              <w:rPr>
                <w:rFonts w:hint="cs"/>
                <w:sz w:val="26"/>
                <w:rtl/>
              </w:rPr>
              <w:t>החברות הממשלתיות, התשל"ה</w:t>
            </w:r>
            <w:r>
              <w:rPr>
                <w:rFonts w:hint="eastAsia"/>
                <w:sz w:val="26"/>
                <w:rtl/>
              </w:rPr>
              <w:t>–</w:t>
            </w:r>
            <w:r>
              <w:rPr>
                <w:rFonts w:hint="cs"/>
                <w:sz w:val="26"/>
                <w:rtl/>
              </w:rPr>
              <w:t>1975</w:t>
            </w:r>
            <w:r w:rsidRPr="00106D04">
              <w:rPr>
                <w:sz w:val="26"/>
                <w:vertAlign w:val="superscript"/>
                <w:rtl/>
              </w:rPr>
              <w:footnoteReference w:id="2"/>
            </w:r>
            <w:r>
              <w:rPr>
                <w:rFonts w:hint="cs"/>
                <w:sz w:val="26"/>
                <w:rtl/>
              </w:rPr>
              <w:t xml:space="preserve"> (להלן </w:t>
            </w:r>
            <w:r>
              <w:rPr>
                <w:sz w:val="26"/>
                <w:rtl/>
              </w:rPr>
              <w:t>–</w:t>
            </w:r>
            <w:r>
              <w:rPr>
                <w:rFonts w:hint="cs"/>
                <w:sz w:val="26"/>
                <w:rtl/>
              </w:rPr>
              <w:t xml:space="preserve"> החוק העיקרי)</w:t>
            </w:r>
            <w:r>
              <w:rPr>
                <w:sz w:val="26"/>
                <w:rtl/>
              </w:rPr>
              <w:t xml:space="preserve">, בסעיף </w:t>
            </w:r>
            <w:r>
              <w:rPr>
                <w:rFonts w:hint="cs"/>
                <w:sz w:val="26"/>
                <w:rtl/>
              </w:rPr>
              <w:t>50א(א), במקום</w:t>
            </w:r>
            <w:r w:rsidRPr="00106D04">
              <w:rPr>
                <w:sz w:val="26"/>
                <w:rtl/>
              </w:rPr>
              <w:t xml:space="preserve"> "</w:t>
            </w:r>
            <w:r>
              <w:rPr>
                <w:rFonts w:hint="cs"/>
                <w:sz w:val="26"/>
                <w:rtl/>
              </w:rPr>
              <w:t>לייצוגם</w:t>
            </w:r>
            <w:r w:rsidRPr="002433AF">
              <w:rPr>
                <w:rFonts w:ascii="Times New Roman" w:eastAsia="Times New Roman" w:hAnsi="Times New Roman" w:cs="FrankRuehl"/>
                <w:snapToGrid/>
                <w:rtl/>
                <w:lang w:eastAsia="he-IL"/>
              </w:rPr>
              <w:t xml:space="preserve"> </w:t>
            </w:r>
            <w:r w:rsidRPr="00E337E4">
              <w:rPr>
                <w:rFonts w:hint="cs"/>
                <w:sz w:val="26"/>
                <w:rtl/>
              </w:rPr>
              <w:t>של מי שהוא או שאחד מהוריו נולדו באתיופיה או שהוא בן העדה הדרוזית</w:t>
            </w:r>
            <w:r w:rsidRPr="00106D04">
              <w:rPr>
                <w:sz w:val="26"/>
                <w:rtl/>
              </w:rPr>
              <w:t xml:space="preserve">" יבוא </w:t>
            </w:r>
            <w:r w:rsidRPr="002433AF">
              <w:rPr>
                <w:rFonts w:ascii="Times New Roman" w:eastAsia="Times New Roman" w:hAnsi="Times New Roman"/>
                <w:snapToGrid/>
                <w:sz w:val="26"/>
                <w:rtl/>
                <w:lang w:eastAsia="he-IL"/>
              </w:rPr>
              <w:t>"</w:t>
            </w:r>
            <w:r>
              <w:rPr>
                <w:rFonts w:ascii="Times New Roman" w:eastAsia="Times New Roman" w:hAnsi="Times New Roman" w:hint="cs"/>
                <w:snapToGrid/>
                <w:sz w:val="26"/>
                <w:rtl/>
                <w:lang w:eastAsia="he-IL"/>
              </w:rPr>
              <w:t>לייצוגם של</w:t>
            </w:r>
            <w:r w:rsidRPr="002433AF">
              <w:rPr>
                <w:rFonts w:ascii="Times New Roman" w:eastAsia="Times New Roman" w:hAnsi="Times New Roman"/>
                <w:snapToGrid/>
                <w:sz w:val="26"/>
                <w:rtl/>
                <w:lang w:eastAsia="he-IL"/>
              </w:rPr>
              <w:t xml:space="preserve"> בנ</w:t>
            </w:r>
            <w:r w:rsidRPr="008471A7">
              <w:rPr>
                <w:rFonts w:hint="cs"/>
                <w:sz w:val="26"/>
                <w:rtl/>
              </w:rPr>
              <w:t>י</w:t>
            </w:r>
            <w:r w:rsidRPr="00E337E4">
              <w:rPr>
                <w:rFonts w:hint="cs"/>
                <w:sz w:val="26"/>
                <w:rtl/>
              </w:rPr>
              <w:t xml:space="preserve"> שני המינים, של אנשים עם מוגבלות, של בני האוכלוס</w:t>
            </w:r>
            <w:r>
              <w:rPr>
                <w:rFonts w:hint="cs"/>
                <w:sz w:val="26"/>
                <w:rtl/>
              </w:rPr>
              <w:t>י</w:t>
            </w:r>
            <w:r w:rsidRPr="00E337E4">
              <w:rPr>
                <w:rFonts w:hint="cs"/>
                <w:sz w:val="26"/>
                <w:rtl/>
              </w:rPr>
              <w:t>יה ה</w:t>
            </w:r>
            <w:r>
              <w:rPr>
                <w:rFonts w:hint="cs"/>
                <w:sz w:val="26"/>
                <w:rtl/>
              </w:rPr>
              <w:t xml:space="preserve">ערבית, לרבות הדרוזית והצ'רקסית, </w:t>
            </w:r>
            <w:r w:rsidRPr="00E337E4">
              <w:rPr>
                <w:rFonts w:hint="cs"/>
                <w:sz w:val="26"/>
                <w:rtl/>
              </w:rPr>
              <w:t>של מי שהוא או שאחד מהוריו נולדו באתיופיה, של בני הא</w:t>
            </w:r>
            <w:r>
              <w:rPr>
                <w:rFonts w:hint="cs"/>
                <w:sz w:val="26"/>
                <w:rtl/>
              </w:rPr>
              <w:t>וכלוסייה החרדית ושל עולים חדשים"</w:t>
            </w:r>
            <w:r>
              <w:rPr>
                <w:rFonts w:hint="cs"/>
                <w:rtl/>
              </w:rPr>
              <w:t>.</w:t>
            </w:r>
          </w:p>
        </w:tc>
      </w:tr>
      <w:tr w:rsidR="008A475A" w14:paraId="08ACEA40" w14:textId="77777777" w:rsidTr="00A8361A">
        <w:trPr>
          <w:cantSplit/>
          <w:trHeight w:val="60"/>
        </w:trPr>
        <w:tc>
          <w:tcPr>
            <w:tcW w:w="1871" w:type="dxa"/>
          </w:tcPr>
          <w:p w14:paraId="0944EEDB" w14:textId="77777777" w:rsidR="008A475A" w:rsidRDefault="008A475A" w:rsidP="00A8361A">
            <w:pPr>
              <w:pStyle w:val="TableSideHeading"/>
              <w:keepLines w:val="0"/>
              <w:rPr>
                <w:sz w:val="26"/>
                <w:rtl/>
              </w:rPr>
            </w:pPr>
            <w:r>
              <w:rPr>
                <w:rFonts w:hint="cs"/>
                <w:sz w:val="26"/>
                <w:rtl/>
              </w:rPr>
              <w:t>תיקון סעיף 50ב</w:t>
            </w:r>
          </w:p>
        </w:tc>
        <w:tc>
          <w:tcPr>
            <w:tcW w:w="624" w:type="dxa"/>
          </w:tcPr>
          <w:p w14:paraId="348BEBC0" w14:textId="77777777" w:rsidR="008A475A" w:rsidRPr="00106D04" w:rsidRDefault="008A475A" w:rsidP="00A8361A">
            <w:pPr>
              <w:pStyle w:val="TableText"/>
              <w:keepLines w:val="0"/>
              <w:rPr>
                <w:sz w:val="26"/>
                <w:rtl/>
              </w:rPr>
            </w:pPr>
            <w:r>
              <w:rPr>
                <w:rFonts w:hint="cs"/>
                <w:sz w:val="26"/>
                <w:rtl/>
              </w:rPr>
              <w:t>2.</w:t>
            </w:r>
          </w:p>
        </w:tc>
        <w:tc>
          <w:tcPr>
            <w:tcW w:w="7146" w:type="dxa"/>
          </w:tcPr>
          <w:p w14:paraId="76DFF452" w14:textId="7182F1CD" w:rsidR="008A475A" w:rsidRDefault="008D498F" w:rsidP="008D498F">
            <w:pPr>
              <w:pStyle w:val="TableBlock"/>
              <w:keepLines w:val="0"/>
              <w:rPr>
                <w:sz w:val="26"/>
                <w:rtl/>
              </w:rPr>
            </w:pPr>
            <w:r>
              <w:rPr>
                <w:rFonts w:hint="cs"/>
                <w:sz w:val="26"/>
                <w:rtl/>
              </w:rPr>
              <w:t>בסעיף 50ב(ב) לחוק העיקרי –</w:t>
            </w:r>
            <w:r w:rsidR="008A475A">
              <w:rPr>
                <w:rFonts w:hint="cs"/>
                <w:sz w:val="26"/>
                <w:rtl/>
              </w:rPr>
              <w:t xml:space="preserve"> </w:t>
            </w:r>
          </w:p>
        </w:tc>
      </w:tr>
      <w:tr w:rsidR="008D498F" w14:paraId="20A84542" w14:textId="77777777" w:rsidTr="00A8361A">
        <w:trPr>
          <w:cantSplit/>
          <w:trHeight w:val="60"/>
        </w:trPr>
        <w:tc>
          <w:tcPr>
            <w:tcW w:w="1871" w:type="dxa"/>
          </w:tcPr>
          <w:p w14:paraId="5806C477" w14:textId="77777777" w:rsidR="008D498F" w:rsidRDefault="008D498F" w:rsidP="00A8361A">
            <w:pPr>
              <w:pStyle w:val="TableSideHeading"/>
              <w:keepLines w:val="0"/>
              <w:rPr>
                <w:sz w:val="26"/>
                <w:rtl/>
              </w:rPr>
            </w:pPr>
          </w:p>
        </w:tc>
        <w:tc>
          <w:tcPr>
            <w:tcW w:w="624" w:type="dxa"/>
          </w:tcPr>
          <w:p w14:paraId="16ABDF7A" w14:textId="77777777" w:rsidR="008D498F" w:rsidRDefault="008D498F" w:rsidP="00A8361A">
            <w:pPr>
              <w:pStyle w:val="TableText"/>
              <w:keepLines w:val="0"/>
              <w:rPr>
                <w:sz w:val="26"/>
                <w:rtl/>
              </w:rPr>
            </w:pPr>
          </w:p>
        </w:tc>
        <w:tc>
          <w:tcPr>
            <w:tcW w:w="7146" w:type="dxa"/>
          </w:tcPr>
          <w:p w14:paraId="5AA9016B" w14:textId="4F6BC501" w:rsidR="008D498F" w:rsidRDefault="008D498F" w:rsidP="008D498F">
            <w:pPr>
              <w:pStyle w:val="TableBlock"/>
              <w:keepLines w:val="0"/>
              <w:rPr>
                <w:sz w:val="26"/>
                <w:rtl/>
              </w:rPr>
            </w:pPr>
            <w:r>
              <w:rPr>
                <w:rFonts w:hint="cs"/>
                <w:sz w:val="26"/>
                <w:rtl/>
              </w:rPr>
              <w:t>(1)</w:t>
            </w:r>
            <w:r>
              <w:rPr>
                <w:sz w:val="26"/>
                <w:rtl/>
              </w:rPr>
              <w:tab/>
            </w:r>
            <w:r>
              <w:rPr>
                <w:rFonts w:hint="cs"/>
                <w:sz w:val="26"/>
                <w:rtl/>
              </w:rPr>
              <w:t>במקום "ולוועדה הנוגעת בדבר" יבוא "ולוועדת החוקה, חוק ומשפט של הכנסת";</w:t>
            </w:r>
          </w:p>
        </w:tc>
      </w:tr>
      <w:tr w:rsidR="008D498F" w14:paraId="76340439" w14:textId="77777777" w:rsidTr="00A8361A">
        <w:trPr>
          <w:cantSplit/>
          <w:trHeight w:val="60"/>
        </w:trPr>
        <w:tc>
          <w:tcPr>
            <w:tcW w:w="1871" w:type="dxa"/>
          </w:tcPr>
          <w:p w14:paraId="1C85E3DE" w14:textId="77777777" w:rsidR="008D498F" w:rsidRDefault="008D498F" w:rsidP="00A8361A">
            <w:pPr>
              <w:pStyle w:val="TableSideHeading"/>
              <w:keepLines w:val="0"/>
              <w:rPr>
                <w:sz w:val="26"/>
                <w:rtl/>
              </w:rPr>
            </w:pPr>
          </w:p>
        </w:tc>
        <w:tc>
          <w:tcPr>
            <w:tcW w:w="624" w:type="dxa"/>
          </w:tcPr>
          <w:p w14:paraId="57837D5C" w14:textId="77777777" w:rsidR="008D498F" w:rsidRDefault="008D498F" w:rsidP="00A8361A">
            <w:pPr>
              <w:pStyle w:val="TableText"/>
              <w:keepLines w:val="0"/>
              <w:rPr>
                <w:sz w:val="26"/>
                <w:rtl/>
              </w:rPr>
            </w:pPr>
          </w:p>
        </w:tc>
        <w:tc>
          <w:tcPr>
            <w:tcW w:w="7146" w:type="dxa"/>
          </w:tcPr>
          <w:p w14:paraId="6A6D17B9" w14:textId="34F8149C" w:rsidR="008D498F" w:rsidRDefault="008D498F" w:rsidP="008D498F">
            <w:pPr>
              <w:pStyle w:val="TableBlock"/>
              <w:keepLines w:val="0"/>
              <w:rPr>
                <w:sz w:val="26"/>
                <w:rtl/>
              </w:rPr>
            </w:pPr>
            <w:r>
              <w:rPr>
                <w:rFonts w:hint="cs"/>
                <w:sz w:val="26"/>
                <w:rtl/>
              </w:rPr>
              <w:t>(2)</w:t>
            </w:r>
            <w:r>
              <w:rPr>
                <w:sz w:val="26"/>
                <w:rtl/>
              </w:rPr>
              <w:tab/>
            </w:r>
            <w:r>
              <w:rPr>
                <w:rFonts w:hint="cs"/>
                <w:sz w:val="26"/>
                <w:rtl/>
              </w:rPr>
              <w:t xml:space="preserve">המילים "כמפורט להלן" </w:t>
            </w:r>
            <w:r>
              <w:rPr>
                <w:sz w:val="26"/>
                <w:rtl/>
              </w:rPr>
              <w:t>–</w:t>
            </w:r>
            <w:r>
              <w:rPr>
                <w:rFonts w:hint="cs"/>
                <w:sz w:val="26"/>
                <w:rtl/>
              </w:rPr>
              <w:t xml:space="preserve"> יימחקו;</w:t>
            </w:r>
          </w:p>
        </w:tc>
      </w:tr>
      <w:tr w:rsidR="008D498F" w14:paraId="0AAAFE09" w14:textId="77777777" w:rsidTr="00A8361A">
        <w:trPr>
          <w:cantSplit/>
          <w:trHeight w:val="60"/>
        </w:trPr>
        <w:tc>
          <w:tcPr>
            <w:tcW w:w="1871" w:type="dxa"/>
          </w:tcPr>
          <w:p w14:paraId="6A0C6E0E" w14:textId="77777777" w:rsidR="008D498F" w:rsidRDefault="008D498F" w:rsidP="00A8361A">
            <w:pPr>
              <w:pStyle w:val="TableSideHeading"/>
              <w:keepLines w:val="0"/>
              <w:rPr>
                <w:sz w:val="26"/>
                <w:rtl/>
              </w:rPr>
            </w:pPr>
          </w:p>
        </w:tc>
        <w:tc>
          <w:tcPr>
            <w:tcW w:w="624" w:type="dxa"/>
          </w:tcPr>
          <w:p w14:paraId="79E709D1" w14:textId="77777777" w:rsidR="008D498F" w:rsidRDefault="008D498F" w:rsidP="00A8361A">
            <w:pPr>
              <w:pStyle w:val="TableText"/>
              <w:keepLines w:val="0"/>
              <w:rPr>
                <w:sz w:val="26"/>
                <w:rtl/>
              </w:rPr>
            </w:pPr>
          </w:p>
        </w:tc>
        <w:tc>
          <w:tcPr>
            <w:tcW w:w="7146" w:type="dxa"/>
          </w:tcPr>
          <w:p w14:paraId="2F7084FF" w14:textId="42F6D1B8" w:rsidR="008D498F" w:rsidRDefault="008D498F" w:rsidP="008D498F">
            <w:pPr>
              <w:pStyle w:val="TableBlock"/>
              <w:keepLines w:val="0"/>
              <w:rPr>
                <w:sz w:val="26"/>
                <w:rtl/>
              </w:rPr>
            </w:pPr>
            <w:r>
              <w:rPr>
                <w:rFonts w:hint="cs"/>
                <w:sz w:val="26"/>
                <w:rtl/>
              </w:rPr>
              <w:t>(3)</w:t>
            </w:r>
            <w:r>
              <w:rPr>
                <w:sz w:val="26"/>
                <w:rtl/>
              </w:rPr>
              <w:tab/>
            </w:r>
            <w:r>
              <w:rPr>
                <w:rFonts w:hint="cs"/>
                <w:sz w:val="26"/>
                <w:rtl/>
              </w:rPr>
              <w:t xml:space="preserve">פסקאות (1) ו-(2) – יימחקו. </w:t>
            </w:r>
          </w:p>
        </w:tc>
      </w:tr>
    </w:tbl>
    <w:p w14:paraId="7F6961CA" w14:textId="77777777" w:rsidR="002D1EE3" w:rsidRDefault="002D1EE3" w:rsidP="002D1EE3">
      <w:pPr>
        <w:pStyle w:val="HeadDivreiHesber"/>
        <w:rPr>
          <w:rtl/>
        </w:rPr>
      </w:pPr>
      <w:r w:rsidRPr="0027450A">
        <w:rPr>
          <w:rFonts w:hint="cs"/>
          <w:rtl/>
        </w:rPr>
        <w:t>דברי הסבר</w:t>
      </w:r>
    </w:p>
    <w:p w14:paraId="3E1A1C58" w14:textId="77777777" w:rsidR="008A475A" w:rsidRDefault="008A475A" w:rsidP="008A475A">
      <w:pPr>
        <w:pStyle w:val="Hesber"/>
        <w:rPr>
          <w:rtl/>
        </w:rPr>
      </w:pPr>
      <w:r w:rsidRPr="007133AB">
        <w:rPr>
          <w:rtl/>
        </w:rPr>
        <w:t xml:space="preserve">חקיקת הייצוג ההולם שעברה בכנסת בשנים האחרונות נועדה ליצור העדפה </w:t>
      </w:r>
      <w:r>
        <w:rPr>
          <w:rtl/>
        </w:rPr>
        <w:t>מתקנת של מגזרים שונים באוכלוס</w:t>
      </w:r>
      <w:r>
        <w:rPr>
          <w:rFonts w:hint="cs"/>
          <w:rtl/>
        </w:rPr>
        <w:t>יי</w:t>
      </w:r>
      <w:r>
        <w:rPr>
          <w:rtl/>
        </w:rPr>
        <w:t>ה ש</w:t>
      </w:r>
      <w:r w:rsidRPr="007133AB">
        <w:rPr>
          <w:rtl/>
        </w:rPr>
        <w:t xml:space="preserve">ייצוגם בשירות הציבורי </w:t>
      </w:r>
      <w:r>
        <w:rPr>
          <w:rFonts w:hint="cs"/>
          <w:rtl/>
        </w:rPr>
        <w:t>נמוך</w:t>
      </w:r>
      <w:r>
        <w:rPr>
          <w:rtl/>
        </w:rPr>
        <w:t xml:space="preserve"> </w:t>
      </w:r>
      <w:r>
        <w:rPr>
          <w:rFonts w:hint="cs"/>
          <w:rtl/>
        </w:rPr>
        <w:t xml:space="preserve">לעומת </w:t>
      </w:r>
      <w:r w:rsidRPr="007133AB">
        <w:rPr>
          <w:rtl/>
        </w:rPr>
        <w:t>חלקם היחסי באוכלוסייה (דוגמת נשים, ערבים, דרוזים, צ'רקסים, עולים</w:t>
      </w:r>
      <w:r>
        <w:rPr>
          <w:rFonts w:hint="cs"/>
          <w:rtl/>
        </w:rPr>
        <w:t xml:space="preserve"> חדשים</w:t>
      </w:r>
      <w:r>
        <w:rPr>
          <w:rtl/>
        </w:rPr>
        <w:t>, בעלי מוגבלו</w:t>
      </w:r>
      <w:r w:rsidRPr="007133AB">
        <w:rPr>
          <w:rtl/>
        </w:rPr>
        <w:t>ת</w:t>
      </w:r>
      <w:r>
        <w:rPr>
          <w:rFonts w:hint="cs"/>
          <w:rtl/>
        </w:rPr>
        <w:t xml:space="preserve"> ויהודים בני המגזר החרדי</w:t>
      </w:r>
      <w:r w:rsidRPr="007133AB">
        <w:rPr>
          <w:rtl/>
        </w:rPr>
        <w:t>).</w:t>
      </w:r>
      <w:r>
        <w:rPr>
          <w:rFonts w:hint="cs"/>
          <w:rtl/>
        </w:rPr>
        <w:t xml:space="preserve"> </w:t>
      </w:r>
    </w:p>
    <w:p w14:paraId="0ABE209B" w14:textId="77777777" w:rsidR="008A475A" w:rsidRDefault="008A475A" w:rsidP="008A475A">
      <w:pPr>
        <w:pStyle w:val="Hesber"/>
        <w:rPr>
          <w:rtl/>
        </w:rPr>
      </w:pPr>
      <w:r>
        <w:rPr>
          <w:rFonts w:hint="cs"/>
          <w:rtl/>
        </w:rPr>
        <w:t xml:space="preserve">ואולם, החקיקה לא מתייחסת לחברות ממשלתיות ולגופים סטטוטוריים הפועלים מתוקף חוק, המהווים חלק נכבד מהמגזר הציבורי. גופים אלה מתאפיינים פעמים רבות ברמות שכר גבוהות, אך אינם כפופים לחובות ייצוג הולם, ובפועל, אין בהם שוויון בשכר בין נשים וגברים או בין עובדים מקבוצות אוכלוסייה שונות, למעט חובת ביטוי הולם ביחס ליוצאי אתיופיה ובני העדה הדרוזית בקרב עובדי </w:t>
      </w:r>
      <w:r>
        <w:rPr>
          <w:rFonts w:hint="cs"/>
          <w:rtl/>
        </w:rPr>
        <w:lastRenderedPageBreak/>
        <w:t>חברות ממשלתיות.</w:t>
      </w:r>
    </w:p>
    <w:p w14:paraId="3AF59C79" w14:textId="77777777" w:rsidR="008A475A" w:rsidRDefault="008A475A" w:rsidP="008A475A">
      <w:pPr>
        <w:pStyle w:val="Hesber"/>
        <w:rPr>
          <w:rtl/>
        </w:rPr>
      </w:pPr>
      <w:r>
        <w:rPr>
          <w:rFonts w:hint="cs"/>
          <w:rtl/>
        </w:rPr>
        <w:t xml:space="preserve">דוח מבקר המדינה </w:t>
      </w:r>
      <w:r w:rsidRPr="00A67C61">
        <w:rPr>
          <w:rFonts w:hint="cs"/>
          <w:rtl/>
        </w:rPr>
        <w:t xml:space="preserve">בנושא </w:t>
      </w:r>
      <w:r>
        <w:rPr>
          <w:rFonts w:hint="cs"/>
          <w:rtl/>
        </w:rPr>
        <w:t>"</w:t>
      </w:r>
      <w:r w:rsidRPr="00A67C61">
        <w:rPr>
          <w:rtl/>
        </w:rPr>
        <w:t>פעולות המדינה לעידוד שילובה של האוכלוסייה הערבית בתעסוקה</w:t>
      </w:r>
      <w:r>
        <w:rPr>
          <w:rFonts w:hint="cs"/>
          <w:rtl/>
        </w:rPr>
        <w:t>"</w:t>
      </w:r>
      <w:r w:rsidRPr="00A67C61">
        <w:rPr>
          <w:rFonts w:hint="cs"/>
          <w:rtl/>
        </w:rPr>
        <w:t xml:space="preserve"> משנת</w:t>
      </w:r>
      <w:r>
        <w:rPr>
          <w:rFonts w:hint="cs"/>
          <w:rtl/>
        </w:rPr>
        <w:t xml:space="preserve"> 2016,</w:t>
      </w:r>
      <w:r w:rsidRPr="00A67C61">
        <w:rPr>
          <w:rFonts w:hint="cs"/>
          <w:rtl/>
        </w:rPr>
        <w:t xml:space="preserve"> </w:t>
      </w:r>
      <w:r>
        <w:rPr>
          <w:rFonts w:hint="cs"/>
          <w:rtl/>
        </w:rPr>
        <w:t xml:space="preserve">קבע כי </w:t>
      </w:r>
      <w:r w:rsidRPr="00A67C61">
        <w:rPr>
          <w:rFonts w:hint="cs"/>
          <w:rtl/>
        </w:rPr>
        <w:t>בעוד שיעור התעסוקה באוכלוס</w:t>
      </w:r>
      <w:r>
        <w:rPr>
          <w:rFonts w:hint="cs"/>
          <w:rtl/>
        </w:rPr>
        <w:t>י</w:t>
      </w:r>
      <w:r w:rsidRPr="00A67C61">
        <w:rPr>
          <w:rFonts w:hint="cs"/>
          <w:rtl/>
        </w:rPr>
        <w:t>יה היהודית עומד על כמעט 80%, באוכלוסי</w:t>
      </w:r>
      <w:r>
        <w:rPr>
          <w:rFonts w:hint="cs"/>
          <w:rtl/>
        </w:rPr>
        <w:t>י</w:t>
      </w:r>
      <w:r w:rsidRPr="00A67C61">
        <w:rPr>
          <w:rFonts w:hint="cs"/>
          <w:rtl/>
        </w:rPr>
        <w:t>ה הערבית הוא</w:t>
      </w:r>
      <w:r>
        <w:rPr>
          <w:rFonts w:hint="cs"/>
          <w:rtl/>
        </w:rPr>
        <w:t xml:space="preserve"> עומד על</w:t>
      </w:r>
      <w:r w:rsidRPr="00A67C61">
        <w:rPr>
          <w:rFonts w:hint="cs"/>
          <w:rtl/>
        </w:rPr>
        <w:t xml:space="preserve"> 50.5% בלבד</w:t>
      </w:r>
      <w:r>
        <w:rPr>
          <w:rFonts w:hint="cs"/>
          <w:rtl/>
        </w:rPr>
        <w:t xml:space="preserve">. </w:t>
      </w:r>
      <w:r w:rsidRPr="00A67C61">
        <w:rPr>
          <w:rFonts w:hint="cs"/>
          <w:rtl/>
        </w:rPr>
        <w:t>לפי הדוח, בחברות הממשלתיות הגדולות אחו</w:t>
      </w:r>
      <w:r>
        <w:rPr>
          <w:rFonts w:hint="cs"/>
          <w:rtl/>
        </w:rPr>
        <w:t>ז ההעסקה של ערבים הוא נמוך מאוד עד לא קיים כלל.</w:t>
      </w:r>
      <w:r w:rsidRPr="00A67C61">
        <w:rPr>
          <w:rFonts w:hint="cs"/>
          <w:rtl/>
        </w:rPr>
        <w:t xml:space="preserve"> כך למשל בחברת נמל אשדוד </w:t>
      </w:r>
      <w:r>
        <w:rPr>
          <w:rFonts w:hint="cs"/>
          <w:rtl/>
        </w:rPr>
        <w:t>אחוז ההעסקה כאמור הוא</w:t>
      </w:r>
      <w:r w:rsidRPr="00A67C61">
        <w:rPr>
          <w:rFonts w:hint="cs"/>
          <w:rtl/>
        </w:rPr>
        <w:t xml:space="preserve"> 0.2% </w:t>
      </w:r>
      <w:r>
        <w:rPr>
          <w:rFonts w:hint="cs"/>
          <w:rtl/>
        </w:rPr>
        <w:t xml:space="preserve">עובדים ערבים. </w:t>
      </w:r>
      <w:r w:rsidRPr="00A67C61">
        <w:rPr>
          <w:rFonts w:hint="cs"/>
          <w:rtl/>
        </w:rPr>
        <w:t>כך גם בתאגידים הממשלתיים</w:t>
      </w:r>
      <w:r>
        <w:rPr>
          <w:rFonts w:hint="cs"/>
          <w:rtl/>
        </w:rPr>
        <w:t>,</w:t>
      </w:r>
      <w:r w:rsidRPr="00A67C61">
        <w:rPr>
          <w:rFonts w:hint="cs"/>
          <w:rtl/>
        </w:rPr>
        <w:t xml:space="preserve"> כשברשות לניירות ערך יש</w:t>
      </w:r>
      <w:r>
        <w:rPr>
          <w:rFonts w:hint="cs"/>
          <w:rtl/>
        </w:rPr>
        <w:t>נם</w:t>
      </w:r>
      <w:r w:rsidRPr="00A67C61">
        <w:rPr>
          <w:rFonts w:hint="cs"/>
          <w:rtl/>
        </w:rPr>
        <w:t xml:space="preserve"> 1.5% עובדים ערבים</w:t>
      </w:r>
      <w:r>
        <w:rPr>
          <w:rFonts w:hint="cs"/>
          <w:rtl/>
        </w:rPr>
        <w:t xml:space="preserve">, </w:t>
      </w:r>
      <w:r w:rsidRPr="00A67C61">
        <w:rPr>
          <w:rFonts w:hint="cs"/>
          <w:rtl/>
        </w:rPr>
        <w:t>ברשות שדות התעופה 1.1%</w:t>
      </w:r>
      <w:r>
        <w:rPr>
          <w:rFonts w:hint="cs"/>
          <w:rtl/>
        </w:rPr>
        <w:t xml:space="preserve"> עובדים ערבים</w:t>
      </w:r>
      <w:r w:rsidRPr="00A67C61">
        <w:rPr>
          <w:rFonts w:hint="cs"/>
          <w:rtl/>
        </w:rPr>
        <w:t xml:space="preserve"> ובבנק ישראל 1%</w:t>
      </w:r>
      <w:r>
        <w:rPr>
          <w:rFonts w:hint="cs"/>
          <w:rtl/>
        </w:rPr>
        <w:t xml:space="preserve"> בלבד עובדים ערבים</w:t>
      </w:r>
      <w:r w:rsidRPr="00A67C61">
        <w:rPr>
          <w:rFonts w:hint="cs"/>
          <w:rtl/>
        </w:rPr>
        <w:t>.</w:t>
      </w:r>
    </w:p>
    <w:p w14:paraId="7B809057" w14:textId="77777777" w:rsidR="008A475A" w:rsidRDefault="008A475A" w:rsidP="008A475A">
      <w:pPr>
        <w:pStyle w:val="Hesber1st"/>
        <w:tabs>
          <w:tab w:val="clear" w:pos="680"/>
        </w:tabs>
        <w:rPr>
          <w:rtl/>
        </w:rPr>
      </w:pPr>
      <w:r>
        <w:rPr>
          <w:rFonts w:hint="cs"/>
          <w:rtl/>
        </w:rPr>
        <w:t>לפיכך, מוצע לעגן את חובת הייצוג ההולם ביחס לכל קבוצות האוכלוסייה הנהנות מייצוג הולם לפי חוק שירות המדינה (מינויים), התשי"ט</w:t>
      </w:r>
      <w:r>
        <w:rPr>
          <w:rFonts w:hint="eastAsia"/>
          <w:rtl/>
        </w:rPr>
        <w:t>–</w:t>
      </w:r>
      <w:r>
        <w:rPr>
          <w:rFonts w:hint="cs"/>
          <w:rtl/>
        </w:rPr>
        <w:t xml:space="preserve">1959, גם בחוק החברות </w:t>
      </w:r>
      <w:r>
        <w:rPr>
          <w:rFonts w:hint="cs"/>
          <w:sz w:val="26"/>
          <w:rtl/>
        </w:rPr>
        <w:t>הממשלתיות, התשל"ה</w:t>
      </w:r>
      <w:r>
        <w:rPr>
          <w:rFonts w:hint="eastAsia"/>
          <w:sz w:val="26"/>
          <w:rtl/>
        </w:rPr>
        <w:t>–</w:t>
      </w:r>
      <w:r>
        <w:rPr>
          <w:rFonts w:hint="cs"/>
          <w:sz w:val="26"/>
          <w:rtl/>
        </w:rPr>
        <w:t>1975</w:t>
      </w:r>
      <w:r>
        <w:rPr>
          <w:rFonts w:hint="cs"/>
          <w:rtl/>
        </w:rPr>
        <w:t>.</w:t>
      </w:r>
    </w:p>
    <w:p w14:paraId="7F6961CB" w14:textId="2C2F59EE" w:rsidR="00E13C27" w:rsidRDefault="008A475A" w:rsidP="005203D2">
      <w:pPr>
        <w:pStyle w:val="Hesber"/>
        <w:rPr>
          <w:rtl/>
        </w:rPr>
      </w:pPr>
      <w:r w:rsidRPr="005203D2">
        <w:rPr>
          <w:rFonts w:hint="cs"/>
          <w:rtl/>
        </w:rPr>
        <w:t>הצעת חוק זהה הונחה על שולחן הכנסת העשרים על ידי חבר הכנסת יאיר לפיד וקבוצת חברי הכנסת (פ/4840/20).</w:t>
      </w:r>
    </w:p>
    <w:p w14:paraId="2CEE4D33" w14:textId="77777777" w:rsidR="00E55D29" w:rsidRPr="005203D2" w:rsidRDefault="00E55D29" w:rsidP="005203D2">
      <w:pPr>
        <w:pStyle w:val="Hesber"/>
        <w:rPr>
          <w:rtl/>
        </w:rPr>
      </w:pPr>
      <w:bookmarkStart w:id="6" w:name="_GoBack"/>
      <w:bookmarkEnd w:id="6"/>
    </w:p>
    <w:p w14:paraId="1B2BB2D9" w14:textId="77777777" w:rsidR="00AE1D60" w:rsidRDefault="00E55D29">
      <w:pPr>
        <w:spacing w:before="0" w:line="360" w:lineRule="auto"/>
        <w:jc w:val="left"/>
      </w:pPr>
      <w:bookmarkStart w:id="7" w:name="selectedDocDateB"/>
      <w:bookmarkEnd w:id="7"/>
      <w:r>
        <w:rPr>
          <w:rFonts w:ascii="David" w:eastAsia="David" w:hAnsi="David" w:cs="David" w:hint="cs"/>
          <w:sz w:val="26"/>
          <w:szCs w:val="26"/>
          <w:rtl/>
        </w:rPr>
        <w:t>--------------------------------</w:t>
      </w:r>
    </w:p>
    <w:p w14:paraId="7678E587" w14:textId="77777777" w:rsidR="00AE1D60" w:rsidRDefault="00E55D29">
      <w:pPr>
        <w:spacing w:before="0" w:line="360" w:lineRule="auto"/>
        <w:jc w:val="left"/>
      </w:pPr>
      <w:r>
        <w:rPr>
          <w:rFonts w:ascii="David" w:eastAsia="David" w:hAnsi="David" w:cs="David" w:hint="cs"/>
          <w:sz w:val="26"/>
          <w:szCs w:val="26"/>
          <w:rtl/>
        </w:rPr>
        <w:t>הוגשה ליו"ר הכנסת והסגנים</w:t>
      </w:r>
    </w:p>
    <w:p w14:paraId="170A5CD0" w14:textId="77777777" w:rsidR="00AE1D60" w:rsidRDefault="00E55D29">
      <w:pPr>
        <w:spacing w:before="0" w:line="360" w:lineRule="auto"/>
        <w:jc w:val="left"/>
      </w:pPr>
      <w:r>
        <w:rPr>
          <w:rFonts w:ascii="David" w:eastAsia="David" w:hAnsi="David" w:cs="David" w:hint="cs"/>
          <w:sz w:val="26"/>
          <w:szCs w:val="26"/>
          <w:rtl/>
        </w:rPr>
        <w:t>והונחה על שולחן הכנסת ביום</w:t>
      </w:r>
    </w:p>
    <w:p w14:paraId="03975947" w14:textId="77777777" w:rsidR="00AE1D60" w:rsidRDefault="00E55D29">
      <w:pPr>
        <w:spacing w:before="0" w:line="360" w:lineRule="auto"/>
        <w:jc w:val="left"/>
      </w:pPr>
      <w:r>
        <w:rPr>
          <w:rFonts w:ascii="David" w:eastAsia="David" w:hAnsi="David" w:cs="David" w:hint="cs"/>
          <w:sz w:val="26"/>
          <w:szCs w:val="26"/>
          <w:rtl/>
        </w:rPr>
        <w:t xml:space="preserve">כ"ו באב התשפ"א (04.08.2021) </w:t>
      </w:r>
    </w:p>
    <w:p w14:paraId="2CA398DA" w14:textId="77777777" w:rsidR="00AE1D60" w:rsidRDefault="00AE1D60">
      <w:pPr>
        <w:spacing w:before="0" w:line="276" w:lineRule="auto"/>
        <w:jc w:val="left"/>
      </w:pPr>
    </w:p>
    <w:sectPr w:rsidR="00AE1D60"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1FAAAFE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55D29">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CA3417C" w14:textId="77777777" w:rsidR="008A475A" w:rsidRDefault="008A475A" w:rsidP="008A475A">
      <w:pPr>
        <w:pStyle w:val="a4"/>
      </w:pPr>
      <w:r>
        <w:rPr>
          <w:rStyle w:val="a6"/>
        </w:rPr>
        <w:footnoteRef/>
      </w:r>
      <w:r>
        <w:rPr>
          <w:sz w:val="20"/>
          <w:rtl/>
        </w:rPr>
        <w:t xml:space="preserve"> ס"ח הת</w:t>
      </w:r>
      <w:r>
        <w:rPr>
          <w:rFonts w:hint="cs"/>
          <w:sz w:val="20"/>
          <w:rtl/>
        </w:rPr>
        <w:t>של"ה, עמ' 132.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2239"/>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203D2"/>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475A"/>
    <w:rsid w:val="008A6870"/>
    <w:rsid w:val="008C2DDC"/>
    <w:rsid w:val="008C7516"/>
    <w:rsid w:val="008D498F"/>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E1D60"/>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55D29"/>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4F49159-2BA3-46C2-9FAF-3B9CA4E7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8A475A"/>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C25A29CB36A16E48989D4D40273092E6" ma:contentTypeVersion="" ma:contentTypeDescription="צור מסמך חדש." ma:contentTypeScope="" ma:versionID="960836d9d79fe574671dad3ce2a7fd77">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ED9BC45-0054-4B85-92AF-43CA7E347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278FE7-1084-431A-ADA0-6AE73B70D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2</Pages>
  <Words>357</Words>
  <Characters>2038</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8</cp:revision>
  <cp:lastPrinted>2013-07-04T08:25:00Z</cp:lastPrinted>
  <dcterms:created xsi:type="dcterms:W3CDTF">2015-04-20T09:58:00Z</dcterms:created>
  <dcterms:modified xsi:type="dcterms:W3CDTF">2021-08-03T08:09:00Z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0x010100C25A29CB36A16E48989D4D40273092E6</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2160774</vt:r8>
  </property>
</Properties>
</file>