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53E8A" w14:textId="77777777" w:rsidR="00006CD1" w:rsidRPr="00E635A2" w:rsidRDefault="00006CD1" w:rsidP="00006CD1">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2161081</w:t>
      </w:r>
      <w:bookmarkEnd w:id="0"/>
    </w:p>
    <w:p w14:paraId="57BCEC2E" w14:textId="77777777" w:rsidR="00006CD1" w:rsidRPr="00DB7060" w:rsidRDefault="00006CD1" w:rsidP="00006CD1">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05BD7575" w14:textId="77777777" w:rsidR="00006CD1" w:rsidRPr="00F67051" w:rsidRDefault="00006CD1" w:rsidP="00006CD1">
      <w:pPr>
        <w:rPr>
          <w:b/>
          <w:bCs/>
          <w:sz w:val="26"/>
          <w:szCs w:val="26"/>
          <w:rtl/>
        </w:rPr>
      </w:pPr>
    </w:p>
    <w:p w14:paraId="504FCDB0" w14:textId="77777777" w:rsidR="00006CD1" w:rsidRDefault="00006CD1" w:rsidP="00006CD1">
      <w:pPr>
        <w:pStyle w:val="David"/>
        <w:ind w:left="3544"/>
        <w:rPr>
          <w:b/>
          <w:bCs/>
          <w:rtl/>
        </w:rPr>
      </w:pPr>
      <w:bookmarkStart w:id="2" w:name="LGS_Initiators_List"/>
      <w:r>
        <w:rPr>
          <w:b/>
          <w:bCs/>
          <w:rtl/>
        </w:rPr>
        <w:t>יוזם:</w:t>
      </w:r>
      <w:r>
        <w:tab/>
      </w:r>
      <w:r>
        <w:rPr>
          <w:b/>
          <w:bCs/>
          <w:rtl/>
        </w:rPr>
        <w:t xml:space="preserve">      חבר הכנסת</w:t>
      </w:r>
      <w:bookmarkEnd w:id="2"/>
      <w:r w:rsidRPr="00F67051">
        <w:rPr>
          <w:b/>
          <w:bCs/>
        </w:rPr>
        <w:tab/>
      </w:r>
      <w:bookmarkStart w:id="3" w:name="LGS_PM_Names"/>
      <w:r>
        <w:rPr>
          <w:rFonts w:hint="cs"/>
          <w:b/>
          <w:bCs/>
          <w:rtl/>
        </w:rPr>
        <w:t>רון כץ</w:t>
      </w:r>
      <w:bookmarkEnd w:id="3"/>
    </w:p>
    <w:p w14:paraId="38907A91" w14:textId="77777777" w:rsidR="00006CD1" w:rsidRPr="00904591" w:rsidRDefault="00006CD1" w:rsidP="00006CD1">
      <w:pPr>
        <w:pStyle w:val="David"/>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19BAE1B9" w14:textId="7A81C622" w:rsidR="00006CD1" w:rsidRPr="00E06736" w:rsidRDefault="00006CD1" w:rsidP="00AA1F84">
      <w:pPr>
        <w:pStyle w:val="David"/>
        <w:spacing w:line="240" w:lineRule="auto"/>
        <w:ind w:left="6424" w:firstLine="56"/>
        <w:rPr>
          <w:rtl/>
        </w:rPr>
      </w:pPr>
      <w:bookmarkStart w:id="4" w:name="Private_Number"/>
      <w:r>
        <w:rPr>
          <w:rFonts w:hint="cs"/>
          <w:rtl/>
        </w:rPr>
        <w:t>פ/2046/24</w:t>
      </w:r>
      <w:bookmarkEnd w:id="4"/>
    </w:p>
    <w:p w14:paraId="06E576FB" w14:textId="77777777" w:rsidR="004109C8" w:rsidRDefault="004109C8" w:rsidP="00006CD1">
      <w:pPr>
        <w:pStyle w:val="HeadHatzaotHok"/>
        <w:rPr>
          <w:rtl/>
        </w:rPr>
      </w:pPr>
      <w:bookmarkStart w:id="5" w:name="LGS_Subject"/>
    </w:p>
    <w:p w14:paraId="04A48584" w14:textId="77777777" w:rsidR="00006CD1" w:rsidRDefault="00006CD1" w:rsidP="00006CD1">
      <w:pPr>
        <w:pStyle w:val="HeadHatzaotHok"/>
        <w:rPr>
          <w:rtl/>
        </w:rPr>
      </w:pPr>
      <w:r>
        <w:rPr>
          <w:rFonts w:hint="cs"/>
          <w:rtl/>
        </w:rPr>
        <w:t xml:space="preserve">הצעת חוק עבודת הנוער (תיקון – ליווי אפוטרופוס), </w:t>
      </w:r>
      <w:proofErr w:type="spellStart"/>
      <w:r>
        <w:rPr>
          <w:rFonts w:hint="cs"/>
          <w:rtl/>
        </w:rPr>
        <w:t>התשפ"א</w:t>
      </w:r>
      <w:proofErr w:type="spellEnd"/>
      <w:r>
        <w:rPr>
          <w:rFonts w:hint="cs"/>
          <w:rtl/>
        </w:rPr>
        <w:t>–2021</w:t>
      </w:r>
      <w:bookmarkEnd w:id="5"/>
    </w:p>
    <w:p w14:paraId="2C121CE7" w14:textId="77777777" w:rsidR="004109C8" w:rsidRPr="00F67051" w:rsidRDefault="004109C8" w:rsidP="00006CD1">
      <w:pPr>
        <w:pStyle w:val="HeadHatzaotHok"/>
        <w:rPr>
          <w:rtl/>
        </w:rPr>
      </w:pPr>
      <w:bookmarkStart w:id="6" w:name="_GoBack"/>
      <w:bookmarkEnd w:id="6"/>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006CD1" w:rsidRPr="00C34DE2" w14:paraId="37C2C140" w14:textId="77777777" w:rsidTr="002C1C65">
        <w:trPr>
          <w:cantSplit/>
        </w:trPr>
        <w:tc>
          <w:tcPr>
            <w:tcW w:w="1871" w:type="dxa"/>
          </w:tcPr>
          <w:p w14:paraId="36A2CF34" w14:textId="77777777" w:rsidR="00006CD1" w:rsidRDefault="00006CD1" w:rsidP="00C6147F">
            <w:pPr>
              <w:pStyle w:val="TableSideHeading"/>
              <w:keepLines w:val="0"/>
            </w:pPr>
            <w:r>
              <w:rPr>
                <w:rFonts w:hint="cs"/>
                <w:rtl/>
              </w:rPr>
              <w:t>תיקון סעיף 4</w:t>
            </w:r>
          </w:p>
        </w:tc>
        <w:tc>
          <w:tcPr>
            <w:tcW w:w="624" w:type="dxa"/>
          </w:tcPr>
          <w:p w14:paraId="1EF3C4DA" w14:textId="2A5D6101" w:rsidR="00006CD1" w:rsidRDefault="00AA1F84" w:rsidP="00AA1F84">
            <w:pPr>
              <w:pStyle w:val="TableText"/>
              <w:keepLines w:val="0"/>
              <w:tabs>
                <w:tab w:val="clear" w:pos="624"/>
              </w:tabs>
            </w:pPr>
            <w:r>
              <w:rPr>
                <w:rFonts w:hint="cs"/>
                <w:rtl/>
              </w:rPr>
              <w:t>1.</w:t>
            </w:r>
          </w:p>
        </w:tc>
        <w:tc>
          <w:tcPr>
            <w:tcW w:w="7143" w:type="dxa"/>
          </w:tcPr>
          <w:p w14:paraId="08D39333" w14:textId="2B4DDFF3" w:rsidR="00006CD1" w:rsidRPr="00C34DE2" w:rsidRDefault="00006CD1" w:rsidP="002C1C65">
            <w:pPr>
              <w:pStyle w:val="TableBlock"/>
            </w:pPr>
            <w:r>
              <w:rPr>
                <w:rFonts w:hint="cs"/>
                <w:rtl/>
              </w:rPr>
              <w:t xml:space="preserve">בחוק עבודת הנוער, </w:t>
            </w:r>
            <w:proofErr w:type="spellStart"/>
            <w:r>
              <w:rPr>
                <w:rFonts w:hint="cs"/>
                <w:rtl/>
              </w:rPr>
              <w:t>התשי"ג</w:t>
            </w:r>
            <w:proofErr w:type="spellEnd"/>
            <w:r w:rsidR="00AA1F84">
              <w:rPr>
                <w:rFonts w:hint="eastAsia"/>
                <w:rtl/>
              </w:rPr>
              <w:t>–</w:t>
            </w:r>
            <w:r>
              <w:rPr>
                <w:rFonts w:hint="cs"/>
                <w:rtl/>
              </w:rPr>
              <w:t>1953</w:t>
            </w:r>
            <w:r w:rsidRPr="002C1C65">
              <w:rPr>
                <w:rStyle w:val="a6"/>
                <w:rFonts w:ascii="David" w:hAnsi="David"/>
                <w:sz w:val="26"/>
                <w:rtl/>
              </w:rPr>
              <w:footnoteReference w:id="2"/>
            </w:r>
            <w:r w:rsidR="00AA1F84">
              <w:rPr>
                <w:rFonts w:hint="cs"/>
                <w:rtl/>
              </w:rPr>
              <w:t>,</w:t>
            </w:r>
            <w:r>
              <w:rPr>
                <w:rFonts w:hint="cs"/>
                <w:rtl/>
              </w:rPr>
              <w:t xml:space="preserve"> בסעיף 4, אחרי סעיף קטן (ג) יבוא:</w:t>
            </w:r>
          </w:p>
        </w:tc>
      </w:tr>
      <w:tr w:rsidR="00006CD1" w:rsidRPr="003A50FC" w14:paraId="40A4E296" w14:textId="77777777" w:rsidTr="002C1C65">
        <w:trPr>
          <w:cantSplit/>
        </w:trPr>
        <w:tc>
          <w:tcPr>
            <w:tcW w:w="1871" w:type="dxa"/>
          </w:tcPr>
          <w:p w14:paraId="457C9728" w14:textId="77777777" w:rsidR="00006CD1" w:rsidRDefault="00006CD1" w:rsidP="00C6147F">
            <w:pPr>
              <w:pStyle w:val="TableSideHeading"/>
              <w:keepLines w:val="0"/>
              <w:rPr>
                <w:rtl/>
              </w:rPr>
            </w:pPr>
          </w:p>
        </w:tc>
        <w:tc>
          <w:tcPr>
            <w:tcW w:w="624" w:type="dxa"/>
          </w:tcPr>
          <w:p w14:paraId="57BFAA61" w14:textId="77777777" w:rsidR="00006CD1" w:rsidRDefault="00006CD1" w:rsidP="00C6147F">
            <w:pPr>
              <w:pStyle w:val="TableText"/>
            </w:pPr>
          </w:p>
        </w:tc>
        <w:tc>
          <w:tcPr>
            <w:tcW w:w="7143" w:type="dxa"/>
          </w:tcPr>
          <w:p w14:paraId="6EF824B3" w14:textId="77777777" w:rsidR="00006CD1" w:rsidRPr="003A50FC" w:rsidRDefault="00006CD1" w:rsidP="002C1C65">
            <w:pPr>
              <w:pStyle w:val="TableBlock"/>
              <w:rPr>
                <w:rtl/>
              </w:rPr>
            </w:pPr>
            <w:r>
              <w:rPr>
                <w:rFonts w:hint="cs"/>
                <w:rtl/>
              </w:rPr>
              <w:t>"(</w:t>
            </w:r>
            <w:r w:rsidRPr="003A50FC">
              <w:rPr>
                <w:rtl/>
              </w:rPr>
              <w:t>ד)</w:t>
            </w:r>
            <w:r w:rsidRPr="003A50FC">
              <w:rPr>
                <w:rtl/>
              </w:rPr>
              <w:tab/>
              <w:t xml:space="preserve">לא יעסיק אדם ילד או נער בהופעה ציבורית, אמנותית או לצורכי פרסום, או בצילומים לצורכי פרסום, לרבות בשלבים הקודמים להעסקה, </w:t>
            </w:r>
            <w:r>
              <w:rPr>
                <w:rFonts w:hint="cs"/>
                <w:rtl/>
              </w:rPr>
              <w:t xml:space="preserve">ובכלל זה בעת עריכת </w:t>
            </w:r>
            <w:r w:rsidRPr="003A50FC">
              <w:rPr>
                <w:rtl/>
              </w:rPr>
              <w:t>מבחני במה</w:t>
            </w:r>
            <w:r>
              <w:rPr>
                <w:rFonts w:hint="cs"/>
                <w:rtl/>
              </w:rPr>
              <w:t xml:space="preserve"> ולא יתווך להעסקתו בכל אלה כאמור</w:t>
            </w:r>
            <w:r w:rsidRPr="003A50FC">
              <w:rPr>
                <w:rtl/>
              </w:rPr>
              <w:t>, ללא נוכחות הורה, אפוטרופוס, או בן</w:t>
            </w:r>
            <w:r>
              <w:rPr>
                <w:rtl/>
              </w:rPr>
              <w:t xml:space="preserve"> משפחה בגיר אחר</w:t>
            </w:r>
            <w:r>
              <w:rPr>
                <w:rFonts w:hint="cs"/>
                <w:rtl/>
              </w:rPr>
              <w:t>,</w:t>
            </w:r>
            <w:r>
              <w:rPr>
                <w:rtl/>
              </w:rPr>
              <w:t xml:space="preserve"> של הילד או הנער</w:t>
            </w:r>
            <w:r>
              <w:rPr>
                <w:rFonts w:hint="cs"/>
                <w:rtl/>
              </w:rPr>
              <w:t>".</w:t>
            </w:r>
          </w:p>
        </w:tc>
      </w:tr>
    </w:tbl>
    <w:p w14:paraId="10955C34" w14:textId="77777777" w:rsidR="00006CD1" w:rsidRDefault="00006CD1" w:rsidP="00006CD1">
      <w:pPr>
        <w:pStyle w:val="HeadDivreiHesber"/>
        <w:spacing w:before="0" w:after="0"/>
        <w:rPr>
          <w:rtl/>
        </w:rPr>
      </w:pPr>
    </w:p>
    <w:p w14:paraId="4CFEE3D9" w14:textId="77777777" w:rsidR="00006CD1" w:rsidRDefault="00006CD1" w:rsidP="00006CD1">
      <w:pPr>
        <w:pStyle w:val="HeadDivreiHesber"/>
        <w:rPr>
          <w:rtl/>
        </w:rPr>
      </w:pPr>
      <w:r w:rsidRPr="0027450A">
        <w:rPr>
          <w:rFonts w:hint="cs"/>
          <w:rtl/>
        </w:rPr>
        <w:t>דברי הסבר</w:t>
      </w:r>
    </w:p>
    <w:p w14:paraId="6977D512" w14:textId="77777777" w:rsidR="00006CD1" w:rsidRPr="002C1C65" w:rsidRDefault="00006CD1" w:rsidP="002C1C65">
      <w:pPr>
        <w:pStyle w:val="Hesber"/>
        <w:rPr>
          <w:rtl/>
        </w:rPr>
      </w:pPr>
      <w:r w:rsidRPr="002C1C65">
        <w:rPr>
          <w:rFonts w:hint="cs"/>
          <w:rtl/>
        </w:rPr>
        <w:t>בשנים האחרונות אנו עדים לתופעה מדאיגה בקרב בני נוער, אשר חולמים להצליח בעולם הגדול, והולכים שולל אחרי הבטחות גדולות לקריירה משגשגת, שכר גבוה או תנאים יוצאי דופן, וכתוצאה מכך בחלק מהמקרים נפגעים הן מילולית והן פיזית.</w:t>
      </w:r>
    </w:p>
    <w:p w14:paraId="3535FA31" w14:textId="77777777" w:rsidR="00006CD1" w:rsidRPr="002C1C65" w:rsidRDefault="00006CD1" w:rsidP="002C1C65">
      <w:pPr>
        <w:pStyle w:val="Hesber"/>
        <w:rPr>
          <w:rtl/>
        </w:rPr>
      </w:pPr>
      <w:r w:rsidRPr="002C1C65">
        <w:rPr>
          <w:rFonts w:hint="cs"/>
          <w:rtl/>
        </w:rPr>
        <w:t>מוצע על כן לדרוש כי כל העסקה של ילד או נער בתחומים של דוגמנות או הופעות, וכן מבחני במה ואודישנים, וכל תיווך להם, ייעשו רק בנוכחות הורה או אפוטרופוס או בן משפחה בגיר אחר של הילד או הנער.</w:t>
      </w:r>
    </w:p>
    <w:p w14:paraId="16D44657" w14:textId="2F554C93" w:rsidR="00006CD1" w:rsidRPr="002C1C65" w:rsidRDefault="00006CD1" w:rsidP="002C1C65">
      <w:pPr>
        <w:pStyle w:val="Hesber"/>
        <w:rPr>
          <w:rtl/>
        </w:rPr>
      </w:pPr>
      <w:r w:rsidRPr="002C1C65">
        <w:rPr>
          <w:rFonts w:hint="cs"/>
          <w:rtl/>
        </w:rPr>
        <w:t>הצעת חוק זו, נועדה לטפל במקרים בהן נפגשים קטינים עם בגירים לפגישות מקצועיות ו/או עסקיות, ללא ליווי מבוגר, ובאה למנוע מקרים בהן הפגישות מסתיימות בפגיעות של הבגיר בקטין. כל זאת מתוך מחשבה כי הקטין אינו מודע לסיכונים הקיימים, ליכולת לנצלו, להוליכו שולל ואף לפגוע בו פיזית והעובדה כי אפוטרופוס מטעמו ינכח בפגישות שכאלו תביא להפחתת המקרים הללו ואף למניעתן.</w:t>
      </w:r>
    </w:p>
    <w:p w14:paraId="7F6961CB" w14:textId="77777777" w:rsidR="00E13C27" w:rsidRPr="00006CD1" w:rsidRDefault="00E13C27" w:rsidP="00006CD1">
      <w:pPr>
        <w:rPr>
          <w:rtl/>
        </w:rPr>
      </w:pPr>
    </w:p>
    <w:p w14:paraId="36C0DD0B" w14:textId="77777777" w:rsidR="0002213E" w:rsidRDefault="002C1C65">
      <w:pPr>
        <w:jc w:val="left"/>
      </w:pPr>
      <w:bookmarkStart w:id="7" w:name="selectedDocDateB"/>
      <w:bookmarkEnd w:id="7"/>
      <w:r>
        <w:rPr>
          <w:rFonts w:eastAsia="David" w:hint="cs"/>
          <w:sz w:val="26"/>
          <w:szCs w:val="26"/>
          <w:rtl/>
        </w:rPr>
        <w:t>--------------------------------</w:t>
      </w:r>
    </w:p>
    <w:p w14:paraId="1FECB090" w14:textId="77777777" w:rsidR="0002213E" w:rsidRDefault="002C1C65">
      <w:pPr>
        <w:jc w:val="left"/>
      </w:pPr>
      <w:r>
        <w:rPr>
          <w:rFonts w:eastAsia="David" w:hint="cs"/>
          <w:sz w:val="26"/>
          <w:szCs w:val="26"/>
          <w:rtl/>
        </w:rPr>
        <w:t>הוגשה ליו"ר הכנסת והסגנים</w:t>
      </w:r>
    </w:p>
    <w:p w14:paraId="563E3551" w14:textId="77777777" w:rsidR="0002213E" w:rsidRDefault="002C1C65">
      <w:pPr>
        <w:jc w:val="left"/>
      </w:pPr>
      <w:r>
        <w:rPr>
          <w:rFonts w:eastAsia="David" w:hint="cs"/>
          <w:sz w:val="26"/>
          <w:szCs w:val="26"/>
          <w:rtl/>
        </w:rPr>
        <w:t>והונחה על שולחן הכנסת ביום</w:t>
      </w:r>
    </w:p>
    <w:p w14:paraId="2B903653" w14:textId="77777777" w:rsidR="0002213E" w:rsidRDefault="002C1C65">
      <w:pPr>
        <w:jc w:val="left"/>
      </w:pPr>
      <w:r>
        <w:rPr>
          <w:rFonts w:eastAsia="David" w:hint="cs"/>
          <w:sz w:val="26"/>
          <w:szCs w:val="26"/>
          <w:rtl/>
        </w:rPr>
        <w:t xml:space="preserve">כ"ד באב </w:t>
      </w:r>
      <w:proofErr w:type="spellStart"/>
      <w:r>
        <w:rPr>
          <w:rFonts w:eastAsia="David" w:hint="cs"/>
          <w:sz w:val="26"/>
          <w:szCs w:val="26"/>
          <w:rtl/>
        </w:rPr>
        <w:t>התשפ"א</w:t>
      </w:r>
      <w:proofErr w:type="spellEnd"/>
      <w:r>
        <w:rPr>
          <w:rFonts w:eastAsia="David" w:hint="cs"/>
          <w:sz w:val="26"/>
          <w:szCs w:val="26"/>
          <w:rtl/>
        </w:rPr>
        <w:t xml:space="preserve"> (02.08.2021) </w:t>
      </w:r>
    </w:p>
    <w:p w14:paraId="0E859C10" w14:textId="77777777" w:rsidR="0002213E" w:rsidRDefault="0002213E">
      <w:pPr>
        <w:spacing w:line="276" w:lineRule="auto"/>
        <w:jc w:val="left"/>
      </w:pPr>
    </w:p>
    <w:sectPr w:rsidR="0002213E" w:rsidSect="002C1C65">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1FEDFC83"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C1C65">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2C1C65">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5ECFDFD" w14:textId="0A60B390" w:rsidR="00006CD1" w:rsidRDefault="00006CD1" w:rsidP="00006CD1">
      <w:pPr>
        <w:pStyle w:val="a4"/>
      </w:pPr>
      <w:r>
        <w:rPr>
          <w:rStyle w:val="a6"/>
        </w:rPr>
        <w:footnoteRef/>
      </w:r>
      <w:r>
        <w:rPr>
          <w:rtl/>
        </w:rPr>
        <w:t xml:space="preserve"> </w:t>
      </w:r>
      <w:r>
        <w:rPr>
          <w:rFonts w:hint="cs"/>
          <w:rtl/>
        </w:rPr>
        <w:t xml:space="preserve">ס"ח </w:t>
      </w:r>
      <w:proofErr w:type="spellStart"/>
      <w:r>
        <w:rPr>
          <w:rFonts w:hint="cs"/>
          <w:rtl/>
        </w:rPr>
        <w:t>התשי"ג</w:t>
      </w:r>
      <w:proofErr w:type="spellEnd"/>
      <w:r>
        <w:rPr>
          <w:rFonts w:hint="cs"/>
          <w:rtl/>
        </w:rPr>
        <w:t xml:space="preserve">, עמ' </w:t>
      </w:r>
      <w:r w:rsidR="002C1C65">
        <w:rPr>
          <w:rFonts w:hint="cs"/>
          <w:rtl/>
        </w:rPr>
        <w:t>115.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06CD1"/>
    <w:rsid w:val="00015B27"/>
    <w:rsid w:val="0002213E"/>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1C65"/>
    <w:rsid w:val="002C2E29"/>
    <w:rsid w:val="002C3041"/>
    <w:rsid w:val="002D1EE3"/>
    <w:rsid w:val="002F1D80"/>
    <w:rsid w:val="003232A2"/>
    <w:rsid w:val="00325C14"/>
    <w:rsid w:val="0036422C"/>
    <w:rsid w:val="003710F6"/>
    <w:rsid w:val="00386E88"/>
    <w:rsid w:val="00396585"/>
    <w:rsid w:val="003B7D86"/>
    <w:rsid w:val="003D6E38"/>
    <w:rsid w:val="003D74A0"/>
    <w:rsid w:val="004033D8"/>
    <w:rsid w:val="004073F0"/>
    <w:rsid w:val="004109C8"/>
    <w:rsid w:val="00412A7D"/>
    <w:rsid w:val="00416B4D"/>
    <w:rsid w:val="00417CFC"/>
    <w:rsid w:val="0047521A"/>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1F84"/>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29AE"/>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0C50487-17BA-4514-BC6C-8106DB00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C65"/>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2C1C65"/>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2C1C65"/>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2C1C65"/>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2C1C65"/>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2C1C65"/>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2C1C65"/>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2C1C65"/>
    <w:rPr>
      <w:sz w:val="36"/>
      <w:szCs w:val="52"/>
    </w:rPr>
  </w:style>
  <w:style w:type="paragraph" w:customStyle="1" w:styleId="Cover3-Haknesset">
    <w:name w:val="Cover 3-Haknesset"/>
    <w:basedOn w:val="Cover1-Reshumot"/>
    <w:rsid w:val="002C1C65"/>
    <w:rPr>
      <w:b/>
      <w:bCs/>
      <w:spacing w:val="60"/>
    </w:rPr>
  </w:style>
  <w:style w:type="paragraph" w:customStyle="1" w:styleId="Cover4-Date">
    <w:name w:val="Cover 4-Date"/>
    <w:basedOn w:val="a"/>
    <w:rsid w:val="002C1C65"/>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2C1C65"/>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2C1C65"/>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2C1C65"/>
    <w:pPr>
      <w:spacing w:before="120" w:after="120"/>
    </w:pPr>
    <w:rPr>
      <w:color w:val="FF0000"/>
      <w:w w:val="80"/>
    </w:rPr>
  </w:style>
  <w:style w:type="paragraph" w:styleId="a3">
    <w:name w:val="endnote text"/>
    <w:basedOn w:val="a"/>
    <w:semiHidden/>
    <w:rsid w:val="002C1C65"/>
    <w:pPr>
      <w:ind w:left="227" w:hanging="227"/>
    </w:pPr>
    <w:rPr>
      <w:sz w:val="14"/>
      <w:szCs w:val="22"/>
    </w:rPr>
  </w:style>
  <w:style w:type="paragraph" w:customStyle="1" w:styleId="TableText">
    <w:name w:val="Table Text"/>
    <w:basedOn w:val="a"/>
    <w:rsid w:val="002C1C65"/>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2C1C65"/>
    <w:pPr>
      <w:outlineLvl w:val="2"/>
    </w:pPr>
  </w:style>
  <w:style w:type="paragraph" w:customStyle="1" w:styleId="TableBlock">
    <w:name w:val="Table Block"/>
    <w:basedOn w:val="TableText"/>
    <w:rsid w:val="002C1C65"/>
    <w:pPr>
      <w:jc w:val="both"/>
    </w:pPr>
  </w:style>
  <w:style w:type="paragraph" w:customStyle="1" w:styleId="TableHead">
    <w:name w:val="Table Head"/>
    <w:basedOn w:val="TableText"/>
    <w:rsid w:val="002C1C65"/>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2C1C65"/>
    <w:pPr>
      <w:outlineLvl w:val="9"/>
    </w:pPr>
  </w:style>
  <w:style w:type="paragraph" w:customStyle="1" w:styleId="Hesber">
    <w:name w:val="Hesber"/>
    <w:basedOn w:val="a"/>
    <w:rsid w:val="002C1C65"/>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2C1C65"/>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2C1C65"/>
    <w:rPr>
      <w:vertAlign w:val="superscript"/>
    </w:rPr>
  </w:style>
  <w:style w:type="paragraph" w:customStyle="1" w:styleId="HesberHeading">
    <w:name w:val="Hesber Heading"/>
    <w:basedOn w:val="Hesber"/>
    <w:rsid w:val="002C1C65"/>
    <w:pPr>
      <w:tabs>
        <w:tab w:val="left" w:pos="624"/>
        <w:tab w:val="left" w:pos="1247"/>
      </w:tabs>
    </w:pPr>
    <w:rPr>
      <w:b/>
      <w:bCs/>
    </w:rPr>
  </w:style>
  <w:style w:type="paragraph" w:customStyle="1" w:styleId="HesberWriters">
    <w:name w:val="Hesber Writers"/>
    <w:basedOn w:val="Hesber"/>
    <w:rsid w:val="002C1C65"/>
    <w:pPr>
      <w:spacing w:before="120" w:after="120"/>
      <w:ind w:left="1418"/>
      <w:jc w:val="right"/>
    </w:pPr>
    <w:rPr>
      <w:b/>
      <w:bCs/>
    </w:rPr>
  </w:style>
  <w:style w:type="paragraph" w:customStyle="1" w:styleId="Hesber1st">
    <w:name w:val="Hesber 1st"/>
    <w:basedOn w:val="Hesber"/>
    <w:rsid w:val="002C1C65"/>
    <w:pPr>
      <w:tabs>
        <w:tab w:val="left" w:pos="680"/>
        <w:tab w:val="left" w:pos="1020"/>
      </w:tabs>
      <w:ind w:firstLine="0"/>
    </w:pPr>
  </w:style>
  <w:style w:type="character" w:styleId="a7">
    <w:name w:val="endnote reference"/>
    <w:basedOn w:val="a0"/>
    <w:semiHidden/>
    <w:rsid w:val="002C1C65"/>
    <w:rPr>
      <w:vertAlign w:val="superscript"/>
    </w:rPr>
  </w:style>
  <w:style w:type="paragraph" w:customStyle="1" w:styleId="TableBlockOutdent">
    <w:name w:val="Table BlockOutdent"/>
    <w:basedOn w:val="TableBlock"/>
    <w:rsid w:val="002C1C65"/>
    <w:pPr>
      <w:ind w:left="624" w:hanging="624"/>
    </w:pPr>
  </w:style>
  <w:style w:type="paragraph" w:styleId="a8">
    <w:name w:val="header"/>
    <w:basedOn w:val="a"/>
    <w:rsid w:val="002C1C65"/>
    <w:pPr>
      <w:tabs>
        <w:tab w:val="center" w:pos="4153"/>
        <w:tab w:val="right" w:pos="8306"/>
      </w:tabs>
    </w:pPr>
  </w:style>
  <w:style w:type="paragraph" w:styleId="a9">
    <w:name w:val="footer"/>
    <w:basedOn w:val="a"/>
    <w:rsid w:val="002C1C65"/>
    <w:pPr>
      <w:tabs>
        <w:tab w:val="center" w:pos="4153"/>
        <w:tab w:val="right" w:pos="8306"/>
      </w:tabs>
    </w:pPr>
  </w:style>
  <w:style w:type="paragraph" w:customStyle="1" w:styleId="HeadDivreiHesber">
    <w:name w:val="Head DivreiHesber"/>
    <w:basedOn w:val="a"/>
    <w:rsid w:val="002C1C65"/>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2C1C65"/>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2C1C65"/>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E129AE"/>
    <w:rPr>
      <w:rFonts w:ascii="Arial" w:eastAsia="Arial Unicode MS" w:hAnsi="Arial" w:cs="David"/>
      <w:snapToGrid w:val="0"/>
      <w:sz w:val="14"/>
    </w:rPr>
  </w:style>
  <w:style w:type="character" w:customStyle="1" w:styleId="10">
    <w:name w:val="כותרת 1 תו"/>
    <w:basedOn w:val="a0"/>
    <w:link w:val="1"/>
    <w:uiPriority w:val="9"/>
    <w:rsid w:val="002C1C65"/>
    <w:rPr>
      <w:rFonts w:asciiTheme="majorHAnsi" w:eastAsiaTheme="majorEastAsia" w:hAnsiTheme="majorHAnsi" w:cs="David"/>
      <w:bCs/>
      <w:sz w:val="32"/>
      <w:szCs w:val="36"/>
    </w:rPr>
  </w:style>
  <w:style w:type="character" w:customStyle="1" w:styleId="20">
    <w:name w:val="כותרת 2 תו"/>
    <w:basedOn w:val="a0"/>
    <w:link w:val="2"/>
    <w:rsid w:val="002C1C65"/>
    <w:rPr>
      <w:rFonts w:asciiTheme="majorHAnsi" w:eastAsiaTheme="majorEastAsia" w:hAnsiTheme="majorHAnsi" w:cs="David"/>
      <w:bCs/>
      <w:sz w:val="26"/>
      <w:szCs w:val="36"/>
      <w:u w:val="single"/>
    </w:rPr>
  </w:style>
  <w:style w:type="character" w:customStyle="1" w:styleId="30">
    <w:name w:val="כותרת 3 תו"/>
    <w:basedOn w:val="a0"/>
    <w:link w:val="3"/>
    <w:rsid w:val="002C1C65"/>
    <w:rPr>
      <w:rFonts w:asciiTheme="majorHAnsi" w:eastAsiaTheme="majorEastAsia" w:hAnsiTheme="majorHAnsi" w:cs="David"/>
      <w:sz w:val="24"/>
      <w:szCs w:val="28"/>
      <w:u w:val="double"/>
    </w:rPr>
  </w:style>
  <w:style w:type="character" w:customStyle="1" w:styleId="40">
    <w:name w:val="כותרת 4 תו"/>
    <w:basedOn w:val="a0"/>
    <w:link w:val="4"/>
    <w:uiPriority w:val="9"/>
    <w:rsid w:val="002C1C65"/>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2C1C65"/>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2C1C65"/>
    <w:pPr>
      <w:widowControl/>
      <w:spacing w:before="120" w:after="120"/>
      <w:outlineLvl w:val="9"/>
    </w:pPr>
    <w:rPr>
      <w:rtl/>
      <w:cs/>
    </w:rPr>
  </w:style>
  <w:style w:type="paragraph" w:styleId="TOC1">
    <w:name w:val="toc 1"/>
    <w:basedOn w:val="a"/>
    <w:next w:val="a"/>
    <w:autoRedefine/>
    <w:uiPriority w:val="39"/>
    <w:unhideWhenUsed/>
    <w:rsid w:val="002C1C65"/>
    <w:pPr>
      <w:tabs>
        <w:tab w:val="right" w:leader="dot" w:pos="9629"/>
      </w:tabs>
      <w:spacing w:after="100"/>
    </w:pPr>
    <w:rPr>
      <w:bCs/>
      <w:szCs w:val="22"/>
    </w:rPr>
  </w:style>
  <w:style w:type="paragraph" w:styleId="TOC2">
    <w:name w:val="toc 2"/>
    <w:basedOn w:val="a"/>
    <w:next w:val="a"/>
    <w:uiPriority w:val="39"/>
    <w:unhideWhenUsed/>
    <w:rsid w:val="002C1C65"/>
    <w:pPr>
      <w:tabs>
        <w:tab w:val="right" w:leader="dot" w:pos="9628"/>
      </w:tabs>
      <w:spacing w:after="100"/>
    </w:pPr>
    <w:rPr>
      <w:szCs w:val="22"/>
    </w:rPr>
  </w:style>
  <w:style w:type="character" w:styleId="Hyperlink">
    <w:name w:val="Hyperlink"/>
    <w:basedOn w:val="a0"/>
    <w:uiPriority w:val="99"/>
    <w:unhideWhenUsed/>
    <w:rsid w:val="002C1C65"/>
    <w:rPr>
      <w:color w:val="0000FF" w:themeColor="hyperlink"/>
      <w:u w:val="single"/>
    </w:rPr>
  </w:style>
  <w:style w:type="paragraph" w:styleId="TOC3">
    <w:name w:val="toc 3"/>
    <w:basedOn w:val="a"/>
    <w:next w:val="a"/>
    <w:uiPriority w:val="39"/>
    <w:unhideWhenUsed/>
    <w:rsid w:val="002C1C65"/>
    <w:pPr>
      <w:tabs>
        <w:tab w:val="right" w:leader="dot" w:pos="9629"/>
      </w:tabs>
      <w:spacing w:after="100"/>
      <w:ind w:left="567"/>
    </w:pPr>
    <w:rPr>
      <w:szCs w:val="22"/>
    </w:rPr>
  </w:style>
  <w:style w:type="paragraph" w:styleId="TOC4">
    <w:name w:val="toc 4"/>
    <w:basedOn w:val="a"/>
    <w:next w:val="a"/>
    <w:autoRedefine/>
    <w:unhideWhenUsed/>
    <w:qFormat/>
    <w:rsid w:val="002C1C65"/>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2C1C65"/>
    <w:pPr>
      <w:tabs>
        <w:tab w:val="right" w:leader="dot" w:pos="9628"/>
      </w:tabs>
      <w:spacing w:after="100"/>
      <w:ind w:left="567"/>
    </w:pPr>
    <w:rPr>
      <w:szCs w:val="22"/>
    </w:rPr>
  </w:style>
  <w:style w:type="paragraph" w:styleId="TOC6">
    <w:name w:val="toc 6"/>
    <w:basedOn w:val="a"/>
    <w:next w:val="a"/>
    <w:autoRedefine/>
    <w:semiHidden/>
    <w:unhideWhenUsed/>
    <w:rsid w:val="002C1C65"/>
    <w:pPr>
      <w:spacing w:after="100"/>
      <w:ind w:left="850"/>
    </w:pPr>
  </w:style>
  <w:style w:type="paragraph" w:styleId="TOC7">
    <w:name w:val="toc 7"/>
    <w:basedOn w:val="a"/>
    <w:next w:val="a"/>
    <w:autoRedefine/>
    <w:semiHidden/>
    <w:unhideWhenUsed/>
    <w:rsid w:val="002C1C65"/>
    <w:pPr>
      <w:spacing w:after="100"/>
      <w:ind w:left="1020"/>
    </w:pPr>
  </w:style>
  <w:style w:type="paragraph" w:styleId="TOC8">
    <w:name w:val="toc 8"/>
    <w:basedOn w:val="a"/>
    <w:next w:val="a"/>
    <w:autoRedefine/>
    <w:semiHidden/>
    <w:unhideWhenUsed/>
    <w:rsid w:val="002C1C65"/>
    <w:pPr>
      <w:spacing w:after="100"/>
      <w:ind w:left="1190"/>
    </w:pPr>
  </w:style>
  <w:style w:type="paragraph" w:styleId="TOC9">
    <w:name w:val="toc 9"/>
    <w:basedOn w:val="a"/>
    <w:next w:val="a"/>
    <w:autoRedefine/>
    <w:semiHidden/>
    <w:unhideWhenUsed/>
    <w:rsid w:val="002C1C65"/>
    <w:pPr>
      <w:spacing w:after="100"/>
      <w:ind w:left="1360"/>
    </w:pPr>
  </w:style>
  <w:style w:type="paragraph" w:customStyle="1" w:styleId="TableHead2">
    <w:name w:val="Table Head2"/>
    <w:basedOn w:val="TableHead"/>
    <w:qFormat/>
    <w:rsid w:val="002C1C65"/>
    <w:pPr>
      <w:outlineLvl w:val="9"/>
    </w:pPr>
  </w:style>
  <w:style w:type="paragraph" w:customStyle="1" w:styleId="TableSideHeading2">
    <w:name w:val="Table SideHeading2"/>
    <w:basedOn w:val="TableSideHeading"/>
    <w:autoRedefine/>
    <w:qFormat/>
    <w:rsid w:val="002C1C65"/>
    <w:pPr>
      <w:keepLines w:val="0"/>
      <w:outlineLvl w:val="9"/>
    </w:pPr>
  </w:style>
  <w:style w:type="paragraph" w:customStyle="1" w:styleId="0">
    <w:name w:val="סגנון שורה ראשונה:  0  ס''מ"/>
    <w:basedOn w:val="2"/>
    <w:rsid w:val="002C1C65"/>
    <w:rPr>
      <w:rFonts w:eastAsia="Times New Roman"/>
    </w:rPr>
  </w:style>
  <w:style w:type="paragraph" w:styleId="af">
    <w:name w:val="List Paragraph"/>
    <w:basedOn w:val="a"/>
    <w:uiPriority w:val="34"/>
    <w:qFormat/>
    <w:rsid w:val="002C1C65"/>
    <w:pPr>
      <w:widowControl/>
      <w:spacing w:line="259" w:lineRule="auto"/>
    </w:pPr>
    <w:rPr>
      <w:rFonts w:asciiTheme="minorHAnsi" w:hAnsiTheme="minorHAnsi"/>
      <w:sz w:val="22"/>
    </w:rPr>
  </w:style>
  <w:style w:type="table" w:styleId="af0">
    <w:name w:val="Table Grid"/>
    <w:basedOn w:val="a1"/>
    <w:rsid w:val="002C1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2C1C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2C1C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2C1C65"/>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2C1C65"/>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25A29CB36A16E48989D4D40273092E6" ma:contentTypeVersion="" ma:contentTypeDescription="צור מסמך חדש." ma:contentTypeScope="" ma:versionID="960836d9d79fe574671dad3ce2a7fd77">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A949C-A098-47B4-99A4-71E45DC66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4C25E7A-9B9F-443A-BF44-2922001F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212</Words>
  <Characters>1213</Characters>
  <Application>Microsoft Office Word</Application>
  <DocSecurity>0</DocSecurity>
  <Lines>10</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10</cp:revision>
  <cp:lastPrinted>2021-08-01T06:17:00Z</cp:lastPrinted>
  <dcterms:created xsi:type="dcterms:W3CDTF">2015-04-20T09:58:00Z</dcterms:created>
  <dcterms:modified xsi:type="dcterms:W3CDTF">2021-08-01T06:20:00Z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0x010100C25A29CB36A16E48989D4D40273092E6</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2161081</vt:r8>
  </property>
</Properties>
</file>