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36446FE2" w:rsidR="002C2E29" w:rsidRPr="00E635A2" w:rsidRDefault="004033D8" w:rsidP="00221E7B">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2160147</w:t>
      </w:r>
      <w:bookmarkEnd w:id="0"/>
    </w:p>
    <w:p w14:paraId="7F6961A2" w14:textId="53D639AE" w:rsidR="00E13C27" w:rsidRPr="00DB7060" w:rsidRDefault="00E13C27" w:rsidP="00221E7B">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221E7B">
      <w:pPr>
        <w:rPr>
          <w:b/>
          <w:bCs/>
          <w:sz w:val="26"/>
          <w:szCs w:val="26"/>
          <w:rtl/>
        </w:rPr>
      </w:pPr>
    </w:p>
    <w:p w14:paraId="7F6961A6" w14:textId="77777777" w:rsidR="00E13C27" w:rsidRDefault="008F6665" w:rsidP="00221E7B">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גלית דיסטל אטבריאן</w:t>
      </w:r>
      <w:r>
        <w:br/>
      </w:r>
      <w:r>
        <w:rPr>
          <w:rFonts w:hint="cs"/>
          <w:b/>
          <w:bCs/>
          <w:rtl/>
        </w:rPr>
        <w:t xml:space="preserve"> </w:t>
      </w:r>
      <w:r>
        <w:tab/>
      </w:r>
      <w:r>
        <w:tab/>
      </w:r>
      <w:r>
        <w:tab/>
      </w:r>
      <w:r>
        <w:tab/>
      </w:r>
      <w:r>
        <w:rPr>
          <w:rFonts w:hint="cs"/>
          <w:b/>
          <w:bCs/>
          <w:rtl/>
        </w:rPr>
        <w:t>עמיחי שיקלי</w:t>
      </w:r>
      <w:r>
        <w:br/>
      </w:r>
      <w:r>
        <w:rPr>
          <w:rFonts w:hint="cs"/>
          <w:b/>
          <w:bCs/>
          <w:rtl/>
        </w:rPr>
        <w:t xml:space="preserve"> </w:t>
      </w:r>
      <w:r>
        <w:tab/>
      </w:r>
      <w:r>
        <w:tab/>
      </w:r>
      <w:r>
        <w:tab/>
      </w:r>
      <w:r>
        <w:tab/>
      </w:r>
      <w:r>
        <w:rPr>
          <w:rFonts w:hint="cs"/>
          <w:b/>
          <w:bCs/>
          <w:rtl/>
        </w:rPr>
        <w:t>חוה אתי עטייה</w:t>
      </w:r>
      <w:r>
        <w:br/>
      </w:r>
      <w:r>
        <w:rPr>
          <w:rFonts w:hint="cs"/>
          <w:b/>
          <w:bCs/>
          <w:rtl/>
        </w:rPr>
        <w:t xml:space="preserve"> </w:t>
      </w:r>
      <w:r>
        <w:tab/>
      </w:r>
      <w:r>
        <w:tab/>
      </w:r>
      <w:r>
        <w:tab/>
      </w:r>
      <w:r>
        <w:tab/>
      </w:r>
      <w:r>
        <w:rPr>
          <w:rFonts w:hint="cs"/>
          <w:b/>
          <w:bCs/>
          <w:rtl/>
        </w:rPr>
        <w:t>שלמה קרעי</w:t>
      </w:r>
      <w:r>
        <w:br/>
      </w:r>
      <w:r>
        <w:rPr>
          <w:rFonts w:hint="cs"/>
          <w:b/>
          <w:bCs/>
          <w:rtl/>
        </w:rPr>
        <w:t xml:space="preserve"> </w:t>
      </w:r>
      <w:r>
        <w:tab/>
      </w:r>
      <w:r>
        <w:tab/>
      </w:r>
      <w:r>
        <w:tab/>
      </w:r>
      <w:r>
        <w:tab/>
      </w:r>
      <w:r>
        <w:rPr>
          <w:rFonts w:hint="cs"/>
          <w:b/>
          <w:bCs/>
          <w:rtl/>
        </w:rPr>
        <w:t>קטי קטרין שטרית</w:t>
      </w:r>
      <w:r>
        <w:br/>
      </w:r>
      <w:r>
        <w:rPr>
          <w:rFonts w:hint="cs"/>
          <w:b/>
          <w:bCs/>
          <w:rtl/>
        </w:rPr>
        <w:t xml:space="preserve"> </w:t>
      </w:r>
      <w:r>
        <w:tab/>
      </w:r>
      <w:r>
        <w:tab/>
      </w:r>
      <w:r>
        <w:tab/>
      </w:r>
      <w:r>
        <w:tab/>
      </w:r>
      <w:r>
        <w:rPr>
          <w:rFonts w:hint="cs"/>
          <w:b/>
          <w:bCs/>
          <w:rtl/>
        </w:rPr>
        <w:t>משה ארבל</w:t>
      </w:r>
      <w:bookmarkEnd w:id="3"/>
    </w:p>
    <w:p w14:paraId="34DB4103" w14:textId="77777777" w:rsidR="00904591" w:rsidRPr="00904591" w:rsidRDefault="00266D86" w:rsidP="00221E7B">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1D19199" w:rsidR="00E13C27" w:rsidRPr="00E06736" w:rsidRDefault="00904591" w:rsidP="003D6A24">
      <w:pPr>
        <w:pStyle w:val="David"/>
        <w:spacing w:line="240" w:lineRule="auto"/>
        <w:ind w:left="6424" w:firstLine="56"/>
        <w:rPr>
          <w:rtl/>
        </w:rPr>
      </w:pPr>
      <w:bookmarkStart w:id="4" w:name="Private_Number"/>
      <w:r>
        <w:rPr>
          <w:rFonts w:hint="cs"/>
          <w:rtl/>
        </w:rPr>
        <w:t>פ/2031/24</w:t>
      </w:r>
      <w:bookmarkEnd w:id="4"/>
    </w:p>
    <w:p w14:paraId="7F6961AD" w14:textId="06FBD682" w:rsidR="00E13C27" w:rsidRPr="00F67051" w:rsidRDefault="00A443CF" w:rsidP="003D6A24">
      <w:pPr>
        <w:pStyle w:val="HeadHatzaotHok"/>
        <w:rPr>
          <w:rtl/>
        </w:rPr>
      </w:pPr>
      <w:bookmarkStart w:id="5" w:name="LGS_Subject"/>
      <w:r>
        <w:rPr>
          <w:rFonts w:hint="cs"/>
          <w:rtl/>
        </w:rPr>
        <w:t>הצעת חוק השיפוט הצבאי (תיקון</w:t>
      </w:r>
      <w:r w:rsidR="003D6A24">
        <w:rPr>
          <w:rFonts w:hint="cs"/>
          <w:rtl/>
        </w:rPr>
        <w:t xml:space="preserve"> </w:t>
      </w:r>
      <w:r w:rsidR="003D6A24">
        <w:rPr>
          <w:rFonts w:hint="eastAsia"/>
          <w:rtl/>
        </w:rPr>
        <w:t>–</w:t>
      </w:r>
      <w:r w:rsidR="003D6A24">
        <w:rPr>
          <w:rFonts w:hint="cs"/>
          <w:rtl/>
        </w:rPr>
        <w:t xml:space="preserve"> </w:t>
      </w:r>
      <w:r>
        <w:rPr>
          <w:rFonts w:hint="cs"/>
          <w:rtl/>
        </w:rPr>
        <w:t>פקודת</w:t>
      </w:r>
      <w:r w:rsidR="00EC5AF3">
        <w:rPr>
          <w:rFonts w:hint="cs"/>
          <w:rtl/>
        </w:rPr>
        <w:t xml:space="preserve"> </w:t>
      </w:r>
      <w:r>
        <w:rPr>
          <w:rFonts w:hint="cs"/>
          <w:rtl/>
        </w:rPr>
        <w:t>מעצר), התשפ"א</w:t>
      </w:r>
      <w:r w:rsidR="00103D9D">
        <w:rPr>
          <w:rFonts w:hint="eastAsia"/>
          <w:rtl/>
        </w:rPr>
        <w:t>–</w:t>
      </w:r>
      <w:r w:rsidR="00103D9D">
        <w:rPr>
          <w:rFonts w:hint="cs"/>
          <w:rtl/>
        </w:rPr>
        <w:t>2021</w:t>
      </w:r>
      <w:bookmarkEnd w:id="5"/>
    </w:p>
    <w:tbl>
      <w:tblPr>
        <w:bidiVisual/>
        <w:tblW w:w="0" w:type="auto"/>
        <w:tblCellMar>
          <w:top w:w="57" w:type="dxa"/>
          <w:left w:w="0" w:type="dxa"/>
          <w:bottom w:w="57" w:type="dxa"/>
          <w:right w:w="0" w:type="dxa"/>
        </w:tblCellMar>
        <w:tblLook w:val="0000" w:firstRow="0" w:lastRow="0" w:firstColumn="0" w:lastColumn="0" w:noHBand="0" w:noVBand="0"/>
      </w:tblPr>
      <w:tblGrid>
        <w:gridCol w:w="1871"/>
        <w:gridCol w:w="624"/>
        <w:gridCol w:w="624"/>
        <w:gridCol w:w="6519"/>
      </w:tblGrid>
      <w:tr w:rsidR="00221E7B" w14:paraId="79718095" w14:textId="77777777" w:rsidTr="003D6A24">
        <w:trPr>
          <w:cantSplit/>
        </w:trPr>
        <w:tc>
          <w:tcPr>
            <w:tcW w:w="1871" w:type="dxa"/>
            <w:tcBorders>
              <w:top w:val="nil"/>
              <w:left w:val="nil"/>
              <w:bottom w:val="nil"/>
              <w:right w:val="nil"/>
            </w:tcBorders>
          </w:tcPr>
          <w:p w14:paraId="7B49CE21" w14:textId="2EBCC249" w:rsidR="00221E7B" w:rsidRPr="003D6A24" w:rsidRDefault="00221E7B" w:rsidP="003D6A24">
            <w:pPr>
              <w:pStyle w:val="TableSideHeading"/>
              <w:outlineLvl w:val="9"/>
            </w:pPr>
            <w:r w:rsidRPr="003D6A24">
              <w:rPr>
                <w:rtl/>
              </w:rPr>
              <w:t>תיקון סעיף 234</w:t>
            </w:r>
          </w:p>
        </w:tc>
        <w:tc>
          <w:tcPr>
            <w:tcW w:w="624" w:type="dxa"/>
            <w:tcBorders>
              <w:top w:val="nil"/>
              <w:left w:val="nil"/>
              <w:bottom w:val="nil"/>
              <w:right w:val="nil"/>
            </w:tcBorders>
          </w:tcPr>
          <w:p w14:paraId="5975CBF0" w14:textId="304931A4" w:rsidR="00221E7B" w:rsidRPr="003D6A24" w:rsidRDefault="00103D9D" w:rsidP="003D6A24">
            <w:pPr>
              <w:pStyle w:val="TableText"/>
              <w:jc w:val="both"/>
            </w:pPr>
            <w:r w:rsidRPr="003D6A24">
              <w:rPr>
                <w:rFonts w:hint="cs"/>
                <w:rtl/>
              </w:rPr>
              <w:t xml:space="preserve">1. </w:t>
            </w:r>
          </w:p>
        </w:tc>
        <w:tc>
          <w:tcPr>
            <w:tcW w:w="7143" w:type="dxa"/>
            <w:gridSpan w:val="2"/>
            <w:tcBorders>
              <w:top w:val="nil"/>
              <w:left w:val="nil"/>
              <w:bottom w:val="nil"/>
              <w:right w:val="nil"/>
            </w:tcBorders>
          </w:tcPr>
          <w:p w14:paraId="636D76C0" w14:textId="70AF769F" w:rsidR="00221E7B" w:rsidRDefault="00221E7B" w:rsidP="003D6A24">
            <w:pPr>
              <w:pStyle w:val="TableBlock"/>
            </w:pPr>
            <w:r w:rsidRPr="00497AE5">
              <w:rPr>
                <w:rtl/>
              </w:rPr>
              <w:t>בחוק השיפוט הצבאי, התשט"ו</w:t>
            </w:r>
            <w:r w:rsidR="00103D9D">
              <w:t>–</w:t>
            </w:r>
            <w:r w:rsidRPr="00497AE5">
              <w:rPr>
                <w:rtl/>
              </w:rPr>
              <w:t>1955</w:t>
            </w:r>
            <w:r w:rsidRPr="003D6A24">
              <w:rPr>
                <w:rStyle w:val="a6"/>
                <w:rFonts w:ascii="David" w:hAnsi="David"/>
                <w:sz w:val="26"/>
              </w:rPr>
              <w:footnoteReference w:id="2"/>
            </w:r>
            <w:r w:rsidRPr="00497AE5">
              <w:rPr>
                <w:rtl/>
              </w:rPr>
              <w:t xml:space="preserve"> (להלן </w:t>
            </w:r>
            <w:r w:rsidR="00780176">
              <w:rPr>
                <w:rFonts w:hint="cs"/>
                <w:rtl/>
              </w:rPr>
              <w:t>–</w:t>
            </w:r>
            <w:r w:rsidR="00780176" w:rsidRPr="00497AE5">
              <w:rPr>
                <w:rtl/>
              </w:rPr>
              <w:t xml:space="preserve"> </w:t>
            </w:r>
            <w:r w:rsidRPr="00497AE5">
              <w:rPr>
                <w:rtl/>
              </w:rPr>
              <w:t>החוק העיקרי), בסעיף 234(א), בכל מקום, במקום "ארבעים ושמונה" יבוא "עשרים וארבע" ובמקום "מארבעים ושמונה" יבוא "מעשרים וארבע".</w:t>
            </w:r>
          </w:p>
        </w:tc>
      </w:tr>
      <w:tr w:rsidR="00221E7B" w14:paraId="7B921283" w14:textId="77777777" w:rsidTr="003D6A24">
        <w:trPr>
          <w:cantSplit/>
        </w:trPr>
        <w:tc>
          <w:tcPr>
            <w:tcW w:w="1871" w:type="dxa"/>
            <w:tcBorders>
              <w:top w:val="nil"/>
              <w:left w:val="nil"/>
              <w:bottom w:val="nil"/>
              <w:right w:val="nil"/>
            </w:tcBorders>
          </w:tcPr>
          <w:p w14:paraId="125ED65B" w14:textId="6D289C4D" w:rsidR="00221E7B" w:rsidRPr="003D6A24" w:rsidRDefault="00221E7B" w:rsidP="003D6A24">
            <w:pPr>
              <w:pStyle w:val="TableSideHeading"/>
              <w:outlineLvl w:val="9"/>
            </w:pPr>
            <w:r w:rsidRPr="003D6A24">
              <w:rPr>
                <w:rtl/>
              </w:rPr>
              <w:t>תיקון סעיף 237א</w:t>
            </w:r>
          </w:p>
        </w:tc>
        <w:tc>
          <w:tcPr>
            <w:tcW w:w="624" w:type="dxa"/>
            <w:tcBorders>
              <w:top w:val="nil"/>
              <w:left w:val="nil"/>
              <w:bottom w:val="nil"/>
              <w:right w:val="nil"/>
            </w:tcBorders>
          </w:tcPr>
          <w:p w14:paraId="5B522F35" w14:textId="1666A441" w:rsidR="00221E7B" w:rsidRPr="003D6A24" w:rsidRDefault="00103D9D" w:rsidP="003D6A24">
            <w:pPr>
              <w:pStyle w:val="TableText"/>
              <w:jc w:val="both"/>
              <w:rPr>
                <w:rtl/>
              </w:rPr>
            </w:pPr>
            <w:r w:rsidRPr="003D6A24">
              <w:rPr>
                <w:rFonts w:hint="cs"/>
                <w:rtl/>
              </w:rPr>
              <w:t xml:space="preserve">2. </w:t>
            </w:r>
          </w:p>
        </w:tc>
        <w:tc>
          <w:tcPr>
            <w:tcW w:w="7143" w:type="dxa"/>
            <w:gridSpan w:val="2"/>
            <w:tcBorders>
              <w:top w:val="nil"/>
              <w:left w:val="nil"/>
              <w:bottom w:val="nil"/>
              <w:right w:val="nil"/>
            </w:tcBorders>
          </w:tcPr>
          <w:p w14:paraId="7AE9EF66" w14:textId="7AB81A11" w:rsidR="00221E7B" w:rsidRPr="00497AE5" w:rsidRDefault="00221E7B" w:rsidP="003D6A24">
            <w:pPr>
              <w:pStyle w:val="TableBlock"/>
              <w:rPr>
                <w:rtl/>
              </w:rPr>
            </w:pPr>
            <w:r w:rsidRPr="00497AE5">
              <w:rPr>
                <w:rtl/>
              </w:rPr>
              <w:t xml:space="preserve">בסעיף 237א לחוק העיקרי </w:t>
            </w:r>
            <w:r w:rsidR="00103D9D">
              <w:rPr>
                <w:rFonts w:hint="cs"/>
                <w:rtl/>
              </w:rPr>
              <w:t>–</w:t>
            </w:r>
          </w:p>
        </w:tc>
      </w:tr>
      <w:tr w:rsidR="00221E7B" w14:paraId="4D3BC3D7" w14:textId="77777777" w:rsidTr="003D6A24">
        <w:trPr>
          <w:cantSplit/>
        </w:trPr>
        <w:tc>
          <w:tcPr>
            <w:tcW w:w="1871" w:type="dxa"/>
            <w:tcBorders>
              <w:top w:val="nil"/>
              <w:left w:val="nil"/>
              <w:bottom w:val="nil"/>
              <w:right w:val="nil"/>
            </w:tcBorders>
          </w:tcPr>
          <w:p w14:paraId="2DDD328A" w14:textId="77777777" w:rsidR="00221E7B" w:rsidRPr="003D6A24" w:rsidRDefault="00221E7B" w:rsidP="003D6A24">
            <w:pPr>
              <w:pStyle w:val="TableSideHeading"/>
              <w:outlineLvl w:val="9"/>
            </w:pPr>
          </w:p>
        </w:tc>
        <w:tc>
          <w:tcPr>
            <w:tcW w:w="624" w:type="dxa"/>
            <w:tcBorders>
              <w:top w:val="nil"/>
              <w:left w:val="nil"/>
              <w:bottom w:val="nil"/>
              <w:right w:val="nil"/>
            </w:tcBorders>
          </w:tcPr>
          <w:p w14:paraId="19E890DB" w14:textId="77777777" w:rsidR="00221E7B" w:rsidRPr="003D6A24" w:rsidRDefault="00221E7B" w:rsidP="003D6A24">
            <w:pPr>
              <w:pStyle w:val="TableText"/>
              <w:jc w:val="both"/>
            </w:pPr>
          </w:p>
        </w:tc>
        <w:tc>
          <w:tcPr>
            <w:tcW w:w="624" w:type="dxa"/>
            <w:tcBorders>
              <w:top w:val="nil"/>
              <w:left w:val="nil"/>
              <w:bottom w:val="nil"/>
              <w:right w:val="nil"/>
            </w:tcBorders>
          </w:tcPr>
          <w:p w14:paraId="0A09E84B" w14:textId="77777777" w:rsidR="00221E7B" w:rsidRPr="003D6A24" w:rsidRDefault="00221E7B" w:rsidP="003D6A24">
            <w:pPr>
              <w:pStyle w:val="TableText"/>
              <w:jc w:val="both"/>
            </w:pPr>
            <w:r w:rsidRPr="003D6A24">
              <w:rPr>
                <w:rtl/>
              </w:rPr>
              <w:t>(1)</w:t>
            </w:r>
          </w:p>
        </w:tc>
        <w:tc>
          <w:tcPr>
            <w:tcW w:w="6519" w:type="dxa"/>
            <w:tcBorders>
              <w:top w:val="nil"/>
              <w:left w:val="nil"/>
              <w:bottom w:val="nil"/>
              <w:right w:val="nil"/>
            </w:tcBorders>
          </w:tcPr>
          <w:p w14:paraId="39214AB5" w14:textId="77777777" w:rsidR="00221E7B" w:rsidRPr="00497AE5" w:rsidRDefault="00221E7B" w:rsidP="003D6A24">
            <w:pPr>
              <w:pStyle w:val="TableBlock"/>
            </w:pPr>
            <w:r w:rsidRPr="00497AE5">
              <w:rPr>
                <w:rtl/>
              </w:rPr>
              <w:t>בסעיף קטן (א), בכל מקום, במקום "48" יבוא "24";</w:t>
            </w:r>
          </w:p>
        </w:tc>
      </w:tr>
      <w:tr w:rsidR="00221E7B" w14:paraId="05BBE742" w14:textId="77777777" w:rsidTr="003D6A24">
        <w:trPr>
          <w:cantSplit/>
        </w:trPr>
        <w:tc>
          <w:tcPr>
            <w:tcW w:w="1871" w:type="dxa"/>
            <w:tcBorders>
              <w:top w:val="nil"/>
              <w:left w:val="nil"/>
              <w:bottom w:val="nil"/>
              <w:right w:val="nil"/>
            </w:tcBorders>
          </w:tcPr>
          <w:p w14:paraId="08D4F0E4" w14:textId="77777777" w:rsidR="00221E7B" w:rsidRPr="003D6A24" w:rsidRDefault="00221E7B" w:rsidP="003D6A24">
            <w:pPr>
              <w:pStyle w:val="TableSideHeading"/>
              <w:outlineLvl w:val="9"/>
            </w:pPr>
          </w:p>
        </w:tc>
        <w:tc>
          <w:tcPr>
            <w:tcW w:w="624" w:type="dxa"/>
            <w:tcBorders>
              <w:top w:val="nil"/>
              <w:left w:val="nil"/>
              <w:bottom w:val="nil"/>
              <w:right w:val="nil"/>
            </w:tcBorders>
          </w:tcPr>
          <w:p w14:paraId="6C2A0FE0" w14:textId="77777777" w:rsidR="00221E7B" w:rsidRPr="003D6A24" w:rsidRDefault="00221E7B" w:rsidP="003D6A24">
            <w:pPr>
              <w:pStyle w:val="TableText"/>
              <w:jc w:val="both"/>
            </w:pPr>
          </w:p>
        </w:tc>
        <w:tc>
          <w:tcPr>
            <w:tcW w:w="624" w:type="dxa"/>
            <w:tcBorders>
              <w:top w:val="nil"/>
              <w:left w:val="nil"/>
              <w:bottom w:val="nil"/>
              <w:right w:val="nil"/>
            </w:tcBorders>
          </w:tcPr>
          <w:p w14:paraId="24AFF54B" w14:textId="77777777" w:rsidR="00221E7B" w:rsidRPr="003D6A24" w:rsidRDefault="00221E7B" w:rsidP="003D6A24">
            <w:pPr>
              <w:pStyle w:val="TableText"/>
              <w:jc w:val="both"/>
            </w:pPr>
            <w:r w:rsidRPr="003D6A24">
              <w:rPr>
                <w:rtl/>
              </w:rPr>
              <w:t>(2)</w:t>
            </w:r>
          </w:p>
        </w:tc>
        <w:tc>
          <w:tcPr>
            <w:tcW w:w="6519" w:type="dxa"/>
            <w:tcBorders>
              <w:top w:val="nil"/>
              <w:left w:val="nil"/>
              <w:bottom w:val="nil"/>
              <w:right w:val="nil"/>
            </w:tcBorders>
          </w:tcPr>
          <w:p w14:paraId="0D620DE6" w14:textId="0982079C" w:rsidR="00011A54" w:rsidRPr="00497AE5" w:rsidRDefault="00011A54" w:rsidP="003D6A24">
            <w:pPr>
              <w:pStyle w:val="TableBlock"/>
            </w:pPr>
            <w:r>
              <w:rPr>
                <w:rtl/>
              </w:rPr>
              <w:t>ב</w:t>
            </w:r>
            <w:r>
              <w:rPr>
                <w:rFonts w:hint="cs"/>
                <w:rtl/>
              </w:rPr>
              <w:t xml:space="preserve">סעיף קטן </w:t>
            </w:r>
            <w:r>
              <w:rPr>
                <w:rtl/>
              </w:rPr>
              <w:t>(</w:t>
            </w:r>
            <w:r>
              <w:rPr>
                <w:rFonts w:hint="cs"/>
                <w:rtl/>
              </w:rPr>
              <w:t>ב</w:t>
            </w:r>
            <w:r>
              <w:rPr>
                <w:rtl/>
              </w:rPr>
              <w:t xml:space="preserve">), </w:t>
            </w:r>
            <w:r>
              <w:rPr>
                <w:rFonts w:hint="cs"/>
                <w:rtl/>
              </w:rPr>
              <w:t xml:space="preserve">המילים </w:t>
            </w:r>
            <w:r w:rsidRPr="00011A54">
              <w:rPr>
                <w:rtl/>
              </w:rPr>
              <w:t xml:space="preserve">"ולא יאוחר </w:t>
            </w:r>
            <w:r>
              <w:rPr>
                <w:rtl/>
              </w:rPr>
              <w:t xml:space="preserve">מתום עשרים וארבע שעות מעת שנעצר" – </w:t>
            </w:r>
            <w:r>
              <w:rPr>
                <w:rFonts w:hint="cs"/>
                <w:rtl/>
              </w:rPr>
              <w:t>יימחקו.</w:t>
            </w:r>
          </w:p>
        </w:tc>
      </w:tr>
    </w:tbl>
    <w:p w14:paraId="29707AC1" w14:textId="32914EDD" w:rsidR="00103D9D" w:rsidRPr="00497AE5" w:rsidRDefault="00103D9D" w:rsidP="00497AE5">
      <w:pPr>
        <w:pStyle w:val="HeadDivreiHesber"/>
        <w:rPr>
          <w:rtl/>
        </w:rPr>
      </w:pPr>
      <w:r w:rsidRPr="00497AE5">
        <w:rPr>
          <w:rtl/>
        </w:rPr>
        <w:t>דברי הסבר</w:t>
      </w:r>
    </w:p>
    <w:p w14:paraId="56612D63" w14:textId="77777777" w:rsidR="00221E7B" w:rsidRPr="003D6A24" w:rsidRDefault="00221E7B" w:rsidP="003D6A24">
      <w:pPr>
        <w:pStyle w:val="Hesber"/>
        <w:rPr>
          <w:rtl/>
        </w:rPr>
      </w:pPr>
      <w:r w:rsidRPr="003D6A24">
        <w:rPr>
          <w:rtl/>
        </w:rPr>
        <w:t>מטרתה של הצעת-חוק זאת היא לקצר את משכה של פקודת-מעצר שיכול להורות עליה קצין שיפוט או שוטר צבאי מ-48 ל-24 שעות.</w:t>
      </w:r>
    </w:p>
    <w:p w14:paraId="47F0006E" w14:textId="77777777" w:rsidR="003D6A24" w:rsidRDefault="00221E7B" w:rsidP="003D6A24">
      <w:pPr>
        <w:pStyle w:val="Hesber"/>
        <w:rPr>
          <w:rtl/>
        </w:rPr>
      </w:pPr>
      <w:r w:rsidRPr="003D6A24">
        <w:rPr>
          <w:rtl/>
        </w:rPr>
        <w:t xml:space="preserve">כך כתב כבוד השופט יצחק זמיר בבג"ץ 6055/95 שגיא צמח נ' שר הביטחון (פ"ד נג(5) </w:t>
      </w:r>
      <w:r w:rsidRPr="003D6A24">
        <w:rPr>
          <w:rtl/>
        </w:rPr>
        <w:br/>
        <w:t>241):</w:t>
      </w:r>
    </w:p>
    <w:p w14:paraId="67FE86C3" w14:textId="7A8B2F05" w:rsidR="00221E7B" w:rsidRPr="003D6A24" w:rsidRDefault="00221E7B" w:rsidP="003D6A24">
      <w:pPr>
        <w:pStyle w:val="Hesber"/>
        <w:rPr>
          <w:rtl/>
        </w:rPr>
      </w:pPr>
      <w:r w:rsidRPr="003D6A24">
        <w:rPr>
          <w:rtl/>
        </w:rPr>
        <w:t>"החירות האישית היא, מכוח סעיף 5 לחוק-יסוד: כבוד האדם וחירותו, זכות חוקתית. יתירה מזאת. החירות האישית היא זכות חוקתית מן המדרגה הראשונה, והיא גם, מבחינה מעשית, תנאי למימוש זכויות יסוד אחרות. הפגיעה בחירות האישית, כמו פגיעת אבן במים, יוצרת מעגל מתרחב של פגיעה בזכויות יסוד נוספות: לא רק בחופש התנועה, אלא גם בחופש הביטוי, בצנעת הפרט, בזכות הקנין ובזכויות נוספות.</w:t>
      </w:r>
    </w:p>
    <w:p w14:paraId="2A84C507" w14:textId="77777777" w:rsidR="00221E7B" w:rsidRPr="003D6A24" w:rsidRDefault="00221E7B" w:rsidP="003D6A24">
      <w:pPr>
        <w:pStyle w:val="Hesber"/>
        <w:rPr>
          <w:rtl/>
        </w:rPr>
      </w:pPr>
      <w:r w:rsidRPr="003D6A24">
        <w:rPr>
          <w:rtl/>
        </w:rPr>
        <w:lastRenderedPageBreak/>
        <w:t xml:space="preserve">כפי שנאמר בסעיף 1 לחוק-יסוד: כבוד האדם וחירותו, "זכויות היסוד של האדם בישראל מושתתות על ההכרה בערך האדם, בקדושת חייו ובהיותו בן-חורין". רק בן-חורין יכול לממש באופן מלא וראוי את זכויות היסוד שלו. והחירות האישית, יותר מכל זכות אחרת, היא העושה את האדם בן-חורין. משום כך שלילת החירות האישית היא פגיעה קשה במיוחד. אכן, שלילת החירות האישית, בדרך של מאסר, היא העונש הכבד ביותר שמדינה מתוקנת מטילה על עבריינים. </w:t>
      </w:r>
    </w:p>
    <w:p w14:paraId="5E164926" w14:textId="77777777" w:rsidR="00221E7B" w:rsidRPr="003D6A24" w:rsidRDefault="00221E7B" w:rsidP="003D6A24">
      <w:pPr>
        <w:pStyle w:val="Hesber"/>
        <w:rPr>
          <w:rtl/>
        </w:rPr>
      </w:pPr>
      <w:r w:rsidRPr="003D6A24">
        <w:rPr>
          <w:rtl/>
        </w:rPr>
        <w:t>מעצר בידי רשות מינהלית, כגון שוטר, הוא הצורה הקשה ביותר של פגיעה בחירות האישית. מעצר כזה, להבדיל ממאסר, אינו מוטל על ידי בית המשפט, לאחר הליך שיפוטי, כעונש על ביצוע עבירה. הוא מוטל על ידי רשות מינהלית, על אדם שהוא עדיין בחזקת חף מפשע, על יסוד חשד בלבד.</w:t>
      </w:r>
    </w:p>
    <w:p w14:paraId="7D6C6A27" w14:textId="77777777" w:rsidR="00221E7B" w:rsidRPr="003D6A24" w:rsidRDefault="00221E7B" w:rsidP="003D6A24">
      <w:pPr>
        <w:pStyle w:val="Hesber"/>
        <w:rPr>
          <w:rtl/>
        </w:rPr>
      </w:pPr>
      <w:r w:rsidRPr="003D6A24">
        <w:rPr>
          <w:rtl/>
        </w:rPr>
        <w:t xml:space="preserve">מבחינה עקרונית, רמת ההגנה על זכות יסוד צריכה לעמוד ביחס ישר לדרגת החשיבות של הזכות ולעוצמת הפגיעה בזכות. בהתאם לכך, יכול להיות הבדל, לדוגמה, בין רמת ההגנה על החירות האישית לבין רמת ההגנה על זכות הקנין, כשם שיכול להיות הבדל ברמת ההגנה בין מקרה של שלילה מוחלטת של החירות לבין מקרה של פגיעה מוגבלת בחירות. </w:t>
      </w:r>
    </w:p>
    <w:p w14:paraId="5470C232" w14:textId="77777777" w:rsidR="00221E7B" w:rsidRPr="003D6A24" w:rsidRDefault="00221E7B" w:rsidP="003D6A24">
      <w:pPr>
        <w:pStyle w:val="Hesber"/>
        <w:rPr>
          <w:rtl/>
        </w:rPr>
      </w:pPr>
      <w:r w:rsidRPr="003D6A24">
        <w:rPr>
          <w:rtl/>
        </w:rPr>
        <w:t>המסקנה היא, שהחירות האישית, בהיותה זכות חוקתית בעלת חשיבות מיוחדת, ראויה להגנה מיוחדת מפני פגיעה בדרך של מעצר בידי רשות מינהלית. כזאת היא הפגיעה הנגרמת לחייל הנעצר בידי שוטר צבאי, מכוח סעיף 237א לחוק השיפוט הצבאי.</w:t>
      </w:r>
    </w:p>
    <w:p w14:paraId="41A4D221" w14:textId="77777777" w:rsidR="00221E7B" w:rsidRPr="003D6A24" w:rsidRDefault="00221E7B" w:rsidP="003D6A24">
      <w:pPr>
        <w:pStyle w:val="Hesber"/>
        <w:rPr>
          <w:rtl/>
        </w:rPr>
      </w:pPr>
      <w:r w:rsidRPr="003D6A24">
        <w:rPr>
          <w:rtl/>
        </w:rPr>
        <w:t>בגרמניה חוק המשמעת הצבאית משנת 1972 מחייב (בסעיף 17) לשחרר חייל שנעצר בגין עבירת משמעת לא יאוחר מאשר בסוף היום שלאחר יום מעצרו, אלא אם שופט הוציא נגדו צו מעצר, ובמעצר בגין עבירה פלילית אין הבדל בתקופת המעצר בין חייל לבין מי שאינו חייל.</w:t>
      </w:r>
    </w:p>
    <w:p w14:paraId="7AEDA68F" w14:textId="77777777" w:rsidR="00221E7B" w:rsidRPr="003D6A24" w:rsidRDefault="00221E7B" w:rsidP="003D6A24">
      <w:pPr>
        <w:pStyle w:val="Hesber"/>
        <w:rPr>
          <w:rtl/>
        </w:rPr>
      </w:pPr>
      <w:r w:rsidRPr="003D6A24">
        <w:rPr>
          <w:rtl/>
        </w:rPr>
        <w:t>ואילו המלומד פרופ' עמנואל גרוס כתב במאמרו "היבטים חוקתיים של דיני המעצר בצבא", שפורסם במשפט וממשל ה(ג) 437, בעמ' 459:</w:t>
      </w:r>
    </w:p>
    <w:p w14:paraId="6148215E" w14:textId="70ADD8DF" w:rsidR="00221E7B" w:rsidRPr="003D6A24" w:rsidRDefault="00221E7B" w:rsidP="003D6A24">
      <w:pPr>
        <w:pStyle w:val="Hesber"/>
        <w:rPr>
          <w:rtl/>
        </w:rPr>
      </w:pPr>
      <w:r w:rsidRPr="003D6A24">
        <w:rPr>
          <w:rtl/>
        </w:rPr>
        <w:t>"מדינת ישראל היא מדינה קטנה מבחינה גיאוגרפית ולפיכך אין, וגם לא יכולה להיות, כל בעיה לוגיסטית, הנובעת כביכול מאופי השירות הצבאי, שבגינה אי אפשר להביא את החייל מוקדם יותר בפני שופט. יתרה מזאת: אין להלום ג</w:t>
      </w:r>
      <w:r w:rsidR="00815F30" w:rsidRPr="003D6A24">
        <w:rPr>
          <w:rFonts w:hint="cs"/>
          <w:rtl/>
        </w:rPr>
        <w:t>ם</w:t>
      </w:r>
      <w:r w:rsidRPr="003D6A24">
        <w:rPr>
          <w:rtl/>
        </w:rPr>
        <w:t xml:space="preserve"> כל נימוק אחר, כגון הנימוק התולה את עצמו בעומס המוטל כביכול על מערכת השפיטה הצבאית, אשר אינה ערוכה כיום לטפל במספר הצפוי של בקשות המעצר. לדעתי, אין להרשות הארכת משך מעצר של חייל או אזרח בלא צו שיפוטי רק משום שהמערכת המשפטית אינה ערוכה לטפל בכך כיאות".</w:t>
      </w:r>
    </w:p>
    <w:p w14:paraId="3226D5B5" w14:textId="04BDAA9A" w:rsidR="00221E7B" w:rsidRPr="003D6A24" w:rsidRDefault="00221E7B" w:rsidP="003D6A24">
      <w:pPr>
        <w:pStyle w:val="Hesber"/>
        <w:rPr>
          <w:rtl/>
        </w:rPr>
      </w:pPr>
      <w:r w:rsidRPr="003D6A24">
        <w:rPr>
          <w:rtl/>
        </w:rPr>
        <w:t>הצעת</w:t>
      </w:r>
      <w:r w:rsidR="00506061" w:rsidRPr="003D6A24">
        <w:rPr>
          <w:rFonts w:hint="cs"/>
          <w:rtl/>
        </w:rPr>
        <w:t xml:space="preserve"> </w:t>
      </w:r>
      <w:r w:rsidRPr="003D6A24">
        <w:rPr>
          <w:rtl/>
        </w:rPr>
        <w:t xml:space="preserve">חוק </w:t>
      </w:r>
      <w:r w:rsidR="00D94A02" w:rsidRPr="003D6A24">
        <w:rPr>
          <w:rFonts w:hint="cs"/>
          <w:rtl/>
        </w:rPr>
        <w:t>דומה בעיקרה</w:t>
      </w:r>
      <w:r w:rsidR="00D94A02" w:rsidRPr="003D6A24">
        <w:rPr>
          <w:rtl/>
        </w:rPr>
        <w:t xml:space="preserve"> </w:t>
      </w:r>
      <w:r w:rsidR="00506061" w:rsidRPr="003D6A24">
        <w:rPr>
          <w:rFonts w:hint="cs"/>
          <w:rtl/>
        </w:rPr>
        <w:t>הונחה על שולחן הכנסת השש</w:t>
      </w:r>
      <w:r w:rsidR="003D6A24">
        <w:rPr>
          <w:rFonts w:hint="cs"/>
          <w:rtl/>
        </w:rPr>
        <w:t>-</w:t>
      </w:r>
      <w:bookmarkStart w:id="6" w:name="_GoBack"/>
      <w:bookmarkEnd w:id="6"/>
      <w:r w:rsidR="00506061" w:rsidRPr="003D6A24">
        <w:rPr>
          <w:rFonts w:hint="cs"/>
          <w:rtl/>
        </w:rPr>
        <w:t xml:space="preserve">עשרה על ידי חברת הכנסת </w:t>
      </w:r>
      <w:r w:rsidRPr="003D6A24">
        <w:rPr>
          <w:rtl/>
        </w:rPr>
        <w:t>נעמי בלומנטל (פ/3193).</w:t>
      </w:r>
    </w:p>
    <w:p w14:paraId="7F6961CB" w14:textId="77777777" w:rsidR="00E13C27" w:rsidRDefault="00E13C27" w:rsidP="00221E7B">
      <w:pPr>
        <w:pStyle w:val="HeadDivreiHesber"/>
        <w:spacing w:before="0" w:after="0"/>
        <w:rPr>
          <w:rtl/>
        </w:rPr>
      </w:pPr>
    </w:p>
    <w:p w14:paraId="1DFE84EF" w14:textId="77777777" w:rsidR="00A51A18" w:rsidRDefault="003D6A24">
      <w:pPr>
        <w:jc w:val="left"/>
      </w:pPr>
      <w:bookmarkStart w:id="7" w:name="selectedDocDateB"/>
      <w:bookmarkEnd w:id="7"/>
      <w:r>
        <w:rPr>
          <w:rFonts w:eastAsia="David" w:hint="cs"/>
          <w:sz w:val="26"/>
          <w:szCs w:val="26"/>
          <w:rtl/>
        </w:rPr>
        <w:t>--------------------------------</w:t>
      </w:r>
    </w:p>
    <w:p w14:paraId="483E8BEE" w14:textId="77777777" w:rsidR="00A51A18" w:rsidRDefault="003D6A24">
      <w:pPr>
        <w:jc w:val="left"/>
      </w:pPr>
      <w:r>
        <w:rPr>
          <w:rFonts w:eastAsia="David" w:hint="cs"/>
          <w:sz w:val="26"/>
          <w:szCs w:val="26"/>
          <w:rtl/>
        </w:rPr>
        <w:t>הוגשה ליו"ר הכנסת והסגנים</w:t>
      </w:r>
    </w:p>
    <w:p w14:paraId="228B11C3" w14:textId="77777777" w:rsidR="00A51A18" w:rsidRDefault="003D6A24">
      <w:pPr>
        <w:jc w:val="left"/>
      </w:pPr>
      <w:r>
        <w:rPr>
          <w:rFonts w:eastAsia="David" w:hint="cs"/>
          <w:sz w:val="26"/>
          <w:szCs w:val="26"/>
          <w:rtl/>
        </w:rPr>
        <w:t>והונחה על שולחן הכנסת ביום</w:t>
      </w:r>
    </w:p>
    <w:p w14:paraId="4C3539AF" w14:textId="77777777" w:rsidR="00A51A18" w:rsidRDefault="003D6A24">
      <w:pPr>
        <w:jc w:val="left"/>
      </w:pPr>
      <w:r>
        <w:rPr>
          <w:rFonts w:eastAsia="David" w:hint="cs"/>
          <w:sz w:val="26"/>
          <w:szCs w:val="26"/>
          <w:rtl/>
        </w:rPr>
        <w:t xml:space="preserve">כ"ד באב התשפ"א (02.08.2021) </w:t>
      </w:r>
    </w:p>
    <w:p w14:paraId="3BFAC258" w14:textId="77777777" w:rsidR="00A51A18" w:rsidRDefault="00A51A18">
      <w:pPr>
        <w:spacing w:line="276" w:lineRule="auto"/>
        <w:jc w:val="left"/>
      </w:pPr>
    </w:p>
    <w:sectPr w:rsidR="00A51A18" w:rsidSect="003D6A24">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3D6A24">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3D6A24">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2734F71B" w14:textId="77777777" w:rsidR="00221E7B" w:rsidRDefault="00221E7B" w:rsidP="00221E7B">
      <w:pPr>
        <w:pStyle w:val="a4"/>
      </w:pPr>
      <w:r>
        <w:rPr>
          <w:rStyle w:val="a6"/>
        </w:rPr>
        <w:footnoteRef/>
      </w:r>
      <w:r>
        <w:t xml:space="preserve"> </w:t>
      </w:r>
      <w:r>
        <w:rPr>
          <w:rtl/>
        </w:rPr>
        <w:t>ס"ח התשט"ו, עמ' 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1A54"/>
    <w:rsid w:val="00015B27"/>
    <w:rsid w:val="00063A3E"/>
    <w:rsid w:val="00072CAC"/>
    <w:rsid w:val="0007681A"/>
    <w:rsid w:val="000A542E"/>
    <w:rsid w:val="00102B6B"/>
    <w:rsid w:val="00103D9D"/>
    <w:rsid w:val="001052D4"/>
    <w:rsid w:val="0010644B"/>
    <w:rsid w:val="001207F8"/>
    <w:rsid w:val="00121924"/>
    <w:rsid w:val="00123C0B"/>
    <w:rsid w:val="001279A8"/>
    <w:rsid w:val="0014195F"/>
    <w:rsid w:val="0014540C"/>
    <w:rsid w:val="00152609"/>
    <w:rsid w:val="00153E1B"/>
    <w:rsid w:val="001A0623"/>
    <w:rsid w:val="001C23B0"/>
    <w:rsid w:val="001D7AAF"/>
    <w:rsid w:val="00203A7F"/>
    <w:rsid w:val="0021633A"/>
    <w:rsid w:val="002200A1"/>
    <w:rsid w:val="00221E7B"/>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D3F72"/>
    <w:rsid w:val="002F1D80"/>
    <w:rsid w:val="003232A2"/>
    <w:rsid w:val="00325C14"/>
    <w:rsid w:val="0036422C"/>
    <w:rsid w:val="003710F6"/>
    <w:rsid w:val="00386E88"/>
    <w:rsid w:val="00396585"/>
    <w:rsid w:val="003D6A24"/>
    <w:rsid w:val="003D6E38"/>
    <w:rsid w:val="003D74A0"/>
    <w:rsid w:val="004033D8"/>
    <w:rsid w:val="004073F0"/>
    <w:rsid w:val="00412A7D"/>
    <w:rsid w:val="00416B4D"/>
    <w:rsid w:val="00417CFC"/>
    <w:rsid w:val="00497AE5"/>
    <w:rsid w:val="004A06DC"/>
    <w:rsid w:val="004B24ED"/>
    <w:rsid w:val="004B6625"/>
    <w:rsid w:val="004D2D82"/>
    <w:rsid w:val="004D3876"/>
    <w:rsid w:val="004E4552"/>
    <w:rsid w:val="004E6CDF"/>
    <w:rsid w:val="00506061"/>
    <w:rsid w:val="00553C9D"/>
    <w:rsid w:val="00562A66"/>
    <w:rsid w:val="005B064E"/>
    <w:rsid w:val="005D51AE"/>
    <w:rsid w:val="0062183F"/>
    <w:rsid w:val="0062674B"/>
    <w:rsid w:val="006363B2"/>
    <w:rsid w:val="00644940"/>
    <w:rsid w:val="006818A9"/>
    <w:rsid w:val="006A2D81"/>
    <w:rsid w:val="006C1D0D"/>
    <w:rsid w:val="0070601E"/>
    <w:rsid w:val="00712C72"/>
    <w:rsid w:val="00735FE9"/>
    <w:rsid w:val="00763CAA"/>
    <w:rsid w:val="00765F66"/>
    <w:rsid w:val="00780176"/>
    <w:rsid w:val="0078664F"/>
    <w:rsid w:val="007A27CE"/>
    <w:rsid w:val="007C3FA6"/>
    <w:rsid w:val="007D585A"/>
    <w:rsid w:val="007D5A12"/>
    <w:rsid w:val="007E59F9"/>
    <w:rsid w:val="00810BCD"/>
    <w:rsid w:val="00812C98"/>
    <w:rsid w:val="00814D92"/>
    <w:rsid w:val="00815F30"/>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51A18"/>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94A02"/>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C5AF3"/>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52B22A1-5315-49A7-8A59-24C42003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A24"/>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3D6A24"/>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3D6A24"/>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3D6A24"/>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3D6A24"/>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3D6A24"/>
    <w:pPr>
      <w:spacing w:line="259" w:lineRule="auto"/>
      <w:outlineLvl w:val="4"/>
    </w:pPr>
    <w:rPr>
      <w:color w:val="000000" w:themeColor="text1"/>
    </w:rPr>
  </w:style>
  <w:style w:type="character" w:default="1" w:styleId="a0">
    <w:name w:val="Default Paragraph Font"/>
    <w:uiPriority w:val="1"/>
    <w:semiHidden/>
    <w:unhideWhenUsed/>
    <w:rsid w:val="003D6A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6A24"/>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D6A24"/>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3D6A24"/>
    <w:rPr>
      <w:sz w:val="36"/>
      <w:szCs w:val="52"/>
    </w:rPr>
  </w:style>
  <w:style w:type="paragraph" w:customStyle="1" w:styleId="Cover3-Haknesset">
    <w:name w:val="Cover 3-Haknesset"/>
    <w:basedOn w:val="Cover1-Reshumot"/>
    <w:rsid w:val="003D6A24"/>
    <w:rPr>
      <w:b/>
      <w:bCs/>
      <w:spacing w:val="60"/>
    </w:rPr>
  </w:style>
  <w:style w:type="paragraph" w:customStyle="1" w:styleId="Cover4-Date">
    <w:name w:val="Cover 4-Date"/>
    <w:basedOn w:val="a"/>
    <w:rsid w:val="003D6A24"/>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D6A24"/>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3D6A24"/>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3D6A24"/>
    <w:pPr>
      <w:spacing w:before="120" w:after="120"/>
    </w:pPr>
    <w:rPr>
      <w:color w:val="FF0000"/>
      <w:w w:val="80"/>
    </w:rPr>
  </w:style>
  <w:style w:type="paragraph" w:styleId="a3">
    <w:name w:val="endnote text"/>
    <w:basedOn w:val="a"/>
    <w:semiHidden/>
    <w:rsid w:val="003D6A24"/>
    <w:pPr>
      <w:ind w:left="227" w:hanging="227"/>
    </w:pPr>
    <w:rPr>
      <w:sz w:val="14"/>
      <w:szCs w:val="22"/>
    </w:rPr>
  </w:style>
  <w:style w:type="paragraph" w:customStyle="1" w:styleId="TableText">
    <w:name w:val="Table Text"/>
    <w:basedOn w:val="a"/>
    <w:rsid w:val="003D6A24"/>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3D6A24"/>
    <w:pPr>
      <w:outlineLvl w:val="2"/>
    </w:pPr>
  </w:style>
  <w:style w:type="paragraph" w:customStyle="1" w:styleId="TableBlock">
    <w:name w:val="Table Block"/>
    <w:basedOn w:val="TableText"/>
    <w:rsid w:val="003D6A24"/>
    <w:pPr>
      <w:jc w:val="both"/>
    </w:pPr>
  </w:style>
  <w:style w:type="paragraph" w:customStyle="1" w:styleId="TableHead">
    <w:name w:val="Table Head"/>
    <w:basedOn w:val="TableText"/>
    <w:rsid w:val="003D6A24"/>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D6A24"/>
    <w:pPr>
      <w:outlineLvl w:val="9"/>
    </w:pPr>
  </w:style>
  <w:style w:type="paragraph" w:customStyle="1" w:styleId="Hesber">
    <w:name w:val="Hesber"/>
    <w:basedOn w:val="a"/>
    <w:rsid w:val="003D6A24"/>
    <w:pPr>
      <w:snapToGrid w:val="0"/>
      <w:ind w:left="0" w:firstLine="340"/>
    </w:pPr>
    <w:rPr>
      <w:rFonts w:ascii="Arial" w:eastAsia="Arial Unicode MS" w:hAnsi="Arial"/>
      <w:snapToGrid w:val="0"/>
      <w:sz w:val="20"/>
      <w:szCs w:val="26"/>
    </w:rPr>
  </w:style>
  <w:style w:type="paragraph" w:styleId="a4">
    <w:name w:val="footnote text"/>
    <w:basedOn w:val="a"/>
    <w:link w:val="a5"/>
    <w:autoRedefine/>
    <w:rsid w:val="003D6A24"/>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rsid w:val="003D6A24"/>
    <w:rPr>
      <w:vertAlign w:val="superscript"/>
    </w:rPr>
  </w:style>
  <w:style w:type="paragraph" w:customStyle="1" w:styleId="HesberHeading">
    <w:name w:val="Hesber Heading"/>
    <w:basedOn w:val="Hesber"/>
    <w:rsid w:val="003D6A24"/>
    <w:pPr>
      <w:tabs>
        <w:tab w:val="left" w:pos="624"/>
        <w:tab w:val="left" w:pos="1247"/>
      </w:tabs>
    </w:pPr>
    <w:rPr>
      <w:b/>
      <w:bCs/>
    </w:rPr>
  </w:style>
  <w:style w:type="paragraph" w:customStyle="1" w:styleId="HesberWriters">
    <w:name w:val="Hesber Writers"/>
    <w:basedOn w:val="Hesber"/>
    <w:rsid w:val="003D6A24"/>
    <w:pPr>
      <w:spacing w:before="120" w:after="120"/>
      <w:ind w:left="1418"/>
      <w:jc w:val="right"/>
    </w:pPr>
    <w:rPr>
      <w:b/>
      <w:bCs/>
    </w:rPr>
  </w:style>
  <w:style w:type="paragraph" w:customStyle="1" w:styleId="Hesber1st">
    <w:name w:val="Hesber 1st"/>
    <w:basedOn w:val="Hesber"/>
    <w:rsid w:val="003D6A24"/>
    <w:pPr>
      <w:tabs>
        <w:tab w:val="left" w:pos="680"/>
        <w:tab w:val="left" w:pos="1020"/>
      </w:tabs>
      <w:ind w:firstLine="0"/>
    </w:pPr>
  </w:style>
  <w:style w:type="character" w:styleId="a7">
    <w:name w:val="endnote reference"/>
    <w:basedOn w:val="a0"/>
    <w:semiHidden/>
    <w:rsid w:val="003D6A24"/>
    <w:rPr>
      <w:vertAlign w:val="superscript"/>
    </w:rPr>
  </w:style>
  <w:style w:type="paragraph" w:customStyle="1" w:styleId="TableBlockOutdent">
    <w:name w:val="Table BlockOutdent"/>
    <w:basedOn w:val="TableBlock"/>
    <w:rsid w:val="003D6A24"/>
    <w:pPr>
      <w:ind w:left="624" w:hanging="624"/>
    </w:pPr>
  </w:style>
  <w:style w:type="paragraph" w:styleId="a8">
    <w:name w:val="header"/>
    <w:basedOn w:val="a"/>
    <w:rsid w:val="003D6A24"/>
    <w:pPr>
      <w:tabs>
        <w:tab w:val="center" w:pos="4153"/>
        <w:tab w:val="right" w:pos="8306"/>
      </w:tabs>
    </w:pPr>
  </w:style>
  <w:style w:type="paragraph" w:styleId="a9">
    <w:name w:val="footer"/>
    <w:basedOn w:val="a"/>
    <w:rsid w:val="003D6A24"/>
    <w:pPr>
      <w:tabs>
        <w:tab w:val="center" w:pos="4153"/>
        <w:tab w:val="right" w:pos="8306"/>
      </w:tabs>
    </w:pPr>
  </w:style>
  <w:style w:type="paragraph" w:customStyle="1" w:styleId="HeadDivreiHesber">
    <w:name w:val="Head DivreiHesber"/>
    <w:basedOn w:val="a"/>
    <w:rsid w:val="003D6A24"/>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3D6A24"/>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3D6A24"/>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221E7B"/>
    <w:rPr>
      <w:rFonts w:ascii="Arial" w:eastAsia="Arial Unicode MS" w:hAnsi="Arial" w:cs="David"/>
      <w:snapToGrid w:val="0"/>
      <w:sz w:val="14"/>
    </w:rPr>
  </w:style>
  <w:style w:type="paragraph" w:styleId="ae">
    <w:name w:val="Body Text"/>
    <w:basedOn w:val="a"/>
    <w:link w:val="af"/>
    <w:uiPriority w:val="99"/>
    <w:rsid w:val="00221E7B"/>
    <w:pPr>
      <w:widowControl/>
      <w:spacing w:line="240" w:lineRule="auto"/>
    </w:pPr>
    <w:rPr>
      <w:rFonts w:ascii="Times New Roman" w:eastAsia="Times New Roman" w:hAnsi="Times New Roman" w:cs="Times New Roman"/>
      <w:b/>
      <w:bCs/>
      <w:sz w:val="26"/>
      <w:szCs w:val="26"/>
      <w:lang w:eastAsia="he-IL"/>
    </w:rPr>
  </w:style>
  <w:style w:type="character" w:customStyle="1" w:styleId="af">
    <w:name w:val="גוף טקסט תו"/>
    <w:basedOn w:val="a0"/>
    <w:link w:val="ae"/>
    <w:uiPriority w:val="99"/>
    <w:rsid w:val="00221E7B"/>
    <w:rPr>
      <w:rFonts w:eastAsia="Times New Roman"/>
      <w:b/>
      <w:bCs/>
      <w:sz w:val="26"/>
      <w:szCs w:val="26"/>
      <w:lang w:eastAsia="he-IL"/>
    </w:rPr>
  </w:style>
  <w:style w:type="character" w:customStyle="1" w:styleId="10">
    <w:name w:val="כותרת 1 תו"/>
    <w:basedOn w:val="a0"/>
    <w:link w:val="1"/>
    <w:uiPriority w:val="9"/>
    <w:rsid w:val="003D6A24"/>
    <w:rPr>
      <w:rFonts w:asciiTheme="majorHAnsi" w:eastAsiaTheme="majorEastAsia" w:hAnsiTheme="majorHAnsi" w:cs="David"/>
      <w:bCs/>
      <w:sz w:val="32"/>
      <w:szCs w:val="36"/>
    </w:rPr>
  </w:style>
  <w:style w:type="character" w:customStyle="1" w:styleId="20">
    <w:name w:val="כותרת 2 תו"/>
    <w:basedOn w:val="a0"/>
    <w:link w:val="2"/>
    <w:rsid w:val="003D6A24"/>
    <w:rPr>
      <w:rFonts w:asciiTheme="majorHAnsi" w:eastAsiaTheme="majorEastAsia" w:hAnsiTheme="majorHAnsi" w:cs="David"/>
      <w:bCs/>
      <w:sz w:val="26"/>
      <w:szCs w:val="36"/>
      <w:u w:val="single"/>
    </w:rPr>
  </w:style>
  <w:style w:type="character" w:customStyle="1" w:styleId="30">
    <w:name w:val="כותרת 3 תו"/>
    <w:basedOn w:val="a0"/>
    <w:link w:val="3"/>
    <w:rsid w:val="003D6A24"/>
    <w:rPr>
      <w:rFonts w:asciiTheme="majorHAnsi" w:eastAsiaTheme="majorEastAsia" w:hAnsiTheme="majorHAnsi" w:cs="David"/>
      <w:sz w:val="24"/>
      <w:szCs w:val="28"/>
      <w:u w:val="double"/>
    </w:rPr>
  </w:style>
  <w:style w:type="character" w:customStyle="1" w:styleId="40">
    <w:name w:val="כותרת 4 תו"/>
    <w:basedOn w:val="a0"/>
    <w:link w:val="4"/>
    <w:uiPriority w:val="9"/>
    <w:rsid w:val="003D6A24"/>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3D6A24"/>
    <w:rPr>
      <w:rFonts w:ascii="David" w:eastAsiaTheme="minorHAnsi" w:hAnsi="David" w:cs="David"/>
      <w:color w:val="000000" w:themeColor="text1"/>
      <w:sz w:val="24"/>
      <w:szCs w:val="24"/>
    </w:rPr>
  </w:style>
  <w:style w:type="paragraph" w:styleId="af0">
    <w:name w:val="TOC Heading"/>
    <w:basedOn w:val="1"/>
    <w:next w:val="a"/>
    <w:uiPriority w:val="39"/>
    <w:unhideWhenUsed/>
    <w:qFormat/>
    <w:rsid w:val="003D6A24"/>
    <w:pPr>
      <w:widowControl/>
      <w:spacing w:before="120" w:after="120"/>
      <w:outlineLvl w:val="9"/>
    </w:pPr>
    <w:rPr>
      <w:rtl/>
      <w:cs/>
    </w:rPr>
  </w:style>
  <w:style w:type="paragraph" w:styleId="TOC1">
    <w:name w:val="toc 1"/>
    <w:basedOn w:val="a"/>
    <w:next w:val="a"/>
    <w:autoRedefine/>
    <w:uiPriority w:val="39"/>
    <w:unhideWhenUsed/>
    <w:rsid w:val="003D6A24"/>
    <w:pPr>
      <w:tabs>
        <w:tab w:val="right" w:leader="dot" w:pos="9629"/>
      </w:tabs>
      <w:spacing w:after="100"/>
    </w:pPr>
    <w:rPr>
      <w:bCs/>
      <w:szCs w:val="22"/>
    </w:rPr>
  </w:style>
  <w:style w:type="paragraph" w:styleId="TOC2">
    <w:name w:val="toc 2"/>
    <w:basedOn w:val="a"/>
    <w:next w:val="a"/>
    <w:uiPriority w:val="39"/>
    <w:unhideWhenUsed/>
    <w:rsid w:val="003D6A24"/>
    <w:pPr>
      <w:tabs>
        <w:tab w:val="right" w:leader="dot" w:pos="9628"/>
      </w:tabs>
      <w:spacing w:after="100"/>
    </w:pPr>
    <w:rPr>
      <w:szCs w:val="22"/>
    </w:rPr>
  </w:style>
  <w:style w:type="character" w:styleId="Hyperlink">
    <w:name w:val="Hyperlink"/>
    <w:basedOn w:val="a0"/>
    <w:uiPriority w:val="99"/>
    <w:unhideWhenUsed/>
    <w:rsid w:val="003D6A24"/>
    <w:rPr>
      <w:color w:val="0000FF" w:themeColor="hyperlink"/>
      <w:u w:val="single"/>
    </w:rPr>
  </w:style>
  <w:style w:type="paragraph" w:styleId="TOC3">
    <w:name w:val="toc 3"/>
    <w:basedOn w:val="a"/>
    <w:next w:val="a"/>
    <w:uiPriority w:val="39"/>
    <w:unhideWhenUsed/>
    <w:rsid w:val="003D6A24"/>
    <w:pPr>
      <w:tabs>
        <w:tab w:val="right" w:leader="dot" w:pos="9629"/>
      </w:tabs>
      <w:spacing w:after="100"/>
      <w:ind w:left="567"/>
    </w:pPr>
    <w:rPr>
      <w:szCs w:val="22"/>
    </w:rPr>
  </w:style>
  <w:style w:type="paragraph" w:styleId="TOC4">
    <w:name w:val="toc 4"/>
    <w:basedOn w:val="a"/>
    <w:next w:val="a"/>
    <w:autoRedefine/>
    <w:unhideWhenUsed/>
    <w:qFormat/>
    <w:rsid w:val="003D6A24"/>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3D6A24"/>
    <w:pPr>
      <w:tabs>
        <w:tab w:val="right" w:leader="dot" w:pos="9628"/>
      </w:tabs>
      <w:spacing w:after="100"/>
      <w:ind w:left="567"/>
    </w:pPr>
    <w:rPr>
      <w:szCs w:val="22"/>
    </w:rPr>
  </w:style>
  <w:style w:type="paragraph" w:styleId="TOC6">
    <w:name w:val="toc 6"/>
    <w:basedOn w:val="a"/>
    <w:next w:val="a"/>
    <w:autoRedefine/>
    <w:semiHidden/>
    <w:unhideWhenUsed/>
    <w:rsid w:val="003D6A24"/>
    <w:pPr>
      <w:spacing w:after="100"/>
      <w:ind w:left="850"/>
    </w:pPr>
  </w:style>
  <w:style w:type="paragraph" w:styleId="TOC7">
    <w:name w:val="toc 7"/>
    <w:basedOn w:val="a"/>
    <w:next w:val="a"/>
    <w:autoRedefine/>
    <w:semiHidden/>
    <w:unhideWhenUsed/>
    <w:rsid w:val="003D6A24"/>
    <w:pPr>
      <w:spacing w:after="100"/>
      <w:ind w:left="1020"/>
    </w:pPr>
  </w:style>
  <w:style w:type="paragraph" w:styleId="TOC8">
    <w:name w:val="toc 8"/>
    <w:basedOn w:val="a"/>
    <w:next w:val="a"/>
    <w:autoRedefine/>
    <w:semiHidden/>
    <w:unhideWhenUsed/>
    <w:rsid w:val="003D6A24"/>
    <w:pPr>
      <w:spacing w:after="100"/>
      <w:ind w:left="1190"/>
    </w:pPr>
  </w:style>
  <w:style w:type="paragraph" w:styleId="TOC9">
    <w:name w:val="toc 9"/>
    <w:basedOn w:val="a"/>
    <w:next w:val="a"/>
    <w:autoRedefine/>
    <w:semiHidden/>
    <w:unhideWhenUsed/>
    <w:rsid w:val="003D6A24"/>
    <w:pPr>
      <w:spacing w:after="100"/>
      <w:ind w:left="1360"/>
    </w:pPr>
  </w:style>
  <w:style w:type="paragraph" w:customStyle="1" w:styleId="TableHead2">
    <w:name w:val="Table Head2"/>
    <w:basedOn w:val="TableHead"/>
    <w:qFormat/>
    <w:rsid w:val="003D6A24"/>
    <w:pPr>
      <w:outlineLvl w:val="9"/>
    </w:pPr>
  </w:style>
  <w:style w:type="paragraph" w:customStyle="1" w:styleId="TableSideHeading2">
    <w:name w:val="Table SideHeading2"/>
    <w:basedOn w:val="TableSideHeading"/>
    <w:autoRedefine/>
    <w:qFormat/>
    <w:rsid w:val="003D6A24"/>
    <w:pPr>
      <w:keepLines w:val="0"/>
      <w:outlineLvl w:val="9"/>
    </w:pPr>
  </w:style>
  <w:style w:type="paragraph" w:customStyle="1" w:styleId="0">
    <w:name w:val="סגנון שורה ראשונה:  0  ס''מ"/>
    <w:basedOn w:val="2"/>
    <w:rsid w:val="003D6A24"/>
    <w:rPr>
      <w:rFonts w:eastAsia="Times New Roman"/>
    </w:rPr>
  </w:style>
  <w:style w:type="paragraph" w:styleId="af1">
    <w:name w:val="List Paragraph"/>
    <w:basedOn w:val="a"/>
    <w:uiPriority w:val="34"/>
    <w:qFormat/>
    <w:rsid w:val="003D6A24"/>
    <w:pPr>
      <w:widowControl/>
      <w:spacing w:line="259" w:lineRule="auto"/>
    </w:pPr>
    <w:rPr>
      <w:rFonts w:asciiTheme="minorHAnsi" w:hAnsiTheme="minorHAnsi"/>
      <w:sz w:val="22"/>
    </w:rPr>
  </w:style>
  <w:style w:type="table" w:styleId="af2">
    <w:name w:val="Table Grid"/>
    <w:basedOn w:val="a1"/>
    <w:rsid w:val="003D6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3D6A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D6A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3">
    <w:name w:val="טבלת חקיקה"/>
    <w:basedOn w:val="a1"/>
    <w:uiPriority w:val="99"/>
    <w:rsid w:val="003D6A24"/>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3D6A24"/>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25A29CB36A16E48989D4D40273092E6" ma:contentTypeVersion="" ma:contentTypeDescription="צור מסמך חדש." ma:contentTypeScope="" ma:versionID="960836d9d79fe574671dad3ce2a7fd77">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B5E9-8A2B-43BD-8F3B-D110DEFA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0953C17-8001-48EF-8216-12E8FF4C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510</Words>
  <Characters>2913</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12</cp:revision>
  <cp:lastPrinted>2013-07-04T08:25:00Z</cp:lastPrinted>
  <dcterms:created xsi:type="dcterms:W3CDTF">2015-04-20T09:58:00Z</dcterms:created>
  <dcterms:modified xsi:type="dcterms:W3CDTF">2021-07-29T09:52:00Z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0x010100C25A29CB36A16E48989D4D40273092E6</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2160147</vt:r8>
  </property>
</Properties>
</file>