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b/>
          <w:bCs/>
          <w:sz w:val="20"/>
          <w:szCs w:val="20"/>
        </w:rPr>
      </w:pPr>
      <w:r w:rsidRPr="00E635A2">
        <w:rPr>
          <w:rFonts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sz w:val="20"/>
          <w:szCs w:val="20"/>
          <w:rtl/>
        </w:rPr>
        <w:t>2157321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רם בן ברק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רם שפע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אופיר סופר</w:t>
      </w:r>
      <w:bookmarkEnd w:id="3"/>
    </w:p>
    <w:p w14:paraId="34DB4103" w14:textId="77777777" w:rsidR="00904591" w:rsidRPr="00904591" w:rsidRDefault="00266D86" w:rsidP="0036422C">
      <w:pPr>
        <w:pStyle w:val="David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79273E67" w:rsidR="00E13C27" w:rsidRPr="00E06736" w:rsidRDefault="00904591" w:rsidP="00DC3050">
      <w:pPr>
        <w:pStyle w:val="David"/>
        <w:spacing w:line="240" w:lineRule="auto"/>
        <w:ind w:left="3544"/>
        <w:rPr>
          <w:rtl/>
        </w:rPr>
      </w:pPr>
      <w:r>
        <w:t xml:space="preserve"> </w:t>
      </w:r>
      <w:bookmarkStart w:id="4" w:name="Private_Number"/>
      <w:r w:rsidR="00DC3050">
        <w:rPr>
          <w:rtl/>
        </w:rPr>
        <w:tab/>
      </w:r>
      <w:r w:rsidR="00DC3050">
        <w:rPr>
          <w:rtl/>
        </w:rPr>
        <w:tab/>
      </w:r>
      <w:r w:rsidR="00DC3050">
        <w:rPr>
          <w:rtl/>
        </w:rPr>
        <w:tab/>
      </w:r>
      <w:r w:rsidR="00DC3050">
        <w:rPr>
          <w:rtl/>
        </w:rPr>
        <w:tab/>
      </w:r>
      <w:r>
        <w:rPr>
          <w:rFonts w:hint="cs"/>
          <w:rtl/>
        </w:rPr>
        <w:t>פ/2056/24</w:t>
      </w:r>
      <w:bookmarkEnd w:id="4"/>
    </w:p>
    <w:p w14:paraId="7F6961AD" w14:textId="08D448BD" w:rsidR="00E13C27" w:rsidRPr="00F67051" w:rsidRDefault="00A443CF" w:rsidP="00DC280A">
      <w:pPr>
        <w:pStyle w:val="HeadHatzaotHok"/>
        <w:rPr>
          <w:rtl/>
        </w:rPr>
      </w:pPr>
      <w:bookmarkStart w:id="5" w:name="LGS_Subject"/>
      <w:r>
        <w:rPr>
          <w:rFonts w:hint="cs"/>
          <w:rtl/>
        </w:rPr>
        <w:t xml:space="preserve">הצעת חוק לתיקון פקודת התעבורה (איסור נהיגת שטח בדרך שאינה דרך ייעודית לנסיעת שטח), </w:t>
      </w:r>
      <w:proofErr w:type="spellStart"/>
      <w:r>
        <w:rPr>
          <w:rFonts w:hint="cs"/>
          <w:rtl/>
        </w:rPr>
        <w:t>התשפ"א</w:t>
      </w:r>
      <w:proofErr w:type="spellEnd"/>
      <w:r>
        <w:rPr>
          <w:rFonts w:hint="cs"/>
          <w:rtl/>
        </w:rPr>
        <w:t>–2021</w:t>
      </w:r>
      <w:bookmarkEnd w:id="5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24"/>
        <w:gridCol w:w="624"/>
        <w:gridCol w:w="624"/>
        <w:gridCol w:w="4647"/>
      </w:tblGrid>
      <w:tr w:rsidR="00AA46D5" w14:paraId="3A3EC894" w14:textId="77777777" w:rsidTr="00DC3050">
        <w:trPr>
          <w:cantSplit/>
        </w:trPr>
        <w:tc>
          <w:tcPr>
            <w:tcW w:w="1871" w:type="dxa"/>
          </w:tcPr>
          <w:p w14:paraId="0957EC6F" w14:textId="05E7777C" w:rsidR="00AA46D5" w:rsidRDefault="003C5BF4" w:rsidP="007E751D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70</w:t>
            </w:r>
          </w:p>
        </w:tc>
        <w:tc>
          <w:tcPr>
            <w:tcW w:w="624" w:type="dxa"/>
          </w:tcPr>
          <w:p w14:paraId="0D160BCF" w14:textId="0F12B58C" w:rsidR="00AA46D5" w:rsidRDefault="00AA46D5" w:rsidP="00946C2B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  <w:gridSpan w:val="5"/>
          </w:tcPr>
          <w:p w14:paraId="21CFC17E" w14:textId="4CAC52FD" w:rsidR="00AA46D5" w:rsidRPr="00C34DE2" w:rsidRDefault="003C5BF4" w:rsidP="00DC3050">
            <w:pPr>
              <w:pStyle w:val="TableBlock"/>
            </w:pPr>
            <w:r>
              <w:rPr>
                <w:rFonts w:hint="cs"/>
                <w:rtl/>
              </w:rPr>
              <w:t>בפקודת התעבורה</w:t>
            </w:r>
            <w:r w:rsidRPr="00DC3050">
              <w:rPr>
                <w:rStyle w:val="a5"/>
                <w:rFonts w:ascii="David" w:hAnsi="David"/>
                <w:sz w:val="26"/>
                <w:rtl/>
              </w:rPr>
              <w:footnoteReference w:id="2"/>
            </w:r>
            <w:r>
              <w:rPr>
                <w:rFonts w:hint="cs"/>
                <w:rtl/>
              </w:rPr>
              <w:t xml:space="preserve"> (להלן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הפקודה), בסעיף 70, אחרי פסקה (23א) יבוא:</w:t>
            </w:r>
          </w:p>
        </w:tc>
      </w:tr>
      <w:tr w:rsidR="003C5BF4" w14:paraId="472DEBBC" w14:textId="77777777" w:rsidTr="00DC3050">
        <w:trPr>
          <w:cantSplit/>
        </w:trPr>
        <w:tc>
          <w:tcPr>
            <w:tcW w:w="1871" w:type="dxa"/>
          </w:tcPr>
          <w:p w14:paraId="06ADCFC4" w14:textId="77777777" w:rsidR="003C5BF4" w:rsidRDefault="003C5BF4" w:rsidP="007E751D">
            <w:pPr>
              <w:pStyle w:val="TableSideHeading"/>
              <w:keepLines w:val="0"/>
              <w:rPr>
                <w:rtl/>
              </w:rPr>
            </w:pPr>
          </w:p>
        </w:tc>
        <w:tc>
          <w:tcPr>
            <w:tcW w:w="624" w:type="dxa"/>
          </w:tcPr>
          <w:p w14:paraId="5508387E" w14:textId="77777777" w:rsidR="003C5BF4" w:rsidRDefault="003C5BF4" w:rsidP="003C5BF4">
            <w:pPr>
              <w:pStyle w:val="TableText"/>
              <w:rPr>
                <w:rtl/>
              </w:rPr>
            </w:pPr>
          </w:p>
        </w:tc>
        <w:tc>
          <w:tcPr>
            <w:tcW w:w="7143" w:type="dxa"/>
            <w:gridSpan w:val="5"/>
          </w:tcPr>
          <w:p w14:paraId="376C0CA5" w14:textId="29A7237F" w:rsidR="003C5BF4" w:rsidRPr="003C5BF4" w:rsidRDefault="003C5BF4" w:rsidP="00DC3050">
            <w:pPr>
              <w:pStyle w:val="TableBlock"/>
              <w:rPr>
                <w:rtl/>
              </w:rPr>
            </w:pPr>
            <w:r w:rsidRPr="003C5BF4">
              <w:rPr>
                <w:rFonts w:hint="cs"/>
                <w:rtl/>
              </w:rPr>
              <w:t>"(23ב)</w:t>
            </w:r>
            <w:r>
              <w:rPr>
                <w:rtl/>
              </w:rPr>
              <w:tab/>
            </w:r>
            <w:r w:rsidRPr="003C5BF4">
              <w:rPr>
                <w:rFonts w:hint="cs"/>
                <w:rtl/>
              </w:rPr>
              <w:t xml:space="preserve"> הוראות לעניין דרך ייעודית לנסיעת שטח, לרבות הגדרתה </w:t>
            </w:r>
            <w:r w:rsidR="00402D99">
              <w:rPr>
                <w:rFonts w:hint="cs"/>
                <w:rtl/>
              </w:rPr>
              <w:t>ו</w:t>
            </w:r>
            <w:r w:rsidRPr="003C5BF4">
              <w:rPr>
                <w:rFonts w:hint="cs"/>
                <w:rtl/>
              </w:rPr>
              <w:t>אופן שילוטה וסימונה."</w:t>
            </w:r>
          </w:p>
        </w:tc>
      </w:tr>
      <w:tr w:rsidR="003C5BF4" w14:paraId="091C1698" w14:textId="77777777" w:rsidTr="00DC3050">
        <w:trPr>
          <w:cantSplit/>
        </w:trPr>
        <w:tc>
          <w:tcPr>
            <w:tcW w:w="1871" w:type="dxa"/>
          </w:tcPr>
          <w:p w14:paraId="10E1B84F" w14:textId="7160F129" w:rsidR="003C5BF4" w:rsidRDefault="003C5BF4" w:rsidP="003C5BF4">
            <w:pPr>
              <w:pStyle w:val="TableSideHeading"/>
              <w:keepLines w:val="0"/>
              <w:rPr>
                <w:rtl/>
              </w:rPr>
            </w:pPr>
            <w:r>
              <w:rPr>
                <w:rFonts w:hint="cs"/>
                <w:rtl/>
              </w:rPr>
              <w:t>הוספת סעיף 70ו</w:t>
            </w:r>
          </w:p>
        </w:tc>
        <w:tc>
          <w:tcPr>
            <w:tcW w:w="624" w:type="dxa"/>
          </w:tcPr>
          <w:p w14:paraId="3E685643" w14:textId="69A3B8BF" w:rsidR="003C5BF4" w:rsidRDefault="003C5BF4" w:rsidP="003C5BF4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7143" w:type="dxa"/>
            <w:gridSpan w:val="5"/>
          </w:tcPr>
          <w:p w14:paraId="43C21E95" w14:textId="4D971180" w:rsidR="003C5BF4" w:rsidRDefault="003C5BF4" w:rsidP="00DC3050">
            <w:pPr>
              <w:pStyle w:val="TableBlock"/>
              <w:tabs>
                <w:tab w:val="left" w:pos="624"/>
                <w:tab w:val="left" w:pos="1247"/>
              </w:tabs>
              <w:rPr>
                <w:rtl/>
              </w:rPr>
            </w:pPr>
            <w:r>
              <w:rPr>
                <w:rFonts w:hint="cs"/>
                <w:rtl/>
              </w:rPr>
              <w:t>אחרי סעיף 70ה לפקודה יבוא:</w:t>
            </w:r>
          </w:p>
        </w:tc>
      </w:tr>
      <w:tr w:rsidR="003C5BF4" w14:paraId="7337766A" w14:textId="77777777" w:rsidTr="00DC3050">
        <w:trPr>
          <w:cantSplit/>
        </w:trPr>
        <w:tc>
          <w:tcPr>
            <w:tcW w:w="1871" w:type="dxa"/>
          </w:tcPr>
          <w:p w14:paraId="65AFB19A" w14:textId="77777777" w:rsidR="003C5BF4" w:rsidRDefault="003C5BF4" w:rsidP="003C5BF4">
            <w:pPr>
              <w:pStyle w:val="TableSideHeading"/>
              <w:keepLines w:val="0"/>
            </w:pPr>
          </w:p>
        </w:tc>
        <w:tc>
          <w:tcPr>
            <w:tcW w:w="624" w:type="dxa"/>
          </w:tcPr>
          <w:p w14:paraId="203D4E6B" w14:textId="77777777" w:rsidR="003C5BF4" w:rsidRDefault="003C5BF4" w:rsidP="003C5BF4">
            <w:pPr>
              <w:pStyle w:val="TableText"/>
              <w:keepLines w:val="0"/>
            </w:pPr>
          </w:p>
        </w:tc>
        <w:tc>
          <w:tcPr>
            <w:tcW w:w="1872" w:type="dxa"/>
            <w:gridSpan w:val="3"/>
          </w:tcPr>
          <w:p w14:paraId="6AF620CE" w14:textId="5096F1CA" w:rsidR="003C5BF4" w:rsidRPr="00946C2B" w:rsidRDefault="003C5BF4" w:rsidP="00DC280A">
            <w:pPr>
              <w:pStyle w:val="TableInnerSideHeading"/>
            </w:pPr>
            <w:r>
              <w:rPr>
                <w:rFonts w:hint="cs"/>
                <w:rtl/>
              </w:rPr>
              <w:t xml:space="preserve">"איסור </w:t>
            </w:r>
            <w:r w:rsidRPr="00946C2B">
              <w:rPr>
                <w:rFonts w:hint="cs"/>
                <w:rtl/>
              </w:rPr>
              <w:t>נהיג</w:t>
            </w:r>
            <w:r>
              <w:rPr>
                <w:rFonts w:hint="cs"/>
                <w:rtl/>
              </w:rPr>
              <w:t>ת</w:t>
            </w:r>
            <w:r w:rsidRPr="00946C2B">
              <w:rPr>
                <w:rFonts w:hint="cs"/>
                <w:rtl/>
              </w:rPr>
              <w:t xml:space="preserve"> שטח </w:t>
            </w:r>
            <w:r>
              <w:rPr>
                <w:rFonts w:hint="cs"/>
                <w:rtl/>
              </w:rPr>
              <w:t>בדר</w:t>
            </w:r>
            <w:r w:rsidR="00DC280A">
              <w:rPr>
                <w:rFonts w:hint="cs"/>
                <w:rtl/>
              </w:rPr>
              <w:t>ך שאינה דרך ייעודית לנסיעת שטח</w:t>
            </w:r>
          </w:p>
        </w:tc>
        <w:tc>
          <w:tcPr>
            <w:tcW w:w="624" w:type="dxa"/>
          </w:tcPr>
          <w:p w14:paraId="7F55790A" w14:textId="5B8365F9" w:rsidR="003C5BF4" w:rsidRPr="007A2602" w:rsidRDefault="003C5BF4" w:rsidP="003C5BF4">
            <w:pPr>
              <w:pStyle w:val="TableText"/>
            </w:pPr>
            <w:r>
              <w:rPr>
                <w:rFonts w:hint="cs"/>
                <w:rtl/>
              </w:rPr>
              <w:t>70ו.</w:t>
            </w:r>
          </w:p>
        </w:tc>
        <w:tc>
          <w:tcPr>
            <w:tcW w:w="4647" w:type="dxa"/>
          </w:tcPr>
          <w:p w14:paraId="0D117EBB" w14:textId="66B5565D" w:rsidR="003C5BF4" w:rsidRPr="00946C2B" w:rsidRDefault="003C5BF4" w:rsidP="00DC3050">
            <w:pPr>
              <w:pStyle w:val="TableBlock"/>
            </w:pPr>
            <w:r w:rsidRPr="00946C2B">
              <w:rPr>
                <w:rFonts w:hint="cs"/>
                <w:rtl/>
              </w:rPr>
              <w:t>(א)</w:t>
            </w:r>
            <w:r w:rsidRPr="00946C2B">
              <w:rPr>
                <w:rtl/>
              </w:rPr>
              <w:tab/>
            </w:r>
            <w:r w:rsidRPr="003C5BF4">
              <w:rPr>
                <w:rtl/>
              </w:rPr>
              <w:t>לא ינהג אדם</w:t>
            </w:r>
            <w:r w:rsidRPr="003C5BF4">
              <w:rPr>
                <w:rFonts w:hint="cs"/>
                <w:rtl/>
              </w:rPr>
              <w:t>, ב</w:t>
            </w:r>
            <w:r w:rsidRPr="003C5BF4">
              <w:rPr>
                <w:rtl/>
              </w:rPr>
              <w:t>אופנוע, טרקטורון או רכב שטח</w:t>
            </w:r>
            <w:r w:rsidR="00DA5DEB">
              <w:rPr>
                <w:rFonts w:hint="cs"/>
                <w:rtl/>
              </w:rPr>
              <w:t xml:space="preserve"> בדרכים שאינן דרך, למעט</w:t>
            </w:r>
            <w:r w:rsidRPr="003C5BF4">
              <w:rPr>
                <w:rtl/>
              </w:rPr>
              <w:t xml:space="preserve"> דרך ייעודית לנסיעת שטח</w:t>
            </w:r>
            <w:r w:rsidR="00DA5DEB">
              <w:rPr>
                <w:rFonts w:hint="cs"/>
                <w:rtl/>
              </w:rPr>
              <w:t>,</w:t>
            </w:r>
            <w:r w:rsidRPr="003C5BF4">
              <w:rPr>
                <w:rtl/>
              </w:rPr>
              <w:t xml:space="preserve"> </w:t>
            </w:r>
            <w:r w:rsidR="00DA5DEB">
              <w:rPr>
                <w:rFonts w:hint="cs"/>
                <w:rtl/>
              </w:rPr>
              <w:t>וזאת</w:t>
            </w:r>
            <w:r w:rsidRPr="003C5BF4">
              <w:rPr>
                <w:rtl/>
              </w:rPr>
              <w:t xml:space="preserve"> בהתאם להוראות לעניין זה שקבע השר לפי סעיף 70(23ב).</w:t>
            </w:r>
          </w:p>
        </w:tc>
      </w:tr>
      <w:tr w:rsidR="003C5BF4" w14:paraId="52574AC3" w14:textId="77777777" w:rsidTr="00DC3050">
        <w:trPr>
          <w:cantSplit/>
        </w:trPr>
        <w:tc>
          <w:tcPr>
            <w:tcW w:w="1871" w:type="dxa"/>
          </w:tcPr>
          <w:p w14:paraId="5597E80F" w14:textId="77777777" w:rsidR="003C5BF4" w:rsidRDefault="003C5BF4" w:rsidP="003C5BF4">
            <w:pPr>
              <w:pStyle w:val="TableSideHeading"/>
            </w:pPr>
          </w:p>
        </w:tc>
        <w:tc>
          <w:tcPr>
            <w:tcW w:w="624" w:type="dxa"/>
          </w:tcPr>
          <w:p w14:paraId="3FAE71EC" w14:textId="77777777" w:rsidR="003C5BF4" w:rsidRDefault="003C5BF4" w:rsidP="003C5BF4">
            <w:pPr>
              <w:pStyle w:val="TableText"/>
            </w:pPr>
          </w:p>
        </w:tc>
        <w:tc>
          <w:tcPr>
            <w:tcW w:w="624" w:type="dxa"/>
          </w:tcPr>
          <w:p w14:paraId="225548D9" w14:textId="77777777" w:rsidR="003C5BF4" w:rsidRDefault="003C5BF4" w:rsidP="003C5BF4">
            <w:pPr>
              <w:pStyle w:val="TableText"/>
            </w:pPr>
          </w:p>
        </w:tc>
        <w:tc>
          <w:tcPr>
            <w:tcW w:w="624" w:type="dxa"/>
          </w:tcPr>
          <w:p w14:paraId="3CD865B4" w14:textId="77777777" w:rsidR="003C5BF4" w:rsidRDefault="003C5BF4" w:rsidP="003C5BF4">
            <w:pPr>
              <w:pStyle w:val="TableText"/>
            </w:pPr>
          </w:p>
        </w:tc>
        <w:tc>
          <w:tcPr>
            <w:tcW w:w="624" w:type="dxa"/>
          </w:tcPr>
          <w:p w14:paraId="54C27F0F" w14:textId="77777777" w:rsidR="003C5BF4" w:rsidRDefault="003C5BF4" w:rsidP="003C5BF4">
            <w:pPr>
              <w:pStyle w:val="TableText"/>
            </w:pPr>
          </w:p>
        </w:tc>
        <w:tc>
          <w:tcPr>
            <w:tcW w:w="624" w:type="dxa"/>
          </w:tcPr>
          <w:p w14:paraId="44914607" w14:textId="77777777" w:rsidR="003C5BF4" w:rsidRDefault="003C5BF4" w:rsidP="003C5BF4">
            <w:pPr>
              <w:pStyle w:val="TableText"/>
            </w:pPr>
          </w:p>
        </w:tc>
        <w:tc>
          <w:tcPr>
            <w:tcW w:w="4647" w:type="dxa"/>
          </w:tcPr>
          <w:p w14:paraId="143863BF" w14:textId="6C44A117" w:rsidR="003C5BF4" w:rsidRPr="00946C2B" w:rsidRDefault="003C5BF4" w:rsidP="00DC3050">
            <w:pPr>
              <w:pStyle w:val="TableBlock"/>
            </w:pPr>
            <w:r w:rsidRPr="00946C2B">
              <w:rPr>
                <w:rFonts w:hint="cs"/>
                <w:rtl/>
              </w:rPr>
              <w:t>(ב)</w:t>
            </w:r>
            <w:r w:rsidRPr="00946C2B">
              <w:rPr>
                <w:rtl/>
              </w:rPr>
              <w:tab/>
              <w:t xml:space="preserve">הנוהג </w:t>
            </w:r>
            <w:r>
              <w:rPr>
                <w:rFonts w:hint="cs"/>
                <w:rtl/>
              </w:rPr>
              <w:t>ב</w:t>
            </w:r>
            <w:r w:rsidRPr="00946C2B">
              <w:rPr>
                <w:rtl/>
              </w:rPr>
              <w:t>אופנוע, טרקטורון או רכב שטח</w:t>
            </w:r>
            <w:r>
              <w:rPr>
                <w:rFonts w:hint="cs"/>
                <w:rtl/>
              </w:rPr>
              <w:t xml:space="preserve"> בניגוד להוראות לפי</w:t>
            </w:r>
            <w:r w:rsidRPr="00946C2B">
              <w:rPr>
                <w:rtl/>
              </w:rPr>
              <w:t xml:space="preserve"> סעיף קטן (א), דינו – קנס </w:t>
            </w:r>
            <w:r>
              <w:rPr>
                <w:rFonts w:hint="cs"/>
                <w:rtl/>
              </w:rPr>
              <w:t>250</w:t>
            </w:r>
            <w:r w:rsidRPr="00946C2B">
              <w:rPr>
                <w:rtl/>
              </w:rPr>
              <w:t xml:space="preserve"> שקלים חדשים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739C013B" w14:textId="77777777" w:rsidR="00B82816" w:rsidRDefault="00B82816" w:rsidP="00B82816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6BB4D829" w14:textId="77777777" w:rsidR="00DC280A" w:rsidRPr="00946C2B" w:rsidRDefault="00DC280A" w:rsidP="00DC3050">
      <w:pPr>
        <w:pStyle w:val="Hesber"/>
        <w:spacing w:line="240" w:lineRule="auto"/>
        <w:rPr>
          <w:rtl/>
        </w:rPr>
      </w:pPr>
      <w:r w:rsidRPr="00946C2B">
        <w:rPr>
          <w:rFonts w:hint="cs"/>
          <w:rtl/>
        </w:rPr>
        <w:t xml:space="preserve">בשנים האחרונות אנו עדים </w:t>
      </w:r>
      <w:r>
        <w:rPr>
          <w:rFonts w:hint="cs"/>
          <w:rtl/>
        </w:rPr>
        <w:t>לפגיעה</w:t>
      </w:r>
      <w:r w:rsidRPr="00946C2B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Pr="00946C2B">
        <w:rPr>
          <w:rFonts w:hint="cs"/>
          <w:rtl/>
        </w:rPr>
        <w:t xml:space="preserve">שדות חקלאיים, יערות, שמורות טבע ושטחים פתוחים, כתוצאה מנסיעה של רכבים </w:t>
      </w:r>
      <w:r>
        <w:rPr>
          <w:rFonts w:hint="cs"/>
          <w:rtl/>
        </w:rPr>
        <w:t>מנועיים בנסיעות שטח</w:t>
      </w:r>
      <w:r w:rsidRPr="00946C2B">
        <w:rPr>
          <w:rFonts w:hint="cs"/>
          <w:rtl/>
        </w:rPr>
        <w:t xml:space="preserve"> </w:t>
      </w:r>
      <w:r>
        <w:rPr>
          <w:rFonts w:hint="cs"/>
          <w:rtl/>
        </w:rPr>
        <w:t>מחוץ</w:t>
      </w:r>
      <w:r w:rsidRPr="00946C2B">
        <w:rPr>
          <w:rFonts w:hint="cs"/>
          <w:rtl/>
        </w:rPr>
        <w:t xml:space="preserve"> </w:t>
      </w:r>
      <w:r>
        <w:rPr>
          <w:rFonts w:hint="cs"/>
          <w:rtl/>
        </w:rPr>
        <w:t>לדרכים הייעודיות לכך</w:t>
      </w:r>
      <w:r w:rsidRPr="00946C2B">
        <w:rPr>
          <w:rFonts w:hint="cs"/>
          <w:rtl/>
        </w:rPr>
        <w:t xml:space="preserve">. </w:t>
      </w:r>
      <w:r>
        <w:rPr>
          <w:rFonts w:hint="cs"/>
          <w:rtl/>
        </w:rPr>
        <w:t>תופעה זו, גורמת לנזקים לסביבה ולשטחים החקלאיים ואף מסכנת את הנוסעים. כיום</w:t>
      </w:r>
      <w:r w:rsidRPr="00946C2B">
        <w:rPr>
          <w:rFonts w:hint="cs"/>
          <w:rtl/>
        </w:rPr>
        <w:t xml:space="preserve"> </w:t>
      </w:r>
      <w:r>
        <w:rPr>
          <w:rFonts w:hint="cs"/>
          <w:rtl/>
        </w:rPr>
        <w:t>אין הוראות</w:t>
      </w:r>
      <w:r w:rsidRPr="00946C2B">
        <w:rPr>
          <w:rFonts w:hint="cs"/>
          <w:rtl/>
        </w:rPr>
        <w:t xml:space="preserve"> </w:t>
      </w:r>
      <w:r>
        <w:rPr>
          <w:rFonts w:hint="cs"/>
          <w:rtl/>
        </w:rPr>
        <w:t>המסדירות את הנהיגה</w:t>
      </w:r>
      <w:r w:rsidRPr="00946C2B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Pr="00946C2B">
        <w:rPr>
          <w:rFonts w:hint="cs"/>
          <w:rtl/>
        </w:rPr>
        <w:t xml:space="preserve">רכבים </w:t>
      </w:r>
      <w:r>
        <w:rPr>
          <w:rFonts w:hint="cs"/>
          <w:rtl/>
        </w:rPr>
        <w:t>מנועיי</w:t>
      </w:r>
      <w:bookmarkStart w:id="6" w:name="_GoBack"/>
      <w:bookmarkEnd w:id="6"/>
      <w:r>
        <w:rPr>
          <w:rFonts w:hint="cs"/>
          <w:rtl/>
        </w:rPr>
        <w:t>ם</w:t>
      </w:r>
      <w:r w:rsidRPr="00946C2B">
        <w:rPr>
          <w:rFonts w:hint="cs"/>
          <w:rtl/>
        </w:rPr>
        <w:t xml:space="preserve"> בשטחים ציבוריים וחקלאיים, ועל כן נמנעת האפשרות לפקח</w:t>
      </w:r>
      <w:r>
        <w:rPr>
          <w:rFonts w:hint="cs"/>
          <w:rtl/>
        </w:rPr>
        <w:t xml:space="preserve"> על התופעה</w:t>
      </w:r>
      <w:r w:rsidRPr="00946C2B">
        <w:rPr>
          <w:rFonts w:hint="cs"/>
          <w:rtl/>
        </w:rPr>
        <w:t xml:space="preserve"> ולאכוף א</w:t>
      </w:r>
      <w:r>
        <w:rPr>
          <w:rFonts w:hint="cs"/>
          <w:rtl/>
        </w:rPr>
        <w:t>ו</w:t>
      </w:r>
      <w:r w:rsidRPr="00946C2B">
        <w:rPr>
          <w:rFonts w:hint="cs"/>
          <w:rtl/>
        </w:rPr>
        <w:t>ת</w:t>
      </w:r>
      <w:r>
        <w:rPr>
          <w:rFonts w:hint="cs"/>
          <w:rtl/>
        </w:rPr>
        <w:t>ה</w:t>
      </w:r>
      <w:r w:rsidRPr="00946C2B">
        <w:rPr>
          <w:rFonts w:hint="cs"/>
          <w:rtl/>
        </w:rPr>
        <w:t>.</w:t>
      </w:r>
    </w:p>
    <w:p w14:paraId="7F6961CB" w14:textId="1CC96EC0" w:rsidR="00E13C27" w:rsidRDefault="00DC280A" w:rsidP="00DC3050">
      <w:pPr>
        <w:pStyle w:val="Hesber"/>
        <w:spacing w:line="240" w:lineRule="auto"/>
        <w:rPr>
          <w:rtl/>
        </w:rPr>
      </w:pPr>
      <w:r>
        <w:rPr>
          <w:rFonts w:hint="cs"/>
          <w:rtl/>
        </w:rPr>
        <w:t xml:space="preserve">לפיכך, </w:t>
      </w:r>
      <w:r w:rsidRPr="00946C2B">
        <w:rPr>
          <w:rFonts w:hint="cs"/>
          <w:rtl/>
        </w:rPr>
        <w:t xml:space="preserve">מוצע לקבוע </w:t>
      </w:r>
      <w:r>
        <w:rPr>
          <w:rFonts w:hint="cs"/>
          <w:rtl/>
        </w:rPr>
        <w:t>איסור על</w:t>
      </w:r>
      <w:r w:rsidRPr="00946C2B">
        <w:rPr>
          <w:rFonts w:hint="cs"/>
          <w:rtl/>
        </w:rPr>
        <w:t xml:space="preserve"> </w:t>
      </w:r>
      <w:r>
        <w:rPr>
          <w:rFonts w:hint="cs"/>
          <w:rtl/>
        </w:rPr>
        <w:t>נהיגה</w:t>
      </w:r>
      <w:r w:rsidRPr="00946C2B">
        <w:rPr>
          <w:rFonts w:hint="cs"/>
          <w:rtl/>
        </w:rPr>
        <w:t xml:space="preserve"> </w:t>
      </w:r>
      <w:r>
        <w:rPr>
          <w:rFonts w:hint="cs"/>
          <w:rtl/>
        </w:rPr>
        <w:t>באופנוע, טרקטורון או רכב שטח</w:t>
      </w:r>
      <w:r w:rsidRPr="00946C2B">
        <w:rPr>
          <w:rFonts w:hint="cs"/>
          <w:rtl/>
        </w:rPr>
        <w:t xml:space="preserve"> </w:t>
      </w:r>
      <w:r>
        <w:rPr>
          <w:rFonts w:hint="cs"/>
          <w:rtl/>
        </w:rPr>
        <w:t>בדרכים שאינן דרך, למעט דרך ייעודית לנסיעת שטח. כמו כן, מוצע להסמיך את שר התחבורה והבטיחות בדרכים לקבוע הוראות לעניין דרך ייעודית לנסיעת שטח, לרבות הגדרתה, שילוטה וסימונה.</w:t>
      </w:r>
      <w:r w:rsidRPr="00946C2B">
        <w:rPr>
          <w:rFonts w:hint="cs"/>
          <w:rtl/>
        </w:rPr>
        <w:t xml:space="preserve"> בנוסף, מוצע לקבוע </w:t>
      </w:r>
      <w:r>
        <w:rPr>
          <w:rFonts w:hint="cs"/>
          <w:rtl/>
        </w:rPr>
        <w:t>כי ה</w:t>
      </w:r>
      <w:r w:rsidRPr="00946C2B">
        <w:rPr>
          <w:rFonts w:hint="cs"/>
          <w:rtl/>
        </w:rPr>
        <w:t>עובר על הוראה זו</w:t>
      </w:r>
      <w:r>
        <w:rPr>
          <w:rFonts w:hint="cs"/>
          <w:rtl/>
        </w:rPr>
        <w:t xml:space="preserve"> דינו </w:t>
      </w:r>
      <w:r>
        <w:rPr>
          <w:rtl/>
        </w:rPr>
        <w:t>–</w:t>
      </w:r>
      <w:r>
        <w:rPr>
          <w:rFonts w:hint="cs"/>
          <w:rtl/>
        </w:rPr>
        <w:t xml:space="preserve"> קנס של 250 שקלים חדשים.</w:t>
      </w:r>
    </w:p>
    <w:p w14:paraId="71264B23" w14:textId="77777777" w:rsidR="00440B2A" w:rsidRDefault="00DC3050" w:rsidP="00DC3050">
      <w:pPr>
        <w:spacing w:line="240" w:lineRule="auto"/>
        <w:jc w:val="left"/>
      </w:pPr>
      <w:bookmarkStart w:id="7" w:name="selectedDocDateB"/>
      <w:bookmarkEnd w:id="7"/>
      <w:r>
        <w:rPr>
          <w:rFonts w:eastAsia="David" w:hint="cs"/>
          <w:sz w:val="26"/>
          <w:szCs w:val="26"/>
          <w:rtl/>
        </w:rPr>
        <w:t>--------------------------------</w:t>
      </w:r>
    </w:p>
    <w:p w14:paraId="651D675D" w14:textId="77777777" w:rsidR="00440B2A" w:rsidRDefault="00DC3050" w:rsidP="00DC3050">
      <w:pPr>
        <w:spacing w:line="240" w:lineRule="auto"/>
        <w:jc w:val="left"/>
      </w:pPr>
      <w:r>
        <w:rPr>
          <w:rFonts w:eastAsia="David" w:hint="cs"/>
          <w:sz w:val="26"/>
          <w:szCs w:val="26"/>
          <w:rtl/>
        </w:rPr>
        <w:t>הוגשה ליו"ר הכנסת והסגנים</w:t>
      </w:r>
    </w:p>
    <w:p w14:paraId="3413391F" w14:textId="77777777" w:rsidR="00440B2A" w:rsidRDefault="00DC3050" w:rsidP="00DC3050">
      <w:pPr>
        <w:spacing w:line="240" w:lineRule="auto"/>
        <w:jc w:val="left"/>
      </w:pPr>
      <w:r>
        <w:rPr>
          <w:rFonts w:eastAsia="David" w:hint="cs"/>
          <w:sz w:val="26"/>
          <w:szCs w:val="26"/>
          <w:rtl/>
        </w:rPr>
        <w:t>והונחה על שולחן הכנסת ביום</w:t>
      </w:r>
    </w:p>
    <w:p w14:paraId="60832809" w14:textId="77777777" w:rsidR="00440B2A" w:rsidRDefault="00DC3050" w:rsidP="00DC3050">
      <w:pPr>
        <w:spacing w:line="240" w:lineRule="auto"/>
        <w:jc w:val="left"/>
      </w:pPr>
      <w:r>
        <w:rPr>
          <w:rFonts w:eastAsia="David" w:hint="cs"/>
          <w:sz w:val="26"/>
          <w:szCs w:val="26"/>
          <w:rtl/>
        </w:rPr>
        <w:t xml:space="preserve">כ"ד באב התשפ"א (02.08.2021) </w:t>
      </w:r>
    </w:p>
    <w:p w14:paraId="09613476" w14:textId="77777777" w:rsidR="00440B2A" w:rsidRDefault="00440B2A">
      <w:pPr>
        <w:spacing w:line="276" w:lineRule="auto"/>
        <w:jc w:val="left"/>
      </w:pPr>
    </w:p>
    <w:sectPr w:rsidR="00440B2A" w:rsidSect="00DC3050">
      <w:footerReference w:type="even" r:id="rId11"/>
      <w:footerReference w:type="default" r:id="rId12"/>
      <w:pgSz w:w="11907" w:h="16840" w:code="9"/>
      <w:pgMar w:top="1701" w:right="1134" w:bottom="851" w:left="1134" w:header="680" w:footer="680" w:gutter="0"/>
      <w:cols w:space="720"/>
      <w:noEndnote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116806ED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DC3050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 w:rsidP="00DC3050">
      <w:pPr>
        <w:ind w:left="0"/>
      </w:pPr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5A7F838F" w14:textId="77777777" w:rsidR="003C5BF4" w:rsidRDefault="003C5BF4" w:rsidP="003C5BF4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דיני מדינת ישראל, נוסח חדש 7, עמ' 273.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6145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DA1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907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128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AEAC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60E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033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5460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303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5A7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306A"/>
    <w:multiLevelType w:val="hybridMultilevel"/>
    <w:tmpl w:val="0CB25EB2"/>
    <w:lvl w:ilvl="0" w:tplc="557E4D96">
      <w:start w:val="1"/>
      <w:numFmt w:val="hebrew1"/>
      <w:lvlText w:val="(%1)"/>
      <w:lvlJc w:val="left"/>
      <w:pPr>
        <w:ind w:left="720" w:hanging="360"/>
      </w:pPr>
      <w:rPr>
        <w:rFonts w:ascii="Hadasa Roso SL" w:hAnsi="Hadasa Roso SL" w:cs="Hadasa Roso S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8026F"/>
    <w:rsid w:val="00190FEA"/>
    <w:rsid w:val="001A0623"/>
    <w:rsid w:val="001C23B0"/>
    <w:rsid w:val="001C73F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B7930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B33B0"/>
    <w:rsid w:val="003C5BF4"/>
    <w:rsid w:val="003D6A33"/>
    <w:rsid w:val="003D6E38"/>
    <w:rsid w:val="003D74A0"/>
    <w:rsid w:val="00402D99"/>
    <w:rsid w:val="004033D8"/>
    <w:rsid w:val="004073F0"/>
    <w:rsid w:val="00412A7D"/>
    <w:rsid w:val="00416B4D"/>
    <w:rsid w:val="00417CFC"/>
    <w:rsid w:val="0043031B"/>
    <w:rsid w:val="00440B2A"/>
    <w:rsid w:val="004910B6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6523D"/>
    <w:rsid w:val="005B064E"/>
    <w:rsid w:val="005D51AE"/>
    <w:rsid w:val="0062674B"/>
    <w:rsid w:val="006363B2"/>
    <w:rsid w:val="00644940"/>
    <w:rsid w:val="006818A9"/>
    <w:rsid w:val="00695E5B"/>
    <w:rsid w:val="006A2D81"/>
    <w:rsid w:val="006C1D0D"/>
    <w:rsid w:val="0070601E"/>
    <w:rsid w:val="00712C72"/>
    <w:rsid w:val="0071488D"/>
    <w:rsid w:val="00735FE9"/>
    <w:rsid w:val="00763CAA"/>
    <w:rsid w:val="00765F66"/>
    <w:rsid w:val="0078664F"/>
    <w:rsid w:val="007A2602"/>
    <w:rsid w:val="007A27CE"/>
    <w:rsid w:val="007C1A80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D0F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46C2B"/>
    <w:rsid w:val="00957589"/>
    <w:rsid w:val="00966D06"/>
    <w:rsid w:val="00982412"/>
    <w:rsid w:val="00983A8D"/>
    <w:rsid w:val="009A0DB8"/>
    <w:rsid w:val="009A7257"/>
    <w:rsid w:val="009B4611"/>
    <w:rsid w:val="009D6E0A"/>
    <w:rsid w:val="009E1E33"/>
    <w:rsid w:val="00A14672"/>
    <w:rsid w:val="00A26BD6"/>
    <w:rsid w:val="00A443CF"/>
    <w:rsid w:val="00A6611D"/>
    <w:rsid w:val="00A82CB7"/>
    <w:rsid w:val="00A942C1"/>
    <w:rsid w:val="00AA14B6"/>
    <w:rsid w:val="00AA2F03"/>
    <w:rsid w:val="00AA46D5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82816"/>
    <w:rsid w:val="00B975AD"/>
    <w:rsid w:val="00BC45FB"/>
    <w:rsid w:val="00BD328E"/>
    <w:rsid w:val="00BF148D"/>
    <w:rsid w:val="00C23B1A"/>
    <w:rsid w:val="00C310EB"/>
    <w:rsid w:val="00C9176A"/>
    <w:rsid w:val="00CF1AA2"/>
    <w:rsid w:val="00D142D3"/>
    <w:rsid w:val="00D17774"/>
    <w:rsid w:val="00D63620"/>
    <w:rsid w:val="00D8410D"/>
    <w:rsid w:val="00D867D7"/>
    <w:rsid w:val="00DA5DEB"/>
    <w:rsid w:val="00DB7060"/>
    <w:rsid w:val="00DC280A"/>
    <w:rsid w:val="00DC305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84E8B"/>
    <w:rsid w:val="00EA01E6"/>
    <w:rsid w:val="00EA3DE8"/>
    <w:rsid w:val="00EA758F"/>
    <w:rsid w:val="00ED4A6F"/>
    <w:rsid w:val="00EF3A3A"/>
    <w:rsid w:val="00F51606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787664BC-C4F3-4D29-90FB-1FF0619E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50"/>
    <w:pPr>
      <w:widowControl w:val="0"/>
      <w:bidi/>
      <w:spacing w:line="360" w:lineRule="auto"/>
      <w:ind w:left="340"/>
      <w:contextualSpacing/>
      <w:jc w:val="both"/>
    </w:pPr>
    <w:rPr>
      <w:rFonts w:ascii="David" w:eastAsiaTheme="minorHAnsi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3050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DC3050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DC3050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DC3050"/>
    <w:pPr>
      <w:numPr>
        <w:numId w:val="19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C3050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  <w:rsid w:val="00DC30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C3050"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DC3050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DC3050"/>
    <w:rPr>
      <w:sz w:val="36"/>
      <w:szCs w:val="52"/>
    </w:rPr>
  </w:style>
  <w:style w:type="paragraph" w:customStyle="1" w:styleId="Cover3-Haknesset">
    <w:name w:val="Cover 3-Haknesset"/>
    <w:basedOn w:val="Cover1-Reshumot"/>
    <w:rsid w:val="00DC3050"/>
    <w:rPr>
      <w:b/>
      <w:bCs/>
      <w:spacing w:val="60"/>
    </w:rPr>
  </w:style>
  <w:style w:type="paragraph" w:customStyle="1" w:styleId="Cover4-Date">
    <w:name w:val="Cover 4-Date"/>
    <w:basedOn w:val="a"/>
    <w:rsid w:val="00DC3050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DC3050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DC3050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4Futer">
    <w:name w:val="Head HatzaotHok4Futer"/>
    <w:basedOn w:val="HeadHatzaotHok"/>
    <w:rsid w:val="00DC3050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DC3050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DC3050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DC3050"/>
    <w:pPr>
      <w:outlineLvl w:val="2"/>
    </w:pPr>
  </w:style>
  <w:style w:type="paragraph" w:customStyle="1" w:styleId="TableBlock">
    <w:name w:val="Table Block"/>
    <w:basedOn w:val="TableText"/>
    <w:rsid w:val="00DC3050"/>
    <w:pPr>
      <w:jc w:val="both"/>
    </w:pPr>
  </w:style>
  <w:style w:type="paragraph" w:customStyle="1" w:styleId="TableHead">
    <w:name w:val="Table Head"/>
    <w:basedOn w:val="TableText"/>
    <w:rsid w:val="00DC3050"/>
    <w:pPr>
      <w:jc w:val="center"/>
      <w:outlineLvl w:val="1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DC3050"/>
    <w:pPr>
      <w:outlineLvl w:val="9"/>
    </w:pPr>
  </w:style>
  <w:style w:type="paragraph" w:customStyle="1" w:styleId="Hesber">
    <w:name w:val="Hesber"/>
    <w:basedOn w:val="a"/>
    <w:rsid w:val="00DC3050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4">
    <w:name w:val="footnote text"/>
    <w:basedOn w:val="a"/>
    <w:autoRedefine/>
    <w:semiHidden/>
    <w:rsid w:val="00DC3050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DC3050"/>
    <w:rPr>
      <w:vertAlign w:val="superscript"/>
    </w:rPr>
  </w:style>
  <w:style w:type="paragraph" w:customStyle="1" w:styleId="HesberHeading">
    <w:name w:val="Hesber Heading"/>
    <w:basedOn w:val="Hesber"/>
    <w:rsid w:val="00DC3050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DC3050"/>
    <w:pPr>
      <w:spacing w:before="120" w:after="120"/>
      <w:ind w:left="1418"/>
      <w:jc w:val="right"/>
    </w:pPr>
    <w:rPr>
      <w:b/>
      <w:bCs/>
    </w:rPr>
  </w:style>
  <w:style w:type="paragraph" w:customStyle="1" w:styleId="Hesber1st">
    <w:name w:val="Hesber 1st"/>
    <w:basedOn w:val="Hesber"/>
    <w:rsid w:val="00DC3050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DC3050"/>
    <w:rPr>
      <w:vertAlign w:val="superscript"/>
    </w:rPr>
  </w:style>
  <w:style w:type="paragraph" w:customStyle="1" w:styleId="TableBlockOutdent">
    <w:name w:val="Table BlockOutdent"/>
    <w:basedOn w:val="TableBlock"/>
    <w:rsid w:val="00DC3050"/>
    <w:pPr>
      <w:ind w:left="624" w:hanging="624"/>
    </w:pPr>
  </w:style>
  <w:style w:type="paragraph" w:styleId="a7">
    <w:name w:val="header"/>
    <w:basedOn w:val="a"/>
    <w:rsid w:val="00DC3050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DC3050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DC3050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DC3050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b/>
      <w:bCs/>
      <w:sz w:val="28"/>
      <w:szCs w:val="28"/>
      <w:u w:val="single"/>
    </w:rPr>
  </w:style>
  <w:style w:type="character" w:styleId="aa">
    <w:name w:val="page number"/>
    <w:basedOn w:val="a0"/>
    <w:rsid w:val="00DC3050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jc w:val="left"/>
    </w:pPr>
    <w:rPr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styleId="ad">
    <w:name w:val="List Paragraph"/>
    <w:basedOn w:val="a"/>
    <w:uiPriority w:val="34"/>
    <w:qFormat/>
    <w:rsid w:val="00DC3050"/>
    <w:pPr>
      <w:widowControl/>
      <w:spacing w:line="259" w:lineRule="auto"/>
    </w:pPr>
    <w:rPr>
      <w:rFonts w:asciiTheme="minorHAnsi" w:hAnsiTheme="minorHAnsi"/>
      <w:sz w:val="22"/>
    </w:rPr>
  </w:style>
  <w:style w:type="character" w:styleId="ae">
    <w:name w:val="annotation reference"/>
    <w:basedOn w:val="a0"/>
    <w:semiHidden/>
    <w:unhideWhenUsed/>
    <w:rsid w:val="00946C2B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46C2B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semiHidden/>
    <w:rsid w:val="00946C2B"/>
    <w:rPr>
      <w:rFonts w:ascii="Hadasa Roso SL" w:hAnsi="Hadasa Roso SL" w:cs="Hadasa Roso SL"/>
      <w:color w:val="000000"/>
      <w:spacing w:val="1"/>
      <w:lang w:eastAsia="ja-JP"/>
    </w:rPr>
  </w:style>
  <w:style w:type="paragraph" w:styleId="af1">
    <w:name w:val="annotation subject"/>
    <w:basedOn w:val="af"/>
    <w:next w:val="af"/>
    <w:link w:val="af2"/>
    <w:semiHidden/>
    <w:unhideWhenUsed/>
    <w:rsid w:val="00946C2B"/>
    <w:rPr>
      <w:b/>
      <w:bCs/>
    </w:rPr>
  </w:style>
  <w:style w:type="character" w:customStyle="1" w:styleId="af2">
    <w:name w:val="נושא הערה תו"/>
    <w:basedOn w:val="af0"/>
    <w:link w:val="af1"/>
    <w:semiHidden/>
    <w:rsid w:val="00946C2B"/>
    <w:rPr>
      <w:rFonts w:ascii="Hadasa Roso SL" w:hAnsi="Hadasa Roso SL" w:cs="Hadasa Roso SL"/>
      <w:b/>
      <w:bCs/>
      <w:color w:val="000000"/>
      <w:spacing w:val="1"/>
      <w:lang w:eastAsia="ja-JP"/>
    </w:rPr>
  </w:style>
  <w:style w:type="character" w:customStyle="1" w:styleId="10">
    <w:name w:val="כותרת 1 תו"/>
    <w:basedOn w:val="a0"/>
    <w:link w:val="1"/>
    <w:uiPriority w:val="9"/>
    <w:rsid w:val="00DC3050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20">
    <w:name w:val="כותרת 2 תו"/>
    <w:basedOn w:val="a0"/>
    <w:link w:val="2"/>
    <w:rsid w:val="00DC3050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DC3050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40">
    <w:name w:val="כותרת 4 תו"/>
    <w:basedOn w:val="a0"/>
    <w:link w:val="4"/>
    <w:uiPriority w:val="9"/>
    <w:rsid w:val="00DC3050"/>
    <w:rPr>
      <w:rFonts w:ascii="David" w:eastAsiaTheme="minorHAnsi" w:hAnsi="David" w:cs="David"/>
      <w:b/>
      <w:bCs/>
      <w:color w:val="000000" w:themeColor="text1"/>
      <w:sz w:val="24"/>
      <w:szCs w:val="28"/>
    </w:rPr>
  </w:style>
  <w:style w:type="character" w:customStyle="1" w:styleId="50">
    <w:name w:val="כותרת 5 תו"/>
    <w:basedOn w:val="a0"/>
    <w:link w:val="5"/>
    <w:uiPriority w:val="9"/>
    <w:rsid w:val="00DC3050"/>
    <w:rPr>
      <w:rFonts w:ascii="David" w:eastAsiaTheme="minorHAnsi" w:hAnsi="David" w:cs="David"/>
      <w:color w:val="000000" w:themeColor="text1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DC3050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DC3050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DC3050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DC3050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DC3050"/>
    <w:pPr>
      <w:tabs>
        <w:tab w:val="right" w:leader="dot" w:pos="9629"/>
      </w:tabs>
      <w:spacing w:after="100"/>
      <w:ind w:left="56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DC3050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DC3050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DC3050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DC3050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DC3050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DC3050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DC3050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DC3050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DC3050"/>
    <w:rPr>
      <w:rFonts w:eastAsia="Times New Roman"/>
    </w:rPr>
  </w:style>
  <w:style w:type="table" w:styleId="af4">
    <w:name w:val="Table Grid"/>
    <w:basedOn w:val="a1"/>
    <w:rsid w:val="00DC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DC30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DC30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5">
    <w:name w:val="טבלת חקיקה"/>
    <w:basedOn w:val="a1"/>
    <w:uiPriority w:val="99"/>
    <w:rsid w:val="00DC3050"/>
    <w:pPr>
      <w:jc w:val="center"/>
    </w:pPr>
    <w:rPr>
      <w:rFonts w:cstheme="minorBidi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3">
    <w:name w:val="סגנון1"/>
    <w:basedOn w:val="a1"/>
    <w:uiPriority w:val="99"/>
    <w:rsid w:val="00DC3050"/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13442BF316646AF5951F2A6F4E844" ma:contentTypeVersion="" ma:contentTypeDescription="צור מסמך חדש." ma:contentTypeScope="" ma:versionID="3e09f08e861ef8c9ca8a66bc33319a22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d7dd2f529bbe50785394ddfd47ca1ac1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CC29-41C7-43C7-AA6D-C4B426A17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0d5b49-c690-4c6f-bbb9-1e50dab33e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818AEF-4E39-432A-9694-65D50B9B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טליה דניאלה ווייס עמר</cp:lastModifiedBy>
  <cp:revision>19</cp:revision>
  <cp:lastPrinted>2013-07-04T08:25:00Z</cp:lastPrinted>
  <dcterms:created xsi:type="dcterms:W3CDTF">2015-04-20T09:58:00Z</dcterms:created>
  <dcterms:modified xsi:type="dcterms:W3CDTF">2021-08-01T06:08:00Z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0x010100ABE13442BF316646AF5951F2A6F4E844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2157321</vt:r8>
  </property>
</Properties>
</file>