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2160157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6" w14:textId="77777777" w:rsidR="00E13C27" w:rsidRDefault="008F6665" w:rsidP="00930EFE">
      <w:pPr>
        <w:pStyle w:val="David"/>
        <w:spacing w:line="360" w:lineRule="auto"/>
        <w:ind w:left="3544"/>
        <w:rPr>
          <w:b/>
          <w:bCs/>
          <w:rtl/>
        </w:rPr>
      </w:pPr>
      <w:bookmarkStart w:id="2" w:name="LGS_Initiators_List"/>
      <w:r>
        <w:rPr>
          <w:b/>
          <w:bCs/>
          <w:rtl/>
        </w:rPr>
        <w:t>יוזמת:</w:t>
      </w:r>
      <w:r>
        <w:tab/>
      </w:r>
      <w:r>
        <w:rPr>
          <w:b/>
          <w:bCs/>
          <w:rtl/>
        </w:rPr>
        <w:t xml:space="preserve">      חברת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מירי מרים רגב</w:t>
      </w:r>
      <w:bookmarkEnd w:id="3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4" w:name="Private_Number"/>
      <w:r>
        <w:rPr>
          <w:rFonts w:hint="cs"/>
          <w:rtl/>
        </w:rPr>
        <w:t>פ/1993/24</w:t>
      </w:r>
      <w:bookmarkEnd w:id="4"/>
    </w:p>
    <w:p w14:paraId="7F6961AD" w14:textId="112FCF3E" w:rsidR="00E13C27" w:rsidRPr="00F67051" w:rsidRDefault="00A443CF" w:rsidP="00C876CC">
      <w:pPr>
        <w:pStyle w:val="HeadHatzaotHok"/>
        <w:rPr>
          <w:rtl/>
        </w:rPr>
      </w:pPr>
      <w:bookmarkStart w:id="5" w:name="LGS_Subject"/>
      <w:r>
        <w:rPr>
          <w:rFonts w:hint="cs"/>
          <w:rtl/>
        </w:rPr>
        <w:t>הצעת חוק מס ערך מוסף (תיקון – פטור בעת קניית דירה ראשונה לזוגות צעירים בכל הארץ), התשפ"א</w:t>
      </w:r>
      <w:r w:rsidR="00C876CC">
        <w:rPr>
          <w:rFonts w:hint="cs"/>
          <w:rtl/>
        </w:rPr>
        <w:t>–</w:t>
      </w:r>
      <w:r>
        <w:rPr>
          <w:rFonts w:hint="cs"/>
          <w:rtl/>
        </w:rPr>
        <w:t>2021</w:t>
      </w:r>
      <w:bookmarkEnd w:id="5"/>
    </w:p>
    <w:tbl>
      <w:tblPr>
        <w:bidiVisual/>
        <w:tblW w:w="9641" w:type="dxa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624"/>
        <w:gridCol w:w="624"/>
        <w:gridCol w:w="624"/>
        <w:gridCol w:w="624"/>
        <w:gridCol w:w="624"/>
        <w:gridCol w:w="624"/>
        <w:gridCol w:w="4026"/>
      </w:tblGrid>
      <w:tr w:rsidR="009935F1" w14:paraId="0CEEEE3B" w14:textId="77777777" w:rsidTr="0040437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262DEB7B" w14:textId="77777777" w:rsidR="009935F1" w:rsidRDefault="009935F1" w:rsidP="0040437C">
            <w:pPr>
              <w:pStyle w:val="TableSideHeading"/>
              <w:ind w:right="0"/>
            </w:pPr>
            <w:r>
              <w:rPr>
                <w:sz w:val="26"/>
                <w:rtl/>
              </w:rPr>
              <w:t>הוספת סעיף 31ג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AAF8CB3" w14:textId="77777777" w:rsidR="009935F1" w:rsidRDefault="009935F1" w:rsidP="0040437C">
            <w:pPr>
              <w:pStyle w:val="TableText"/>
              <w:ind w:right="0"/>
              <w:jc w:val="both"/>
            </w:pPr>
            <w:r>
              <w:rPr>
                <w:sz w:val="26"/>
                <w:rtl/>
              </w:rPr>
              <w:t>1.</w:t>
            </w:r>
          </w:p>
        </w:tc>
        <w:tc>
          <w:tcPr>
            <w:tcW w:w="714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B57FA6" w14:textId="364BFF0F" w:rsidR="009935F1" w:rsidRDefault="009935F1" w:rsidP="00C876CC">
            <w:pPr>
              <w:pStyle w:val="TableBlock"/>
            </w:pPr>
            <w:r>
              <w:rPr>
                <w:sz w:val="26"/>
                <w:rtl/>
              </w:rPr>
              <w:t>בחוק מס ערך מוסף, התשל"ו–1975</w:t>
            </w:r>
            <w:r>
              <w:rPr>
                <w:rStyle w:val="a6"/>
                <w:sz w:val="26"/>
                <w:rtl/>
              </w:rPr>
              <w:footnoteReference w:id="2"/>
            </w:r>
            <w:r>
              <w:rPr>
                <w:sz w:val="26"/>
                <w:rtl/>
              </w:rPr>
              <w:t xml:space="preserve">, אחרי סעיף </w:t>
            </w:r>
            <w:r w:rsidR="00C876CC">
              <w:rPr>
                <w:sz w:val="26"/>
                <w:rtl/>
              </w:rPr>
              <w:t>31</w:t>
            </w:r>
            <w:r w:rsidR="00C876CC">
              <w:rPr>
                <w:rFonts w:hint="cs"/>
                <w:sz w:val="26"/>
                <w:rtl/>
              </w:rPr>
              <w:t>ג</w:t>
            </w:r>
            <w:r w:rsidR="00C876CC">
              <w:rPr>
                <w:sz w:val="26"/>
                <w:rtl/>
              </w:rPr>
              <w:t xml:space="preserve"> </w:t>
            </w:r>
            <w:r>
              <w:rPr>
                <w:sz w:val="26"/>
                <w:rtl/>
              </w:rPr>
              <w:t>יבוא:</w:t>
            </w:r>
          </w:p>
        </w:tc>
      </w:tr>
      <w:tr w:rsidR="009935F1" w14:paraId="0188D414" w14:textId="77777777" w:rsidTr="0040437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53608A1" w14:textId="77777777" w:rsidR="009935F1" w:rsidRDefault="009935F1" w:rsidP="0040437C">
            <w:pPr>
              <w:pStyle w:val="TableSideHeading"/>
              <w:ind w:right="0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4F5CEFF" w14:textId="77777777" w:rsidR="009935F1" w:rsidRDefault="009935F1" w:rsidP="0040437C">
            <w:pPr>
              <w:pStyle w:val="TableText"/>
              <w:ind w:right="0"/>
              <w:jc w:val="both"/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512E38E" w14:textId="77777777" w:rsidR="009935F1" w:rsidRDefault="009935F1" w:rsidP="0040437C">
            <w:pPr>
              <w:pStyle w:val="TableInnerSideHeading"/>
              <w:ind w:right="0"/>
            </w:pPr>
            <w:r>
              <w:rPr>
                <w:sz w:val="26"/>
                <w:rtl/>
              </w:rPr>
              <w:t>"פטור לדירה ראשונה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0B08D09" w14:textId="1C84AD4E" w:rsidR="009935F1" w:rsidRDefault="009935F1" w:rsidP="0040437C">
            <w:pPr>
              <w:pStyle w:val="TableText"/>
              <w:ind w:right="0"/>
              <w:jc w:val="both"/>
            </w:pPr>
            <w:r>
              <w:rPr>
                <w:sz w:val="26"/>
                <w:rtl/>
              </w:rPr>
              <w:t>31</w:t>
            </w:r>
            <w:r w:rsidR="00C876CC">
              <w:rPr>
                <w:rFonts w:hint="cs"/>
                <w:sz w:val="26"/>
                <w:rtl/>
              </w:rPr>
              <w:t>ד</w:t>
            </w:r>
            <w:r>
              <w:rPr>
                <w:sz w:val="26"/>
                <w:rtl/>
              </w:rPr>
              <w:t>.</w:t>
            </w: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1F72ED" w14:textId="77777777" w:rsidR="009935F1" w:rsidRDefault="009935F1" w:rsidP="0040437C">
            <w:pPr>
              <w:pStyle w:val="TableBlock"/>
            </w:pPr>
            <w:r>
              <w:rPr>
                <w:sz w:val="26"/>
                <w:rtl/>
              </w:rPr>
              <w:t>(א)</w:t>
            </w:r>
            <w:r>
              <w:rPr>
                <w:sz w:val="26"/>
                <w:rtl/>
              </w:rPr>
              <w:tab/>
              <w:t>בסעיף זה –</w:t>
            </w:r>
            <w:r>
              <w:t xml:space="preserve"> </w:t>
            </w:r>
          </w:p>
        </w:tc>
      </w:tr>
      <w:tr w:rsidR="009935F1" w14:paraId="23905A21" w14:textId="77777777" w:rsidTr="0040437C">
        <w:trPr>
          <w:cantSplit/>
          <w:trHeight w:val="6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93CBEFB" w14:textId="77777777" w:rsidR="009935F1" w:rsidRDefault="009935F1" w:rsidP="0040437C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A779A79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96DD991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6405FB4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EA42F91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BC1A9D7" w14:textId="77777777" w:rsidR="009935F1" w:rsidRDefault="009935F1" w:rsidP="0040437C">
            <w:pPr>
              <w:pStyle w:val="TableText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D609F" w14:textId="77777777" w:rsidR="009935F1" w:rsidRDefault="009935F1" w:rsidP="0040437C">
            <w:pPr>
              <w:pStyle w:val="TableBlockOutdent"/>
              <w:rPr>
                <w:sz w:val="26"/>
              </w:rPr>
            </w:pPr>
            <w:r>
              <w:rPr>
                <w:sz w:val="26"/>
                <w:rtl/>
              </w:rPr>
              <w:t>"דיר</w:t>
            </w:r>
            <w:r>
              <w:rPr>
                <w:rFonts w:hint="cs"/>
                <w:sz w:val="26"/>
                <w:rtl/>
              </w:rPr>
              <w:t>ה</w:t>
            </w:r>
            <w:r>
              <w:rPr>
                <w:sz w:val="26"/>
                <w:rtl/>
              </w:rPr>
              <w:t>" – כהגדרתה בסעיף 1 לחוק</w:t>
            </w:r>
            <w:r>
              <w:rPr>
                <w:rFonts w:hint="cs"/>
                <w:sz w:val="26"/>
                <w:rtl/>
              </w:rPr>
              <w:t xml:space="preserve"> הלוואות לדיור</w:t>
            </w:r>
            <w:r>
              <w:rPr>
                <w:sz w:val="26"/>
                <w:rtl/>
              </w:rPr>
              <w:t>, התש</w:t>
            </w:r>
            <w:r>
              <w:rPr>
                <w:rFonts w:hint="cs"/>
                <w:sz w:val="26"/>
                <w:rtl/>
              </w:rPr>
              <w:t>נ</w:t>
            </w:r>
            <w:r>
              <w:rPr>
                <w:sz w:val="26"/>
                <w:rtl/>
              </w:rPr>
              <w:t>"</w:t>
            </w:r>
            <w:r>
              <w:rPr>
                <w:rFonts w:hint="cs"/>
                <w:sz w:val="26"/>
                <w:rtl/>
              </w:rPr>
              <w:t>ב</w:t>
            </w:r>
            <w:r>
              <w:rPr>
                <w:sz w:val="26"/>
                <w:rtl/>
              </w:rPr>
              <w:t>–1</w:t>
            </w:r>
            <w:r>
              <w:rPr>
                <w:rFonts w:hint="cs"/>
                <w:sz w:val="26"/>
                <w:rtl/>
              </w:rPr>
              <w:t>992</w:t>
            </w:r>
            <w:r>
              <w:rPr>
                <w:rStyle w:val="a6"/>
                <w:sz w:val="26"/>
                <w:rtl/>
              </w:rPr>
              <w:footnoteReference w:id="3"/>
            </w:r>
            <w:r>
              <w:rPr>
                <w:sz w:val="26"/>
                <w:rtl/>
              </w:rPr>
              <w:t xml:space="preserve">; </w:t>
            </w:r>
          </w:p>
        </w:tc>
      </w:tr>
      <w:tr w:rsidR="009935F1" w14:paraId="41BE02DF" w14:textId="77777777" w:rsidTr="0040437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3DE5776" w14:textId="77777777" w:rsidR="009935F1" w:rsidRDefault="009935F1" w:rsidP="0040437C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3CE41E7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AC31476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8F4A8AA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CF76BA1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AE8F2A8" w14:textId="77777777" w:rsidR="009935F1" w:rsidRDefault="009935F1" w:rsidP="0040437C">
            <w:pPr>
              <w:pStyle w:val="TableText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B1D179" w14:textId="77777777" w:rsidR="009935F1" w:rsidRDefault="009935F1" w:rsidP="0040437C">
            <w:pPr>
              <w:pStyle w:val="TableBlockOutdent"/>
              <w:rPr>
                <w:sz w:val="26"/>
              </w:rPr>
            </w:pPr>
            <w:r>
              <w:rPr>
                <w:sz w:val="26"/>
                <w:rtl/>
              </w:rPr>
              <w:t xml:space="preserve">"דירת מגורים ראשונה" – דירת מגורים שזו היא הדירה הראשונה והיחידה שרשומה על שמו של הקונה; </w:t>
            </w:r>
          </w:p>
        </w:tc>
      </w:tr>
      <w:tr w:rsidR="009935F1" w14:paraId="0F2A5B5E" w14:textId="77777777" w:rsidTr="0040437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0FEDA" w14:textId="77777777" w:rsidR="009935F1" w:rsidRDefault="009935F1" w:rsidP="0040437C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CBDC2DE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6E99809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A7A85DB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296E14AD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F1BFCD2" w14:textId="77777777" w:rsidR="009935F1" w:rsidRDefault="009935F1" w:rsidP="0040437C">
            <w:pPr>
              <w:pStyle w:val="TableText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BF0B88" w14:textId="77777777" w:rsidR="009935F1" w:rsidRDefault="009935F1" w:rsidP="0040437C">
            <w:pPr>
              <w:pStyle w:val="TableBlockOutdent"/>
              <w:rPr>
                <w:sz w:val="26"/>
              </w:rPr>
            </w:pPr>
            <w:r>
              <w:rPr>
                <w:sz w:val="26"/>
                <w:rtl/>
              </w:rPr>
              <w:t xml:space="preserve">"זכאי" – בהתקיים שני </w:t>
            </w:r>
            <w:r>
              <w:rPr>
                <w:rFonts w:hint="cs"/>
                <w:sz w:val="26"/>
                <w:rtl/>
              </w:rPr>
              <w:t>תנאים אלה</w:t>
            </w:r>
            <w:r>
              <w:rPr>
                <w:sz w:val="26"/>
                <w:rtl/>
              </w:rPr>
              <w:t>:</w:t>
            </w:r>
          </w:p>
        </w:tc>
      </w:tr>
      <w:tr w:rsidR="009935F1" w14:paraId="5743D4D2" w14:textId="77777777" w:rsidTr="0040437C">
        <w:trPr>
          <w:cantSplit/>
          <w:trHeight w:val="6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6FFDB78" w14:textId="77777777" w:rsidR="009935F1" w:rsidRDefault="009935F1" w:rsidP="0040437C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0937EE3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5777A58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39D5E6E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73C8CD0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F2BBCA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31AFF03" w14:textId="77777777" w:rsidR="009935F1" w:rsidRDefault="009935F1" w:rsidP="0040437C">
            <w:pPr>
              <w:pStyle w:val="TableBlockOutdent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4DB5ECA2" w14:textId="77777777" w:rsidR="009935F1" w:rsidRDefault="009935F1" w:rsidP="0040437C">
            <w:pPr>
              <w:pStyle w:val="TableBlock"/>
            </w:pPr>
            <w:r>
              <w:rPr>
                <w:sz w:val="26"/>
                <w:rtl/>
              </w:rPr>
              <w:t>(1)</w:t>
            </w:r>
            <w:r>
              <w:rPr>
                <w:sz w:val="26"/>
                <w:rtl/>
              </w:rPr>
              <w:tab/>
              <w:t>אדם יחיד, או זוג צעיר שטרם חלף עשור מיום נישואיו אשר לו לא יותר משני ילדים;</w:t>
            </w:r>
          </w:p>
        </w:tc>
      </w:tr>
      <w:tr w:rsidR="009935F1" w14:paraId="4CCAA163" w14:textId="77777777" w:rsidTr="0040437C">
        <w:trPr>
          <w:cantSplit/>
          <w:trHeight w:val="60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6048718D" w14:textId="77777777" w:rsidR="009935F1" w:rsidRDefault="009935F1" w:rsidP="0040437C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6391253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680EDC4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7B2E5C74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C9DCFB1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D359564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BB0D9DE" w14:textId="77777777" w:rsidR="009935F1" w:rsidRDefault="009935F1" w:rsidP="0040437C">
            <w:pPr>
              <w:pStyle w:val="TableBlockOutdent"/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</w:tcPr>
          <w:p w14:paraId="2AA310DC" w14:textId="77777777" w:rsidR="009935F1" w:rsidRDefault="009935F1" w:rsidP="0040437C">
            <w:pPr>
              <w:pStyle w:val="TableBlock"/>
            </w:pPr>
            <w:r>
              <w:rPr>
                <w:sz w:val="26"/>
                <w:rtl/>
              </w:rPr>
              <w:t>(2)</w:t>
            </w:r>
            <w:r>
              <w:rPr>
                <w:sz w:val="26"/>
                <w:rtl/>
              </w:rPr>
              <w:tab/>
              <w:t>בעל תעודת זכאות של משרד הבינוי והשיכון;</w:t>
            </w:r>
          </w:p>
        </w:tc>
      </w:tr>
      <w:tr w:rsidR="009935F1" w14:paraId="11F18B13" w14:textId="77777777" w:rsidTr="0040437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49E2829" w14:textId="77777777" w:rsidR="009935F1" w:rsidRDefault="009935F1" w:rsidP="0040437C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2777487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BBE2B66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9939F0E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F499C00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5F28384" w14:textId="77777777" w:rsidR="009935F1" w:rsidRDefault="009935F1" w:rsidP="0040437C">
            <w:pPr>
              <w:pStyle w:val="TableText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C3EC9" w14:textId="77777777" w:rsidR="009935F1" w:rsidRDefault="009935F1" w:rsidP="0040437C">
            <w:pPr>
              <w:pStyle w:val="TableBlockOutdent"/>
              <w:rPr>
                <w:sz w:val="26"/>
              </w:rPr>
            </w:pPr>
            <w:r>
              <w:rPr>
                <w:sz w:val="26"/>
                <w:rtl/>
              </w:rPr>
              <w:t>"קבלן" – עוסק המנהל את פנקסיו על פי תוספת ד' להוראות מס הכנסה (ניהול פנקסי חשבונות), התשל"ג–1973</w:t>
            </w:r>
            <w:r>
              <w:rPr>
                <w:rStyle w:val="a6"/>
                <w:sz w:val="26"/>
                <w:rtl/>
              </w:rPr>
              <w:footnoteReference w:id="4"/>
            </w:r>
            <w:r>
              <w:rPr>
                <w:sz w:val="26"/>
                <w:rtl/>
              </w:rPr>
              <w:t>;</w:t>
            </w:r>
          </w:p>
        </w:tc>
      </w:tr>
      <w:tr w:rsidR="009935F1" w14:paraId="3B9794D5" w14:textId="77777777" w:rsidTr="0040437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711A83" w14:textId="77777777" w:rsidR="009935F1" w:rsidRDefault="009935F1" w:rsidP="0040437C">
            <w:pPr>
              <w:pStyle w:val="TableSideHeading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6012FFC9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3EBA6F2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12708575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01BC906E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9FD84E8" w14:textId="77777777" w:rsidR="009935F1" w:rsidRDefault="009935F1" w:rsidP="0040437C">
            <w:pPr>
              <w:pStyle w:val="TableText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E093EC" w14:textId="77777777" w:rsidR="009935F1" w:rsidRDefault="009935F1" w:rsidP="0040437C">
            <w:pPr>
              <w:pStyle w:val="TableBlockOutdent"/>
              <w:rPr>
                <w:sz w:val="26"/>
              </w:rPr>
            </w:pPr>
            <w:r>
              <w:rPr>
                <w:sz w:val="26"/>
                <w:rtl/>
              </w:rPr>
              <w:t>"שווי רכישה" – כהגדרתו בסעיף 5(ב)(3) לחוק מיסוי מקרקעין</w:t>
            </w:r>
            <w:r>
              <w:rPr>
                <w:rFonts w:hint="cs"/>
                <w:sz w:val="26"/>
                <w:rtl/>
              </w:rPr>
              <w:t xml:space="preserve"> (שבח ורכישה), התשכ"ג–1963</w:t>
            </w:r>
            <w:r>
              <w:rPr>
                <w:rStyle w:val="a6"/>
                <w:sz w:val="26"/>
                <w:rtl/>
              </w:rPr>
              <w:footnoteReference w:id="5"/>
            </w:r>
            <w:r>
              <w:rPr>
                <w:rFonts w:hint="cs"/>
                <w:sz w:val="26"/>
                <w:rtl/>
              </w:rPr>
              <w:t>.</w:t>
            </w:r>
          </w:p>
        </w:tc>
      </w:tr>
      <w:tr w:rsidR="009935F1" w14:paraId="651FD527" w14:textId="77777777" w:rsidTr="0040437C">
        <w:trPr>
          <w:cantSplit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1358FE3" w14:textId="77777777" w:rsidR="009935F1" w:rsidRDefault="009935F1" w:rsidP="0040437C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EDDCF82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5E6E721C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4E1C8BBD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829BD42" w14:textId="77777777" w:rsidR="009935F1" w:rsidRDefault="009935F1" w:rsidP="0040437C">
            <w:pPr>
              <w:pStyle w:val="TableText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14:paraId="344E6086" w14:textId="77777777" w:rsidR="009935F1" w:rsidRDefault="009935F1" w:rsidP="0040437C">
            <w:pPr>
              <w:pStyle w:val="TableBlock"/>
            </w:pPr>
          </w:p>
        </w:tc>
        <w:tc>
          <w:tcPr>
            <w:tcW w:w="46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9BC76" w14:textId="77777777" w:rsidR="009935F1" w:rsidRDefault="009935F1" w:rsidP="0040437C">
            <w:pPr>
              <w:pStyle w:val="TableBlock"/>
              <w:rPr>
                <w:sz w:val="26"/>
              </w:rPr>
            </w:pPr>
            <w:r>
              <w:rPr>
                <w:sz w:val="26"/>
                <w:rtl/>
              </w:rPr>
              <w:t>(ב)</w:t>
            </w:r>
            <w:r>
              <w:rPr>
                <w:sz w:val="26"/>
                <w:rtl/>
              </w:rPr>
              <w:tab/>
              <w:t>מכירה בידי קבלן לזכאי, של דירת מגורים ראשונה שמחירה, לא כולל מס ערך מוסף, אינו עולה על 1,</w:t>
            </w:r>
            <w:r>
              <w:rPr>
                <w:rFonts w:hint="cs"/>
                <w:sz w:val="26"/>
                <w:rtl/>
              </w:rPr>
              <w:t>3</w:t>
            </w:r>
            <w:r>
              <w:rPr>
                <w:sz w:val="26"/>
                <w:rtl/>
              </w:rPr>
              <w:t>00,000 שקלים חדשים, פטורה ממס."</w:t>
            </w:r>
          </w:p>
        </w:tc>
      </w:tr>
    </w:tbl>
    <w:p w14:paraId="114134A7" w14:textId="77777777" w:rsidR="009935F1" w:rsidRDefault="009935F1" w:rsidP="009935F1">
      <w:pPr>
        <w:pStyle w:val="HeadDivreiHesber"/>
        <w:rPr>
          <w:rtl/>
        </w:rPr>
      </w:pPr>
      <w:r>
        <w:rPr>
          <w:rFonts w:hint="cs"/>
          <w:rtl/>
        </w:rPr>
        <w:t>דברי הסבר</w:t>
      </w:r>
    </w:p>
    <w:p w14:paraId="0D8DAB56" w14:textId="77777777" w:rsidR="009935F1" w:rsidRPr="00D35DA0" w:rsidRDefault="009935F1" w:rsidP="009935F1">
      <w:pPr>
        <w:pStyle w:val="Hesber"/>
        <w:rPr>
          <w:rtl/>
        </w:rPr>
      </w:pPr>
      <w:r w:rsidRPr="006723EC">
        <w:rPr>
          <w:rFonts w:hint="cs"/>
          <w:rtl/>
        </w:rPr>
        <w:t>בשל המחסור העצום בדירות ב</w:t>
      </w:r>
      <w:r>
        <w:rPr>
          <w:rFonts w:hint="cs"/>
          <w:rtl/>
        </w:rPr>
        <w:t>אזור</w:t>
      </w:r>
      <w:r w:rsidRPr="006723EC">
        <w:rPr>
          <w:rFonts w:hint="cs"/>
          <w:rtl/>
        </w:rPr>
        <w:t xml:space="preserve"> תל-אביב והמרכז, מחירי הדירות האמירו, ו</w:t>
      </w:r>
      <w:r>
        <w:rPr>
          <w:rFonts w:hint="cs"/>
          <w:rtl/>
        </w:rPr>
        <w:t>כתוצאה מכך</w:t>
      </w:r>
      <w:r w:rsidRPr="006723EC">
        <w:rPr>
          <w:rFonts w:hint="cs"/>
          <w:rtl/>
        </w:rPr>
        <w:t xml:space="preserve"> גם גובה תשלומי שכר הדירה. האמרת מחירי הדירות, בשילוב עם צמצום הסיוע הממשלתי לרכישת דירה יצר</w:t>
      </w:r>
      <w:r w:rsidRPr="00D35DA0">
        <w:rPr>
          <w:rFonts w:hint="cs"/>
          <w:rtl/>
        </w:rPr>
        <w:t xml:space="preserve"> מצב </w:t>
      </w:r>
      <w:r>
        <w:rPr>
          <w:rFonts w:hint="cs"/>
          <w:rtl/>
        </w:rPr>
        <w:t>שבו אין ל</w:t>
      </w:r>
      <w:r w:rsidRPr="00D35DA0">
        <w:rPr>
          <w:rFonts w:hint="cs"/>
          <w:rtl/>
        </w:rPr>
        <w:t xml:space="preserve">זוגות צעירים </w:t>
      </w:r>
      <w:r>
        <w:rPr>
          <w:rFonts w:hint="cs"/>
          <w:rtl/>
        </w:rPr>
        <w:t>יכולת כלכלית ל</w:t>
      </w:r>
      <w:r w:rsidRPr="00D35DA0">
        <w:rPr>
          <w:rFonts w:hint="cs"/>
          <w:rtl/>
        </w:rPr>
        <w:t>רכוש דירה קטנה</w:t>
      </w:r>
      <w:r>
        <w:rPr>
          <w:rFonts w:hint="cs"/>
          <w:rtl/>
        </w:rPr>
        <w:t xml:space="preserve"> (בגודל של 100 מ"ר), ואף</w:t>
      </w:r>
      <w:r w:rsidRPr="00D35DA0">
        <w:rPr>
          <w:rFonts w:hint="cs"/>
          <w:rtl/>
        </w:rPr>
        <w:t xml:space="preserve"> לשכור </w:t>
      </w:r>
      <w:r>
        <w:rPr>
          <w:rFonts w:hint="cs"/>
          <w:rtl/>
        </w:rPr>
        <w:t>אחת</w:t>
      </w:r>
      <w:r w:rsidRPr="00D35DA0">
        <w:rPr>
          <w:rFonts w:hint="cs"/>
          <w:rtl/>
        </w:rPr>
        <w:t>.</w:t>
      </w:r>
      <w:r w:rsidRPr="004A5826">
        <w:rPr>
          <w:rFonts w:hint="cs"/>
          <w:rtl/>
        </w:rPr>
        <w:t xml:space="preserve"> </w:t>
      </w:r>
      <w:r>
        <w:rPr>
          <w:rFonts w:hint="cs"/>
          <w:rtl/>
        </w:rPr>
        <w:t>בעקבות זאת, הם נאלצים לשכור דירה קטנה יותר (בגודל של 80 מ"ר) במחיר גבוה. כך, עברו אלפי</w:t>
      </w:r>
      <w:r w:rsidRPr="00D35DA0">
        <w:rPr>
          <w:rFonts w:hint="cs"/>
          <w:rtl/>
        </w:rPr>
        <w:t xml:space="preserve"> תושבים להתגורר במחוזות אלו, </w:t>
      </w:r>
      <w:r>
        <w:rPr>
          <w:rFonts w:hint="cs"/>
          <w:rtl/>
        </w:rPr>
        <w:t xml:space="preserve">בשכירות </w:t>
      </w:r>
      <w:r w:rsidRPr="00D35DA0">
        <w:rPr>
          <w:rFonts w:hint="cs"/>
          <w:rtl/>
        </w:rPr>
        <w:t xml:space="preserve">בדירות </w:t>
      </w:r>
      <w:r>
        <w:rPr>
          <w:rFonts w:hint="cs"/>
          <w:rtl/>
        </w:rPr>
        <w:t>קטנות</w:t>
      </w:r>
      <w:r w:rsidRPr="00D35DA0">
        <w:rPr>
          <w:rFonts w:hint="cs"/>
          <w:rtl/>
        </w:rPr>
        <w:t xml:space="preserve"> במחירים גבוהים.</w:t>
      </w:r>
    </w:p>
    <w:p w14:paraId="0EF2AC5B" w14:textId="77777777" w:rsidR="009935F1" w:rsidRPr="00D35DA0" w:rsidRDefault="009935F1" w:rsidP="009935F1">
      <w:pPr>
        <w:pStyle w:val="Hesber"/>
        <w:rPr>
          <w:rtl/>
        </w:rPr>
      </w:pPr>
      <w:r w:rsidRPr="00D35DA0">
        <w:rPr>
          <w:rFonts w:hint="cs"/>
          <w:rtl/>
        </w:rPr>
        <w:t>בנוסף</w:t>
      </w:r>
      <w:r>
        <w:rPr>
          <w:rFonts w:hint="cs"/>
          <w:rtl/>
        </w:rPr>
        <w:t xml:space="preserve">, </w:t>
      </w:r>
      <w:r w:rsidRPr="00D35DA0">
        <w:rPr>
          <w:rFonts w:hint="cs"/>
          <w:rtl/>
        </w:rPr>
        <w:t>מדיניות המשכנתאות וגובה הר</w:t>
      </w:r>
      <w:r>
        <w:rPr>
          <w:rFonts w:hint="cs"/>
          <w:rtl/>
        </w:rPr>
        <w:t>י</w:t>
      </w:r>
      <w:r w:rsidRPr="00D35DA0">
        <w:rPr>
          <w:rFonts w:hint="cs"/>
          <w:rtl/>
        </w:rPr>
        <w:t>ביות להלוואות מדינה גרם לירידה משמעותית בלקיחת הלוואות ממשלתיות בקרב זכאי משרד השיכון ו</w:t>
      </w:r>
      <w:r>
        <w:rPr>
          <w:rFonts w:hint="cs"/>
          <w:rtl/>
        </w:rPr>
        <w:t>כן</w:t>
      </w:r>
      <w:r w:rsidRPr="00D35DA0">
        <w:rPr>
          <w:rFonts w:hint="cs"/>
          <w:rtl/>
        </w:rPr>
        <w:t xml:space="preserve"> לאי יכולתם של זוגות צעירים לממש את זכאותם לרכישת דירה.</w:t>
      </w:r>
    </w:p>
    <w:p w14:paraId="0ECAD5AF" w14:textId="77777777" w:rsidR="009935F1" w:rsidRDefault="009935F1" w:rsidP="009935F1">
      <w:pPr>
        <w:pStyle w:val="Hesber"/>
        <w:rPr>
          <w:rtl/>
        </w:rPr>
      </w:pPr>
      <w:r>
        <w:rPr>
          <w:rFonts w:hint="cs"/>
          <w:rtl/>
        </w:rPr>
        <w:t xml:space="preserve">הורדת מחירי הדירה </w:t>
      </w:r>
      <w:r w:rsidRPr="00D35DA0">
        <w:rPr>
          <w:rFonts w:hint="cs"/>
          <w:rtl/>
        </w:rPr>
        <w:t>באמצעות הפחת</w:t>
      </w:r>
      <w:r>
        <w:rPr>
          <w:rFonts w:hint="cs"/>
          <w:rtl/>
        </w:rPr>
        <w:t>ת</w:t>
      </w:r>
      <w:r w:rsidRPr="00D35DA0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D35DA0">
        <w:rPr>
          <w:rFonts w:hint="cs"/>
          <w:rtl/>
        </w:rPr>
        <w:t>מסים</w:t>
      </w:r>
      <w:r>
        <w:rPr>
          <w:rFonts w:hint="cs"/>
          <w:rtl/>
        </w:rPr>
        <w:t xml:space="preserve"> המוטלים על רכישתה</w:t>
      </w:r>
      <w:r w:rsidRPr="00D35DA0">
        <w:rPr>
          <w:rFonts w:hint="cs"/>
          <w:rtl/>
        </w:rPr>
        <w:t xml:space="preserve">, </w:t>
      </w:r>
      <w:r>
        <w:rPr>
          <w:rFonts w:hint="cs"/>
          <w:rtl/>
        </w:rPr>
        <w:t>או באמצעות סיוע בדיור,</w:t>
      </w:r>
      <w:r w:rsidRPr="00D35DA0">
        <w:rPr>
          <w:rFonts w:hint="cs"/>
          <w:rtl/>
        </w:rPr>
        <w:t xml:space="preserve"> </w:t>
      </w:r>
      <w:r>
        <w:rPr>
          <w:rFonts w:hint="cs"/>
          <w:rtl/>
        </w:rPr>
        <w:t>צפויה</w:t>
      </w:r>
      <w:r w:rsidRPr="00D35DA0">
        <w:rPr>
          <w:rFonts w:hint="cs"/>
          <w:rtl/>
        </w:rPr>
        <w:t xml:space="preserve"> להב</w:t>
      </w:r>
      <w:r>
        <w:rPr>
          <w:rFonts w:hint="cs"/>
          <w:rtl/>
        </w:rPr>
        <w:t xml:space="preserve">יא לגידול במספר עסקאות הרכישה. </w:t>
      </w:r>
      <w:r w:rsidRPr="00D35DA0">
        <w:rPr>
          <w:rFonts w:hint="cs"/>
          <w:rtl/>
        </w:rPr>
        <w:t>ה</w:t>
      </w:r>
      <w:r>
        <w:rPr>
          <w:rFonts w:hint="cs"/>
          <w:rtl/>
        </w:rPr>
        <w:t xml:space="preserve">פחתת מסים על </w:t>
      </w:r>
      <w:r w:rsidRPr="00D35DA0">
        <w:rPr>
          <w:rFonts w:hint="cs"/>
          <w:rtl/>
        </w:rPr>
        <w:t>דירה הראשונה</w:t>
      </w:r>
      <w:r>
        <w:rPr>
          <w:rFonts w:hint="cs"/>
          <w:rtl/>
        </w:rPr>
        <w:t xml:space="preserve">, </w:t>
      </w:r>
      <w:r w:rsidRPr="00D35DA0">
        <w:rPr>
          <w:rFonts w:hint="cs"/>
          <w:rtl/>
        </w:rPr>
        <w:t>כפי שמוצע בה</w:t>
      </w:r>
      <w:r>
        <w:rPr>
          <w:rFonts w:hint="cs"/>
          <w:rtl/>
        </w:rPr>
        <w:t>צעת החוק,</w:t>
      </w:r>
      <w:r w:rsidRPr="00D35DA0">
        <w:rPr>
          <w:rFonts w:hint="cs"/>
          <w:rtl/>
        </w:rPr>
        <w:t xml:space="preserve"> תגדיל באופן משמעותי את הפעילו</w:t>
      </w:r>
      <w:r>
        <w:rPr>
          <w:rFonts w:hint="cs"/>
          <w:rtl/>
        </w:rPr>
        <w:t>ת בתחום הדיור ותגביר את הביקוש</w:t>
      </w:r>
      <w:r w:rsidRPr="00D35DA0">
        <w:rPr>
          <w:rFonts w:hint="cs"/>
          <w:rtl/>
        </w:rPr>
        <w:t xml:space="preserve"> לרכישת דירות</w:t>
      </w:r>
      <w:r>
        <w:rPr>
          <w:rFonts w:hint="cs"/>
          <w:rtl/>
        </w:rPr>
        <w:t xml:space="preserve"> בקרב זוגות צעירים, דבר שיביא להגדלת </w:t>
      </w:r>
      <w:r w:rsidRPr="00D35DA0">
        <w:rPr>
          <w:rFonts w:hint="cs"/>
          <w:rtl/>
        </w:rPr>
        <w:t xml:space="preserve">הכנסות </w:t>
      </w:r>
      <w:r>
        <w:rPr>
          <w:rFonts w:hint="cs"/>
          <w:rtl/>
        </w:rPr>
        <w:t xml:space="preserve">המדינה </w:t>
      </w:r>
      <w:r w:rsidRPr="00D35DA0">
        <w:rPr>
          <w:rFonts w:hint="cs"/>
          <w:rtl/>
        </w:rPr>
        <w:t>ממסים ישירים ועקיפים הנובעים ממכירת הדירות</w:t>
      </w:r>
      <w:r>
        <w:rPr>
          <w:rFonts w:hint="cs"/>
          <w:rtl/>
        </w:rPr>
        <w:t>, וכן לגידול</w:t>
      </w:r>
      <w:r w:rsidRPr="00F44E2D">
        <w:rPr>
          <w:rFonts w:hint="cs"/>
          <w:rtl/>
        </w:rPr>
        <w:t xml:space="preserve"> </w:t>
      </w:r>
      <w:r w:rsidRPr="00D35DA0">
        <w:rPr>
          <w:rFonts w:hint="cs"/>
          <w:rtl/>
        </w:rPr>
        <w:t>בהכנסות הרשויות המקומיות מארנונה ומאגרות, לרבות היטל</w:t>
      </w:r>
      <w:r>
        <w:rPr>
          <w:rFonts w:hint="cs"/>
          <w:rtl/>
        </w:rPr>
        <w:t>י</w:t>
      </w:r>
      <w:r w:rsidRPr="00D35DA0">
        <w:rPr>
          <w:rFonts w:hint="cs"/>
          <w:rtl/>
        </w:rPr>
        <w:t xml:space="preserve"> השבחה, היטל</w:t>
      </w:r>
      <w:r>
        <w:rPr>
          <w:rFonts w:hint="cs"/>
          <w:rtl/>
        </w:rPr>
        <w:t>י</w:t>
      </w:r>
      <w:r w:rsidRPr="00D35DA0">
        <w:rPr>
          <w:rFonts w:hint="cs"/>
          <w:rtl/>
        </w:rPr>
        <w:t xml:space="preserve"> פיתוח ואגרות רישוי בנייה. </w:t>
      </w:r>
    </w:p>
    <w:p w14:paraId="7F6961CB" w14:textId="0DBCAD14" w:rsidR="00E13C27" w:rsidRDefault="009935F1" w:rsidP="005C1746">
      <w:pPr>
        <w:pStyle w:val="Hesber"/>
        <w:rPr>
          <w:rtl/>
        </w:rPr>
      </w:pPr>
      <w:r>
        <w:rPr>
          <w:sz w:val="26"/>
          <w:rtl/>
        </w:rPr>
        <w:t>הצעות חוק דומות בעיקרן הונחו על שולחן הכנסת השבע-עשרה על ידי חברת הכנסת סופה לנדבר וקבוצת חברי הכנסת (פ/1605/17)</w:t>
      </w:r>
      <w:r>
        <w:rPr>
          <w:rFonts w:hint="cs"/>
          <w:sz w:val="26"/>
          <w:rtl/>
        </w:rPr>
        <w:t xml:space="preserve"> ו</w:t>
      </w:r>
      <w:r>
        <w:rPr>
          <w:sz w:val="26"/>
          <w:rtl/>
        </w:rPr>
        <w:t>על ידי חבר הכנסת אלחנן גלזר (פ/3224/17)</w:t>
      </w:r>
      <w:r>
        <w:rPr>
          <w:rFonts w:hint="cs"/>
          <w:sz w:val="26"/>
          <w:rtl/>
        </w:rPr>
        <w:t xml:space="preserve">, </w:t>
      </w:r>
      <w:r>
        <w:rPr>
          <w:sz w:val="26"/>
          <w:rtl/>
        </w:rPr>
        <w:t xml:space="preserve">על שולחן הכנסת השמונה-עשרה על ידי חברת הכנסת סופה לנדבר וקבוצת חברי </w:t>
      </w:r>
      <w:r>
        <w:rPr>
          <w:rFonts w:hint="cs"/>
          <w:sz w:val="26"/>
          <w:rtl/>
        </w:rPr>
        <w:t>ה</w:t>
      </w:r>
      <w:r>
        <w:rPr>
          <w:sz w:val="26"/>
          <w:rtl/>
        </w:rPr>
        <w:t xml:space="preserve">כנסת (פ/115/18), על ידי חברת הכנסת מירי רגב וקבוצת חברי </w:t>
      </w:r>
      <w:r>
        <w:rPr>
          <w:rFonts w:hint="cs"/>
          <w:sz w:val="26"/>
          <w:rtl/>
        </w:rPr>
        <w:t>ה</w:t>
      </w:r>
      <w:r>
        <w:rPr>
          <w:sz w:val="26"/>
          <w:rtl/>
        </w:rPr>
        <w:t>כנסת (פ/2333/18), על ידי חבר הכנסת יעקב אדרי (פ/2736/18)</w:t>
      </w:r>
      <w:r>
        <w:rPr>
          <w:rFonts w:hint="cs"/>
          <w:sz w:val="26"/>
          <w:rtl/>
        </w:rPr>
        <w:t xml:space="preserve">, </w:t>
      </w:r>
      <w:r>
        <w:rPr>
          <w:sz w:val="26"/>
          <w:rtl/>
        </w:rPr>
        <w:t>על ידי חבר הכנסת יואל חסון (פ/</w:t>
      </w:r>
      <w:r>
        <w:rPr>
          <w:rFonts w:hint="cs"/>
          <w:sz w:val="26"/>
          <w:rtl/>
        </w:rPr>
        <w:t>2753/18</w:t>
      </w:r>
      <w:r>
        <w:rPr>
          <w:sz w:val="26"/>
          <w:rtl/>
        </w:rPr>
        <w:t>)</w:t>
      </w:r>
      <w:r>
        <w:rPr>
          <w:rFonts w:hint="cs"/>
          <w:sz w:val="26"/>
          <w:rtl/>
        </w:rPr>
        <w:t xml:space="preserve"> ועל ידי חבר הכנסת מאיר שטרית (פ/3673/18), ו</w:t>
      </w:r>
      <w:r>
        <w:rPr>
          <w:sz w:val="26"/>
          <w:rtl/>
        </w:rPr>
        <w:t>על שולחן הכנסת ה</w:t>
      </w:r>
      <w:r>
        <w:rPr>
          <w:rFonts w:hint="cs"/>
          <w:sz w:val="26"/>
          <w:rtl/>
        </w:rPr>
        <w:t>תשע</w:t>
      </w:r>
      <w:r>
        <w:rPr>
          <w:sz w:val="26"/>
          <w:rtl/>
        </w:rPr>
        <w:t xml:space="preserve">-עשרה על ידי חבר הכנסת </w:t>
      </w:r>
      <w:r>
        <w:rPr>
          <w:rFonts w:hint="cs"/>
          <w:sz w:val="26"/>
          <w:rtl/>
        </w:rPr>
        <w:t xml:space="preserve">ישראל אייכלר </w:t>
      </w:r>
      <w:r>
        <w:rPr>
          <w:sz w:val="26"/>
          <w:rtl/>
        </w:rPr>
        <w:t>(פ/</w:t>
      </w:r>
      <w:r>
        <w:rPr>
          <w:rFonts w:hint="cs"/>
          <w:sz w:val="26"/>
          <w:rtl/>
        </w:rPr>
        <w:t>415/19</w:t>
      </w:r>
      <w:r w:rsidR="005C1746">
        <w:rPr>
          <w:rFonts w:hint="cs"/>
          <w:sz w:val="26"/>
          <w:rtl/>
        </w:rPr>
        <w:t>; פ/2462/19</w:t>
      </w:r>
      <w:r>
        <w:rPr>
          <w:rFonts w:hint="cs"/>
          <w:sz w:val="26"/>
          <w:rtl/>
        </w:rPr>
        <w:t>)</w:t>
      </w:r>
      <w:r>
        <w:rPr>
          <w:rFonts w:hint="cs"/>
          <w:sz w:val="26"/>
        </w:rPr>
        <w:t xml:space="preserve"> </w:t>
      </w:r>
      <w:r>
        <w:rPr>
          <w:rFonts w:hint="cs"/>
          <w:sz w:val="26"/>
          <w:rtl/>
        </w:rPr>
        <w:t>ועל ידי חברת הכנסת מירי רגב (</w:t>
      </w:r>
      <w:bookmarkStart w:id="6" w:name="LawNum"/>
      <w:r>
        <w:rPr>
          <w:sz w:val="26"/>
          <w:rtl/>
        </w:rPr>
        <w:t>פ/489/19</w:t>
      </w:r>
      <w:bookmarkEnd w:id="6"/>
      <w:r>
        <w:rPr>
          <w:rFonts w:hint="cs"/>
          <w:sz w:val="26"/>
          <w:rtl/>
        </w:rPr>
        <w:t>)</w:t>
      </w:r>
      <w:r w:rsidR="005C1746">
        <w:rPr>
          <w:rFonts w:hint="cs"/>
          <w:rtl/>
        </w:rPr>
        <w:t xml:space="preserve">, על שולחן הכנסת העשרים ועל שולחן הכנסת העשרים ושתיים על ידי חבר הכנסת ישראל אייכלר (פ/759/20; פ/640/22), ועל שולחן הכנסת העשרים ושלוש ועל שולחן הכנסת העשרים וארבע על ידי חבר הכנסת ישראל אייכלר וקבוצת חברי הכנסת (פ/1991/23; </w:t>
      </w:r>
      <w:r w:rsidR="005E7FFE">
        <w:rPr>
          <w:rFonts w:hint="cs"/>
          <w:rtl/>
        </w:rPr>
        <w:t>פ/</w:t>
      </w:r>
      <w:r w:rsidR="005C1746">
        <w:rPr>
          <w:rFonts w:hint="cs"/>
          <w:rtl/>
        </w:rPr>
        <w:t>850/24).</w:t>
      </w:r>
    </w:p>
    <w:p w14:paraId="2B6DDA50" w14:textId="77777777" w:rsidR="00D53E24" w:rsidRDefault="00D53E24" w:rsidP="005C1746">
      <w:pPr>
        <w:pStyle w:val="Hesber"/>
        <w:rPr>
          <w:rtl/>
        </w:rPr>
      </w:pPr>
      <w:bookmarkStart w:id="7" w:name="_GoBack"/>
      <w:bookmarkEnd w:id="7"/>
    </w:p>
    <w:p w14:paraId="0EB4990C" w14:textId="77777777" w:rsidR="008E3B7A" w:rsidRDefault="00D53E24">
      <w:pPr>
        <w:spacing w:before="0" w:line="360" w:lineRule="auto"/>
        <w:jc w:val="left"/>
      </w:pPr>
      <w:bookmarkStart w:id="8" w:name="selectedDocDateB"/>
      <w:bookmarkEnd w:id="8"/>
      <w:r>
        <w:rPr>
          <w:rFonts w:ascii="David" w:eastAsia="David" w:hAnsi="David" w:cs="David" w:hint="cs"/>
          <w:sz w:val="26"/>
          <w:szCs w:val="26"/>
          <w:rtl/>
        </w:rPr>
        <w:t>--------------------------------</w:t>
      </w:r>
    </w:p>
    <w:p w14:paraId="41600D45" w14:textId="77777777" w:rsidR="008E3B7A" w:rsidRDefault="00D53E24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הוגשה ליו"ר הכנסת והסגנים</w:t>
      </w:r>
    </w:p>
    <w:p w14:paraId="1CE9DFFB" w14:textId="77777777" w:rsidR="008E3B7A" w:rsidRDefault="00D53E24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והונחה על שולחן הכנסת ביום</w:t>
      </w:r>
    </w:p>
    <w:p w14:paraId="53425C20" w14:textId="77777777" w:rsidR="008E3B7A" w:rsidRDefault="00D53E24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 xml:space="preserve">כ"ד באב התשפ"א (02.08.2021) </w:t>
      </w:r>
    </w:p>
    <w:p w14:paraId="019D683D" w14:textId="77777777" w:rsidR="008E3B7A" w:rsidRDefault="008E3B7A">
      <w:pPr>
        <w:spacing w:before="0" w:line="276" w:lineRule="auto"/>
        <w:jc w:val="left"/>
      </w:pPr>
    </w:p>
    <w:sectPr w:rsidR="008E3B7A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end"/>
    </w:r>
  </w:p>
  <w:p w14:paraId="7F6961D6" w14:textId="77777777" w:rsidR="002C3041" w:rsidRDefault="002C30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9"/>
      <w:framePr w:wrap="around" w:vAnchor="text" w:hAnchor="text" w:xAlign="center" w:y="1"/>
      <w:rPr>
        <w:rStyle w:val="ab"/>
      </w:rPr>
    </w:pPr>
    <w:r>
      <w:rPr>
        <w:rStyle w:val="ab"/>
        <w:rtl/>
      </w:rPr>
      <w:fldChar w:fldCharType="begin"/>
    </w:r>
    <w:r>
      <w:rPr>
        <w:rStyle w:val="ab"/>
      </w:rPr>
      <w:instrText xml:space="preserve">PAGE  </w:instrText>
    </w:r>
    <w:r>
      <w:rPr>
        <w:rStyle w:val="ab"/>
        <w:rtl/>
      </w:rPr>
      <w:fldChar w:fldCharType="separate"/>
    </w:r>
    <w:r w:rsidR="00D53E24">
      <w:rPr>
        <w:rStyle w:val="ab"/>
        <w:noProof/>
        <w:rtl/>
      </w:rPr>
      <w:t>2</w:t>
    </w:r>
    <w:r>
      <w:rPr>
        <w:rStyle w:val="ab"/>
        <w:rtl/>
      </w:rPr>
      <w:fldChar w:fldCharType="end"/>
    </w:r>
  </w:p>
  <w:p w14:paraId="7F6961D8" w14:textId="77777777" w:rsidR="002C3041" w:rsidRDefault="002C30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27456E1D" w14:textId="77777777" w:rsidR="009935F1" w:rsidRDefault="009935F1" w:rsidP="009935F1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התשל"ו, עמ' 52.</w:t>
      </w:r>
    </w:p>
  </w:footnote>
  <w:footnote w:id="3">
    <w:p w14:paraId="2D9E186A" w14:textId="77777777" w:rsidR="009935F1" w:rsidRDefault="009935F1" w:rsidP="009935F1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ס"ח התש</w:t>
      </w:r>
      <w:r>
        <w:rPr>
          <w:rFonts w:hint="cs"/>
          <w:sz w:val="20"/>
          <w:rtl/>
        </w:rPr>
        <w:t>נ</w:t>
      </w:r>
      <w:r>
        <w:rPr>
          <w:sz w:val="20"/>
          <w:rtl/>
        </w:rPr>
        <w:t>"</w:t>
      </w:r>
      <w:r>
        <w:rPr>
          <w:rFonts w:hint="cs"/>
          <w:sz w:val="20"/>
          <w:rtl/>
        </w:rPr>
        <w:t>ב</w:t>
      </w:r>
      <w:r>
        <w:rPr>
          <w:sz w:val="20"/>
          <w:rtl/>
        </w:rPr>
        <w:t xml:space="preserve">, עמ' </w:t>
      </w:r>
      <w:r>
        <w:rPr>
          <w:rFonts w:hint="cs"/>
          <w:sz w:val="20"/>
          <w:rtl/>
        </w:rPr>
        <w:t>246</w:t>
      </w:r>
      <w:r>
        <w:rPr>
          <w:sz w:val="20"/>
          <w:rtl/>
        </w:rPr>
        <w:t>.</w:t>
      </w:r>
    </w:p>
  </w:footnote>
  <w:footnote w:id="4">
    <w:p w14:paraId="251B7818" w14:textId="77777777" w:rsidR="009935F1" w:rsidRDefault="009935F1" w:rsidP="009935F1">
      <w:pPr>
        <w:pStyle w:val="a4"/>
      </w:pPr>
      <w:r>
        <w:rPr>
          <w:rStyle w:val="a6"/>
        </w:rPr>
        <w:footnoteRef/>
      </w:r>
      <w:r>
        <w:rPr>
          <w:sz w:val="20"/>
          <w:rtl/>
        </w:rPr>
        <w:t xml:space="preserve"> ק"ת התשל"ג, עמ' 626.</w:t>
      </w:r>
    </w:p>
  </w:footnote>
  <w:footnote w:id="5">
    <w:p w14:paraId="29DB058A" w14:textId="77777777" w:rsidR="009935F1" w:rsidRDefault="009935F1" w:rsidP="009935F1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ס"ח התשכ"ג, עמ' 156.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B30EE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C1746"/>
    <w:rsid w:val="005D51AE"/>
    <w:rsid w:val="005E7FF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3B7A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935F1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14BD2"/>
    <w:rsid w:val="00C23B1A"/>
    <w:rsid w:val="00C310EB"/>
    <w:rsid w:val="00C876CC"/>
    <w:rsid w:val="00C9176A"/>
    <w:rsid w:val="00CF1AA2"/>
    <w:rsid w:val="00D142D3"/>
    <w:rsid w:val="00D17774"/>
    <w:rsid w:val="00D53E24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C65B3"/>
    <w:rsid w:val="00ED4A6F"/>
    <w:rsid w:val="00EF3A3A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8DDD1FB5-4D7F-4A3D-BA15-484F93DC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link w:val="a5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6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7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8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a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b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c">
    <w:name w:val="Balloon Text"/>
    <w:basedOn w:val="a"/>
    <w:link w:val="ad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  <w:style w:type="character" w:customStyle="1" w:styleId="a5">
    <w:name w:val="טקסט הערת שוליים תו"/>
    <w:link w:val="a4"/>
    <w:semiHidden/>
    <w:rsid w:val="009935F1"/>
    <w:rPr>
      <w:rFonts w:ascii="Arial" w:eastAsia="Arial Unicode MS" w:hAnsi="Arial" w:cs="David"/>
      <w:snapToGrid w:val="0"/>
      <w:color w:val="000000"/>
      <w:sz w:val="1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C25A29CB36A16E48989D4D40273092E6" ma:contentTypeVersion="" ma:contentTypeDescription="צור מסמך חדש." ma:contentTypeScope="" ma:versionID="960836d9d79fe574671dad3ce2a7fd7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52e17932849a6e52ec7291f1d302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951D60E-3310-4E2B-9EB8-9F4868795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B5D17-05A5-404A-8535-8AD093096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א</cp:lastModifiedBy>
  <cp:revision>8</cp:revision>
  <cp:lastPrinted>2021-07-14T12:43:00Z</cp:lastPrinted>
  <dcterms:created xsi:type="dcterms:W3CDTF">2015-04-20T09:58:00Z</dcterms:created>
  <dcterms:modified xsi:type="dcterms:W3CDTF">2021-07-28T11:06:00Z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0x010100C25A29CB36A16E48989D4D40273092E6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2160157</vt:r8>
  </property>
</Properties>
</file>