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2160059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033D7">
      <w:pPr>
        <w:pStyle w:val="David"/>
        <w:spacing w:line="276" w:lineRule="auto"/>
        <w:ind w:left="3544"/>
        <w:rPr>
          <w:b/>
          <w:bCs/>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 xml:space="preserve">אריה </w:t>
      </w:r>
      <w:proofErr w:type="spellStart"/>
      <w:r>
        <w:rPr>
          <w:rFonts w:hint="cs"/>
          <w:b/>
          <w:bCs/>
          <w:rtl/>
        </w:rPr>
        <w:t>מכלוף</w:t>
      </w:r>
      <w:proofErr w:type="spellEnd"/>
      <w:r>
        <w:rPr>
          <w:rFonts w:hint="cs"/>
          <w:b/>
          <w:bCs/>
          <w:rtl/>
        </w:rPr>
        <w:t xml:space="preserve"> דרעי</w:t>
      </w:r>
      <w:r>
        <w:br/>
      </w:r>
      <w:r>
        <w:rPr>
          <w:rFonts w:hint="cs"/>
          <w:b/>
          <w:bCs/>
          <w:rtl/>
        </w:rPr>
        <w:t xml:space="preserve"> </w:t>
      </w:r>
      <w:r>
        <w:tab/>
      </w:r>
      <w:r>
        <w:tab/>
      </w:r>
      <w:r>
        <w:tab/>
      </w:r>
      <w:r>
        <w:tab/>
      </w:r>
      <w:r>
        <w:rPr>
          <w:rFonts w:hint="cs"/>
          <w:b/>
          <w:bCs/>
          <w:rtl/>
        </w:rPr>
        <w:t xml:space="preserve">מיכאל </w:t>
      </w:r>
      <w:proofErr w:type="spellStart"/>
      <w:r>
        <w:rPr>
          <w:rFonts w:hint="cs"/>
          <w:b/>
          <w:bCs/>
          <w:rtl/>
        </w:rPr>
        <w:t>מלכיאלי</w:t>
      </w:r>
      <w:proofErr w:type="spellEnd"/>
      <w:r>
        <w:br/>
      </w:r>
      <w:r>
        <w:rPr>
          <w:rFonts w:hint="cs"/>
          <w:b/>
          <w:bCs/>
          <w:rtl/>
        </w:rPr>
        <w:t xml:space="preserve"> </w:t>
      </w:r>
      <w:r>
        <w:tab/>
      </w:r>
      <w:r>
        <w:tab/>
      </w:r>
      <w:r>
        <w:tab/>
      </w:r>
      <w:r>
        <w:tab/>
      </w:r>
      <w:r>
        <w:rPr>
          <w:rFonts w:hint="cs"/>
          <w:b/>
          <w:bCs/>
          <w:rtl/>
        </w:rPr>
        <w:t xml:space="preserve">יעקב </w:t>
      </w:r>
      <w:proofErr w:type="spellStart"/>
      <w:r>
        <w:rPr>
          <w:rFonts w:hint="cs"/>
          <w:b/>
          <w:bCs/>
          <w:rtl/>
        </w:rPr>
        <w:t>מרגי</w:t>
      </w:r>
      <w:proofErr w:type="spellEnd"/>
      <w:r>
        <w:br/>
      </w:r>
      <w:r>
        <w:rPr>
          <w:rFonts w:hint="cs"/>
          <w:b/>
          <w:bCs/>
          <w:rtl/>
        </w:rPr>
        <w:t xml:space="preserve"> </w:t>
      </w:r>
      <w:r>
        <w:tab/>
      </w:r>
      <w:r>
        <w:tab/>
      </w:r>
      <w:r>
        <w:tab/>
      </w:r>
      <w:r>
        <w:tab/>
      </w:r>
      <w:r>
        <w:rPr>
          <w:rFonts w:hint="cs"/>
          <w:b/>
          <w:bCs/>
          <w:rtl/>
        </w:rPr>
        <w:t>יואב בן צור</w:t>
      </w:r>
      <w:r>
        <w:br/>
      </w:r>
      <w:r>
        <w:rPr>
          <w:rFonts w:hint="cs"/>
          <w:b/>
          <w:bCs/>
          <w:rtl/>
        </w:rPr>
        <w:t xml:space="preserve"> </w:t>
      </w:r>
      <w:r>
        <w:tab/>
      </w:r>
      <w:r>
        <w:tab/>
      </w:r>
      <w:r>
        <w:tab/>
      </w:r>
      <w:r>
        <w:tab/>
      </w:r>
      <w:r>
        <w:rPr>
          <w:rFonts w:hint="cs"/>
          <w:b/>
          <w:bCs/>
          <w:rtl/>
        </w:rPr>
        <w:t>חיים ביטון</w:t>
      </w:r>
      <w:r>
        <w:br/>
      </w:r>
      <w:r>
        <w:rPr>
          <w:rFonts w:hint="cs"/>
          <w:b/>
          <w:bCs/>
          <w:rtl/>
        </w:rPr>
        <w:t xml:space="preserve"> </w:t>
      </w:r>
      <w:r>
        <w:tab/>
      </w:r>
      <w:r>
        <w:tab/>
      </w:r>
      <w:r>
        <w:tab/>
      </w:r>
      <w:r>
        <w:tab/>
      </w:r>
      <w:r>
        <w:rPr>
          <w:rFonts w:hint="cs"/>
          <w:b/>
          <w:bCs/>
          <w:rtl/>
        </w:rPr>
        <w:t>משה ארבל</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 xml:space="preserve">אוריאל </w:t>
      </w:r>
      <w:proofErr w:type="spellStart"/>
      <w:r>
        <w:rPr>
          <w:rFonts w:hint="cs"/>
          <w:b/>
          <w:bCs/>
          <w:rtl/>
        </w:rPr>
        <w:t>בוסו</w:t>
      </w:r>
      <w:proofErr w:type="spellEnd"/>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אופיר כץ</w:t>
      </w:r>
      <w:r>
        <w:br/>
      </w:r>
      <w:r>
        <w:rPr>
          <w:rFonts w:hint="cs"/>
          <w:b/>
          <w:bCs/>
          <w:rtl/>
        </w:rPr>
        <w:t xml:space="preserve"> </w:t>
      </w:r>
      <w:r>
        <w:tab/>
      </w:r>
      <w:r>
        <w:tab/>
      </w:r>
      <w:r>
        <w:tab/>
      </w:r>
      <w:r>
        <w:tab/>
      </w:r>
      <w:r>
        <w:rPr>
          <w:rFonts w:hint="cs"/>
          <w:b/>
          <w:bCs/>
          <w:rtl/>
        </w:rPr>
        <w:t xml:space="preserve">חוה אתי </w:t>
      </w:r>
      <w:proofErr w:type="spellStart"/>
      <w:r>
        <w:rPr>
          <w:rFonts w:hint="cs"/>
          <w:b/>
          <w:bCs/>
          <w:rtl/>
        </w:rPr>
        <w:t>עטייה</w:t>
      </w:r>
      <w:proofErr w:type="spellEnd"/>
      <w:r>
        <w:br/>
      </w:r>
      <w:r>
        <w:rPr>
          <w:rFonts w:hint="cs"/>
          <w:b/>
          <w:bCs/>
          <w:rtl/>
        </w:rPr>
        <w:t xml:space="preserve"> </w:t>
      </w:r>
      <w:r>
        <w:tab/>
      </w:r>
      <w:r>
        <w:tab/>
      </w:r>
      <w:r>
        <w:tab/>
      </w:r>
      <w:r>
        <w:tab/>
      </w:r>
      <w:r>
        <w:rPr>
          <w:rFonts w:hint="cs"/>
          <w:b/>
          <w:bCs/>
          <w:rtl/>
        </w:rPr>
        <w:t>אמיר אוחנה</w:t>
      </w:r>
      <w:r>
        <w:br/>
      </w:r>
      <w:r>
        <w:rPr>
          <w:rFonts w:hint="cs"/>
          <w:b/>
          <w:bCs/>
          <w:rtl/>
        </w:rPr>
        <w:t xml:space="preserve"> </w:t>
      </w:r>
      <w:r>
        <w:tab/>
      </w:r>
      <w:r>
        <w:tab/>
      </w:r>
      <w:r>
        <w:tab/>
      </w:r>
      <w:r>
        <w:tab/>
      </w:r>
      <w:proofErr w:type="spellStart"/>
      <w:r>
        <w:rPr>
          <w:rFonts w:hint="cs"/>
          <w:b/>
          <w:bCs/>
          <w:rtl/>
        </w:rPr>
        <w:t>דסטה</w:t>
      </w:r>
      <w:proofErr w:type="spellEnd"/>
      <w:r>
        <w:rPr>
          <w:rFonts w:hint="cs"/>
          <w:b/>
          <w:bCs/>
          <w:rtl/>
        </w:rPr>
        <w:t xml:space="preserve"> גדי </w:t>
      </w:r>
      <w:proofErr w:type="spellStart"/>
      <w:r>
        <w:rPr>
          <w:rFonts w:hint="cs"/>
          <w:b/>
          <w:bCs/>
          <w:rtl/>
        </w:rPr>
        <w:t>יברקן</w:t>
      </w:r>
      <w:proofErr w:type="spellEnd"/>
      <w:r>
        <w:br/>
      </w:r>
      <w:r>
        <w:rPr>
          <w:rFonts w:hint="cs"/>
          <w:b/>
          <w:bCs/>
          <w:rtl/>
        </w:rPr>
        <w:t xml:space="preserve"> </w:t>
      </w:r>
      <w:r>
        <w:tab/>
      </w:r>
      <w:r>
        <w:tab/>
      </w:r>
      <w:r>
        <w:tab/>
      </w:r>
      <w:r>
        <w:tab/>
      </w:r>
      <w:r>
        <w:rPr>
          <w:rFonts w:hint="cs"/>
          <w:b/>
          <w:bCs/>
          <w:rtl/>
        </w:rPr>
        <w:t xml:space="preserve">דוד </w:t>
      </w:r>
      <w:proofErr w:type="spellStart"/>
      <w:r>
        <w:rPr>
          <w:rFonts w:hint="cs"/>
          <w:b/>
          <w:bCs/>
          <w:rtl/>
        </w:rPr>
        <w:t>אמסלם</w:t>
      </w:r>
      <w:proofErr w:type="spellEnd"/>
      <w:r>
        <w:br/>
      </w:r>
      <w:r>
        <w:rPr>
          <w:rFonts w:hint="cs"/>
          <w:b/>
          <w:bCs/>
          <w:rtl/>
        </w:rPr>
        <w:t xml:space="preserve"> </w:t>
      </w:r>
      <w:r>
        <w:tab/>
      </w:r>
      <w:r>
        <w:tab/>
      </w:r>
      <w:r>
        <w:tab/>
      </w:r>
      <w:r>
        <w:tab/>
      </w:r>
      <w:r>
        <w:rPr>
          <w:rFonts w:hint="cs"/>
          <w:b/>
          <w:bCs/>
          <w:rtl/>
        </w:rPr>
        <w:t>יובל שטייניץ</w:t>
      </w:r>
      <w:r>
        <w:br/>
      </w:r>
      <w:r>
        <w:rPr>
          <w:rFonts w:hint="cs"/>
          <w:b/>
          <w:bCs/>
          <w:rtl/>
        </w:rPr>
        <w:t xml:space="preserve"> </w:t>
      </w:r>
      <w:r>
        <w:tab/>
      </w:r>
      <w:r>
        <w:tab/>
      </w:r>
      <w:r>
        <w:tab/>
      </w:r>
      <w:r>
        <w:tab/>
      </w:r>
      <w:r>
        <w:rPr>
          <w:rFonts w:hint="cs"/>
          <w:b/>
          <w:bCs/>
          <w:rtl/>
        </w:rPr>
        <w:t xml:space="preserve">אופיר </w:t>
      </w:r>
      <w:proofErr w:type="spellStart"/>
      <w:r>
        <w:rPr>
          <w:rFonts w:hint="cs"/>
          <w:b/>
          <w:bCs/>
          <w:rtl/>
        </w:rPr>
        <w:t>אקוניס</w:t>
      </w:r>
      <w:proofErr w:type="spellEnd"/>
      <w:r>
        <w:br/>
      </w:r>
      <w:r>
        <w:rPr>
          <w:rFonts w:hint="cs"/>
          <w:b/>
          <w:bCs/>
          <w:rtl/>
        </w:rPr>
        <w:t xml:space="preserve"> </w:t>
      </w:r>
      <w:r>
        <w:tab/>
      </w:r>
      <w:r>
        <w:tab/>
      </w:r>
      <w:r>
        <w:tab/>
      </w:r>
      <w:r>
        <w:tab/>
      </w:r>
      <w:r>
        <w:rPr>
          <w:rFonts w:hint="cs"/>
          <w:b/>
          <w:bCs/>
          <w:rtl/>
        </w:rPr>
        <w:t>צחי הנגבי</w:t>
      </w:r>
      <w:r>
        <w:br/>
      </w:r>
      <w:r>
        <w:rPr>
          <w:rFonts w:hint="cs"/>
          <w:b/>
          <w:bCs/>
          <w:rtl/>
        </w:rPr>
        <w:t xml:space="preserve"> </w:t>
      </w:r>
      <w:r>
        <w:tab/>
      </w:r>
      <w:r>
        <w:tab/>
      </w:r>
      <w:r>
        <w:tab/>
      </w:r>
      <w:r>
        <w:tab/>
      </w:r>
      <w:r>
        <w:rPr>
          <w:rFonts w:hint="cs"/>
          <w:b/>
          <w:bCs/>
          <w:rtl/>
        </w:rPr>
        <w:t>יואב קיש</w:t>
      </w:r>
      <w:r>
        <w:br/>
      </w:r>
      <w:r>
        <w:rPr>
          <w:rFonts w:hint="cs"/>
          <w:b/>
          <w:bCs/>
          <w:rtl/>
        </w:rPr>
        <w:t xml:space="preserve"> </w:t>
      </w:r>
      <w:r>
        <w:tab/>
      </w:r>
      <w:r>
        <w:tab/>
      </w:r>
      <w:r>
        <w:tab/>
      </w:r>
      <w:r>
        <w:tab/>
      </w:r>
      <w:r>
        <w:rPr>
          <w:rFonts w:hint="cs"/>
          <w:b/>
          <w:bCs/>
          <w:rtl/>
        </w:rPr>
        <w:t>דוד ביטן</w:t>
      </w:r>
      <w:r>
        <w:br/>
      </w:r>
      <w:r>
        <w:rPr>
          <w:rFonts w:hint="cs"/>
          <w:b/>
          <w:bCs/>
          <w:rtl/>
        </w:rPr>
        <w:t xml:space="preserve"> </w:t>
      </w:r>
      <w:r>
        <w:tab/>
      </w:r>
      <w:r>
        <w:tab/>
      </w:r>
      <w:r>
        <w:tab/>
      </w:r>
      <w:r>
        <w:tab/>
      </w:r>
      <w:r>
        <w:rPr>
          <w:rFonts w:hint="cs"/>
          <w:b/>
          <w:bCs/>
          <w:rtl/>
        </w:rPr>
        <w:t>שלמה קרעי</w:t>
      </w:r>
      <w:r>
        <w:br/>
      </w:r>
      <w:r>
        <w:rPr>
          <w:rFonts w:hint="cs"/>
          <w:b/>
          <w:bCs/>
          <w:rtl/>
        </w:rPr>
        <w:t xml:space="preserve"> </w:t>
      </w:r>
      <w:r>
        <w:tab/>
      </w:r>
      <w:r>
        <w:tab/>
      </w:r>
      <w:r>
        <w:tab/>
      </w:r>
      <w:r>
        <w:tab/>
      </w:r>
      <w:proofErr w:type="spellStart"/>
      <w:r>
        <w:rPr>
          <w:rFonts w:hint="cs"/>
          <w:b/>
          <w:bCs/>
          <w:rtl/>
        </w:rPr>
        <w:t>מכלוף</w:t>
      </w:r>
      <w:proofErr w:type="spellEnd"/>
      <w:r>
        <w:rPr>
          <w:rFonts w:hint="cs"/>
          <w:b/>
          <w:bCs/>
          <w:rtl/>
        </w:rPr>
        <w:t xml:space="preserve"> מיקי זוהר</w:t>
      </w:r>
      <w:r>
        <w:br/>
      </w:r>
      <w:r>
        <w:rPr>
          <w:rFonts w:hint="cs"/>
          <w:b/>
          <w:bCs/>
          <w:rtl/>
        </w:rPr>
        <w:t xml:space="preserve"> </w:t>
      </w:r>
      <w:r>
        <w:tab/>
      </w:r>
      <w:r>
        <w:tab/>
      </w:r>
      <w:r>
        <w:tab/>
      </w:r>
      <w:r>
        <w:tab/>
      </w:r>
      <w:r>
        <w:rPr>
          <w:rFonts w:hint="cs"/>
          <w:b/>
          <w:bCs/>
          <w:rtl/>
        </w:rPr>
        <w:t xml:space="preserve">אורלי לוי </w:t>
      </w:r>
      <w:proofErr w:type="spellStart"/>
      <w:r>
        <w:rPr>
          <w:rFonts w:hint="cs"/>
          <w:b/>
          <w:bCs/>
          <w:rtl/>
        </w:rPr>
        <w:t>אבקסיס</w:t>
      </w:r>
      <w:proofErr w:type="spellEnd"/>
      <w:r>
        <w:br/>
      </w:r>
      <w:r>
        <w:rPr>
          <w:rFonts w:hint="cs"/>
          <w:b/>
          <w:bCs/>
          <w:rtl/>
        </w:rPr>
        <w:t xml:space="preserve"> </w:t>
      </w:r>
      <w:r>
        <w:tab/>
      </w:r>
      <w:r>
        <w:tab/>
      </w:r>
      <w:r>
        <w:tab/>
      </w:r>
      <w:r>
        <w:tab/>
      </w:r>
      <w:r>
        <w:rPr>
          <w:rFonts w:hint="cs"/>
          <w:b/>
          <w:bCs/>
          <w:rtl/>
        </w:rPr>
        <w:t xml:space="preserve">קטי </w:t>
      </w:r>
      <w:proofErr w:type="spellStart"/>
      <w:r>
        <w:rPr>
          <w:rFonts w:hint="cs"/>
          <w:b/>
          <w:bCs/>
          <w:rtl/>
        </w:rPr>
        <w:t>קטרין</w:t>
      </w:r>
      <w:proofErr w:type="spellEnd"/>
      <w:r>
        <w:rPr>
          <w:rFonts w:hint="cs"/>
          <w:b/>
          <w:bCs/>
          <w:rtl/>
        </w:rPr>
        <w:t xml:space="preserve"> שטרית</w:t>
      </w:r>
      <w:r>
        <w:br/>
      </w:r>
      <w:r>
        <w:rPr>
          <w:rFonts w:hint="cs"/>
          <w:b/>
          <w:bCs/>
          <w:rtl/>
        </w:rPr>
        <w:t xml:space="preserve"> </w:t>
      </w:r>
      <w:r>
        <w:tab/>
      </w:r>
      <w:r>
        <w:tab/>
      </w:r>
      <w:r>
        <w:tab/>
      </w:r>
      <w:r>
        <w:tab/>
      </w:r>
      <w:r>
        <w:rPr>
          <w:rFonts w:hint="cs"/>
          <w:b/>
          <w:bCs/>
          <w:rtl/>
        </w:rPr>
        <w:t>אופיר סופר</w:t>
      </w:r>
      <w:r>
        <w:br/>
      </w:r>
      <w:r>
        <w:rPr>
          <w:rFonts w:hint="cs"/>
          <w:b/>
          <w:bCs/>
          <w:rtl/>
        </w:rPr>
        <w:t xml:space="preserve"> </w:t>
      </w:r>
      <w:r>
        <w:tab/>
      </w:r>
      <w:r>
        <w:tab/>
      </w:r>
      <w:r>
        <w:tab/>
      </w:r>
      <w:r>
        <w:tab/>
      </w:r>
      <w:proofErr w:type="spellStart"/>
      <w:r>
        <w:rPr>
          <w:rFonts w:hint="cs"/>
          <w:b/>
          <w:bCs/>
          <w:rtl/>
        </w:rPr>
        <w:t>פטין</w:t>
      </w:r>
      <w:proofErr w:type="spellEnd"/>
      <w:r>
        <w:rPr>
          <w:rFonts w:hint="cs"/>
          <w:b/>
          <w:bCs/>
          <w:rtl/>
        </w:rPr>
        <w:t xml:space="preserve"> מולא</w:t>
      </w:r>
      <w:r>
        <w:br/>
      </w:r>
      <w:r>
        <w:rPr>
          <w:rFonts w:hint="cs"/>
          <w:b/>
          <w:bCs/>
          <w:rtl/>
        </w:rPr>
        <w:t xml:space="preserve"> </w:t>
      </w:r>
      <w:r>
        <w:tab/>
      </w:r>
      <w:r>
        <w:tab/>
      </w:r>
      <w:r>
        <w:tab/>
      </w:r>
      <w:r>
        <w:tab/>
      </w:r>
      <w:r>
        <w:rPr>
          <w:rFonts w:hint="cs"/>
          <w:b/>
          <w:bCs/>
          <w:rtl/>
        </w:rPr>
        <w:t>מאי גולן</w:t>
      </w:r>
      <w:r>
        <w:br/>
      </w:r>
      <w:r>
        <w:rPr>
          <w:rFonts w:hint="cs"/>
          <w:b/>
          <w:bCs/>
          <w:rtl/>
        </w:rPr>
        <w:t xml:space="preserve"> </w:t>
      </w:r>
      <w:r>
        <w:tab/>
      </w:r>
      <w:r>
        <w:tab/>
      </w:r>
      <w:r>
        <w:tab/>
      </w:r>
      <w:r>
        <w:tab/>
      </w:r>
      <w:r>
        <w:rPr>
          <w:rFonts w:hint="cs"/>
          <w:b/>
          <w:bCs/>
          <w:rtl/>
        </w:rPr>
        <w:t>אורית מלכה סטרוק</w:t>
      </w:r>
      <w:r>
        <w:br/>
      </w:r>
      <w:r>
        <w:rPr>
          <w:rFonts w:hint="cs"/>
          <w:b/>
          <w:bCs/>
          <w:rtl/>
        </w:rPr>
        <w:t xml:space="preserve"> </w:t>
      </w:r>
      <w:r>
        <w:tab/>
      </w:r>
      <w:r>
        <w:tab/>
      </w:r>
      <w:r>
        <w:tab/>
      </w:r>
      <w:r>
        <w:tab/>
      </w:r>
      <w:r>
        <w:rPr>
          <w:rFonts w:hint="cs"/>
          <w:b/>
          <w:bCs/>
          <w:rtl/>
        </w:rPr>
        <w:t xml:space="preserve">שמחה </w:t>
      </w:r>
      <w:proofErr w:type="spellStart"/>
      <w:r>
        <w:rPr>
          <w:rFonts w:hint="cs"/>
          <w:b/>
          <w:bCs/>
          <w:rtl/>
        </w:rPr>
        <w:t>רוטמן</w:t>
      </w:r>
      <w:bookmarkEnd w:id="3"/>
      <w:proofErr w:type="spellEnd"/>
    </w:p>
    <w:p w14:paraId="69FC125A" w14:textId="0658E4F5" w:rsidR="009033D7" w:rsidRDefault="009033D7" w:rsidP="00930EFE">
      <w:pPr>
        <w:pStyle w:val="David"/>
        <w:ind w:left="3544"/>
      </w:pPr>
      <w:r>
        <w:t>______________________________________________</w:t>
      </w:r>
    </w:p>
    <w:p w14:paraId="1B5451D0" w14:textId="2D6D88A8" w:rsidR="009033D7" w:rsidRPr="009033D7" w:rsidRDefault="009033D7" w:rsidP="009033D7">
      <w:pPr>
        <w:pStyle w:val="David"/>
        <w:ind w:left="6424" w:firstLine="56"/>
        <w:rPr>
          <w:rFonts w:hint="cs"/>
          <w:rtl/>
        </w:rPr>
      </w:pPr>
      <w:r w:rsidRPr="009033D7">
        <w:rPr>
          <w:rFonts w:hint="cs"/>
          <w:rtl/>
        </w:rPr>
        <w:t>פ/1881/24</w:t>
      </w:r>
    </w:p>
    <w:p w14:paraId="7F6961AD" w14:textId="6158723B" w:rsidR="00E13C27" w:rsidRDefault="00A443CF" w:rsidP="006D3D45">
      <w:pPr>
        <w:pStyle w:val="HeadHatzaotHok"/>
        <w:rPr>
          <w:rtl/>
        </w:rPr>
      </w:pPr>
      <w:bookmarkStart w:id="4" w:name="LGS_Subject"/>
      <w:r>
        <w:rPr>
          <w:rFonts w:hint="cs"/>
          <w:rtl/>
        </w:rPr>
        <w:t xml:space="preserve">הצעת חוק החלת הריבונות הישראלית על בקעת הירדן, </w:t>
      </w:r>
      <w:proofErr w:type="spellStart"/>
      <w:r>
        <w:rPr>
          <w:rFonts w:hint="cs"/>
          <w:rtl/>
        </w:rPr>
        <w:t>התשפ"א</w:t>
      </w:r>
      <w:proofErr w:type="spellEnd"/>
      <w:r w:rsidR="006D3D45">
        <w:rPr>
          <w:rFonts w:hint="eastAsia"/>
          <w:rtl/>
        </w:rPr>
        <w:t>–</w:t>
      </w:r>
      <w:r>
        <w:rPr>
          <w:rFonts w:hint="cs"/>
          <w:rtl/>
        </w:rPr>
        <w:t>2021</w:t>
      </w:r>
      <w:bookmarkEnd w:id="4"/>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7143"/>
      </w:tblGrid>
      <w:tr w:rsidR="00DA5A6C" w:rsidRPr="00BF1835" w14:paraId="24627E41" w14:textId="77777777" w:rsidTr="00BF1835">
        <w:trPr>
          <w:cantSplit/>
        </w:trPr>
        <w:tc>
          <w:tcPr>
            <w:tcW w:w="1872" w:type="dxa"/>
            <w:hideMark/>
          </w:tcPr>
          <w:p w14:paraId="39D01A17" w14:textId="77777777" w:rsidR="00DA5A6C" w:rsidRPr="00BF1835" w:rsidRDefault="00DA5A6C" w:rsidP="003A6A2B">
            <w:pPr>
              <w:pStyle w:val="TableSideHeading"/>
              <w:keepLines w:val="0"/>
              <w:rPr>
                <w:sz w:val="26"/>
                <w:rtl/>
              </w:rPr>
            </w:pPr>
            <w:r w:rsidRPr="00BF1835">
              <w:rPr>
                <w:sz w:val="26"/>
                <w:rtl/>
              </w:rPr>
              <w:t>מטרת החוק</w:t>
            </w:r>
          </w:p>
        </w:tc>
        <w:tc>
          <w:tcPr>
            <w:tcW w:w="624" w:type="dxa"/>
            <w:hideMark/>
          </w:tcPr>
          <w:p w14:paraId="7F85BB6B" w14:textId="77777777" w:rsidR="00DA5A6C" w:rsidRPr="00BF1835" w:rsidRDefault="00DA5A6C" w:rsidP="003A6A2B">
            <w:pPr>
              <w:pStyle w:val="TableText"/>
              <w:keepLines w:val="0"/>
              <w:rPr>
                <w:sz w:val="26"/>
                <w:rtl/>
              </w:rPr>
            </w:pPr>
            <w:r w:rsidRPr="00BF1835">
              <w:rPr>
                <w:sz w:val="26"/>
                <w:rtl/>
              </w:rPr>
              <w:t>1.</w:t>
            </w:r>
          </w:p>
        </w:tc>
        <w:tc>
          <w:tcPr>
            <w:tcW w:w="7143" w:type="dxa"/>
            <w:hideMark/>
          </w:tcPr>
          <w:p w14:paraId="4873FA9F" w14:textId="77777777" w:rsidR="00DA5A6C" w:rsidRPr="00BF1835" w:rsidRDefault="00DA5A6C" w:rsidP="00BF1835">
            <w:pPr>
              <w:pStyle w:val="TableBlock"/>
              <w:rPr>
                <w:sz w:val="26"/>
                <w:rtl/>
              </w:rPr>
            </w:pPr>
            <w:r w:rsidRPr="00BF1835">
              <w:rPr>
                <w:sz w:val="26"/>
                <w:rtl/>
              </w:rPr>
              <w:t xml:space="preserve">מטרתו של חוק זה היא להחיל את המשפט, השיפוט, </w:t>
            </w:r>
            <w:proofErr w:type="spellStart"/>
            <w:r w:rsidRPr="00BF1835">
              <w:rPr>
                <w:sz w:val="26"/>
                <w:rtl/>
              </w:rPr>
              <w:t>המינהל</w:t>
            </w:r>
            <w:proofErr w:type="spellEnd"/>
            <w:r w:rsidRPr="00BF1835">
              <w:rPr>
                <w:sz w:val="26"/>
                <w:rtl/>
              </w:rPr>
              <w:t xml:space="preserve"> והריבונות באופן שווה על אזרחי ישראל.</w:t>
            </w:r>
          </w:p>
        </w:tc>
      </w:tr>
      <w:tr w:rsidR="00DA5A6C" w:rsidRPr="00BF1835" w14:paraId="2F092CA8" w14:textId="77777777" w:rsidTr="00BF1835">
        <w:trPr>
          <w:cantSplit/>
        </w:trPr>
        <w:tc>
          <w:tcPr>
            <w:tcW w:w="1872" w:type="dxa"/>
            <w:hideMark/>
          </w:tcPr>
          <w:p w14:paraId="71924AF1" w14:textId="77777777" w:rsidR="00DA5A6C" w:rsidRPr="00BF1835" w:rsidRDefault="00DA5A6C" w:rsidP="003A6A2B">
            <w:pPr>
              <w:pStyle w:val="TableSideHeading"/>
              <w:keepLines w:val="0"/>
              <w:rPr>
                <w:sz w:val="26"/>
                <w:rtl/>
              </w:rPr>
            </w:pPr>
            <w:r w:rsidRPr="00BF1835">
              <w:rPr>
                <w:sz w:val="26"/>
                <w:rtl/>
              </w:rPr>
              <w:t xml:space="preserve">החלת המשפט, </w:t>
            </w:r>
            <w:proofErr w:type="spellStart"/>
            <w:r w:rsidRPr="00BF1835">
              <w:rPr>
                <w:sz w:val="26"/>
                <w:rtl/>
              </w:rPr>
              <w:t>המינהל</w:t>
            </w:r>
            <w:proofErr w:type="spellEnd"/>
            <w:r w:rsidRPr="00BF1835">
              <w:rPr>
                <w:sz w:val="26"/>
                <w:rtl/>
              </w:rPr>
              <w:t>, חוקי המדינה וריבונותה</w:t>
            </w:r>
          </w:p>
        </w:tc>
        <w:tc>
          <w:tcPr>
            <w:tcW w:w="624" w:type="dxa"/>
            <w:hideMark/>
          </w:tcPr>
          <w:p w14:paraId="1451FCC2" w14:textId="77777777" w:rsidR="00DA5A6C" w:rsidRPr="00BF1835" w:rsidRDefault="00DA5A6C" w:rsidP="003A6A2B">
            <w:pPr>
              <w:pStyle w:val="TableText"/>
              <w:keepLines w:val="0"/>
              <w:rPr>
                <w:sz w:val="26"/>
                <w:rtl/>
              </w:rPr>
            </w:pPr>
            <w:r w:rsidRPr="00BF1835">
              <w:rPr>
                <w:rFonts w:hint="cs"/>
                <w:sz w:val="26"/>
                <w:rtl/>
              </w:rPr>
              <w:t>2</w:t>
            </w:r>
            <w:r w:rsidRPr="00BF1835">
              <w:rPr>
                <w:sz w:val="26"/>
                <w:rtl/>
              </w:rPr>
              <w:t>.</w:t>
            </w:r>
          </w:p>
        </w:tc>
        <w:tc>
          <w:tcPr>
            <w:tcW w:w="7143" w:type="dxa"/>
            <w:hideMark/>
          </w:tcPr>
          <w:p w14:paraId="285A6609" w14:textId="77777777" w:rsidR="00DA5A6C" w:rsidRPr="00BF1835" w:rsidRDefault="00DA5A6C" w:rsidP="00BF1835">
            <w:pPr>
              <w:pStyle w:val="TableBlock"/>
              <w:rPr>
                <w:sz w:val="26"/>
                <w:rtl/>
              </w:rPr>
            </w:pPr>
            <w:r w:rsidRPr="00BF1835">
              <w:rPr>
                <w:sz w:val="26"/>
                <w:rtl/>
              </w:rPr>
              <w:t xml:space="preserve">המשפט, השיפוט, </w:t>
            </w:r>
            <w:proofErr w:type="spellStart"/>
            <w:r w:rsidRPr="00BF1835">
              <w:rPr>
                <w:sz w:val="26"/>
                <w:rtl/>
              </w:rPr>
              <w:t>המינהל</w:t>
            </w:r>
            <w:proofErr w:type="spellEnd"/>
            <w:r w:rsidRPr="00BF1835">
              <w:rPr>
                <w:sz w:val="26"/>
                <w:rtl/>
              </w:rPr>
              <w:t xml:space="preserve"> והריבונות של מדינת ישראל יחולו על שטחי היישובים הישראליים ב</w:t>
            </w:r>
            <w:r w:rsidRPr="00BF1835">
              <w:rPr>
                <w:rFonts w:hint="cs"/>
                <w:sz w:val="26"/>
                <w:rtl/>
              </w:rPr>
              <w:t>שטח בקעת הירדן</w:t>
            </w:r>
            <w:r w:rsidRPr="00BF1835">
              <w:rPr>
                <w:sz w:val="26"/>
                <w:rtl/>
              </w:rPr>
              <w:t>, לרבות אזורי התעשייה המשרתים אותם, האתרים הארכיאולוגים באזור וכבישי הגישה לשטחים אלה, כמפורט בתוספת.</w:t>
            </w:r>
          </w:p>
        </w:tc>
      </w:tr>
      <w:tr w:rsidR="00DA5A6C" w:rsidRPr="00BF1835" w14:paraId="000F0ED3" w14:textId="77777777" w:rsidTr="00BF1835">
        <w:trPr>
          <w:cantSplit/>
        </w:trPr>
        <w:tc>
          <w:tcPr>
            <w:tcW w:w="1872" w:type="dxa"/>
            <w:hideMark/>
          </w:tcPr>
          <w:p w14:paraId="0E02E427" w14:textId="77777777" w:rsidR="00DA5A6C" w:rsidRPr="00BF1835" w:rsidRDefault="00DA5A6C" w:rsidP="003A6A2B">
            <w:pPr>
              <w:pStyle w:val="TableSideHeading"/>
              <w:keepLines w:val="0"/>
              <w:rPr>
                <w:sz w:val="26"/>
                <w:rtl/>
              </w:rPr>
            </w:pPr>
            <w:r w:rsidRPr="00BF1835">
              <w:rPr>
                <w:sz w:val="26"/>
                <w:rtl/>
              </w:rPr>
              <w:lastRenderedPageBreak/>
              <w:t>ביצוע ותקנות</w:t>
            </w:r>
          </w:p>
        </w:tc>
        <w:tc>
          <w:tcPr>
            <w:tcW w:w="624" w:type="dxa"/>
            <w:hideMark/>
          </w:tcPr>
          <w:p w14:paraId="1FF76BB6" w14:textId="77777777" w:rsidR="00DA5A6C" w:rsidRPr="00BF1835" w:rsidRDefault="00DA5A6C" w:rsidP="003A6A2B">
            <w:pPr>
              <w:pStyle w:val="TableText"/>
              <w:keepLines w:val="0"/>
              <w:rPr>
                <w:sz w:val="26"/>
                <w:rtl/>
              </w:rPr>
            </w:pPr>
            <w:r w:rsidRPr="00BF1835">
              <w:rPr>
                <w:rFonts w:hint="cs"/>
                <w:sz w:val="26"/>
                <w:rtl/>
              </w:rPr>
              <w:t>3</w:t>
            </w:r>
            <w:r w:rsidRPr="00BF1835">
              <w:rPr>
                <w:sz w:val="26"/>
                <w:rtl/>
              </w:rPr>
              <w:t>.</w:t>
            </w:r>
          </w:p>
        </w:tc>
        <w:tc>
          <w:tcPr>
            <w:tcW w:w="7143" w:type="dxa"/>
            <w:hideMark/>
          </w:tcPr>
          <w:p w14:paraId="71EBD9CA" w14:textId="6F7402A5" w:rsidR="00DA5A6C" w:rsidRPr="00BF1835" w:rsidRDefault="00DA5A6C" w:rsidP="00BF1835">
            <w:pPr>
              <w:pStyle w:val="TableBlock"/>
              <w:rPr>
                <w:sz w:val="26"/>
                <w:rtl/>
              </w:rPr>
            </w:pPr>
            <w:r w:rsidRPr="00BF1835">
              <w:rPr>
                <w:sz w:val="26"/>
                <w:rtl/>
              </w:rPr>
              <w:t xml:space="preserve">שר המשפטים ממונה על ביצוע חוק זה והוא רשאי, באישור ועדת החוקה, חוק ומשפט של הכנסת, להתקין תקנות בכל הנוגע לביצועו. </w:t>
            </w:r>
          </w:p>
        </w:tc>
      </w:tr>
      <w:tr w:rsidR="00BF1835" w:rsidRPr="00BF1835" w14:paraId="33174933" w14:textId="77777777" w:rsidTr="00BF1835">
        <w:trPr>
          <w:cantSplit/>
        </w:trPr>
        <w:tc>
          <w:tcPr>
            <w:tcW w:w="1872" w:type="dxa"/>
          </w:tcPr>
          <w:p w14:paraId="173005D3" w14:textId="77777777" w:rsidR="00BF1835" w:rsidRPr="00BF1835" w:rsidRDefault="00BF1835" w:rsidP="003A6A2B">
            <w:pPr>
              <w:pStyle w:val="TableSideHeading"/>
              <w:keepLines w:val="0"/>
              <w:rPr>
                <w:sz w:val="26"/>
                <w:rtl/>
              </w:rPr>
            </w:pPr>
          </w:p>
        </w:tc>
        <w:tc>
          <w:tcPr>
            <w:tcW w:w="624" w:type="dxa"/>
          </w:tcPr>
          <w:p w14:paraId="285C34AA" w14:textId="77777777" w:rsidR="00BF1835" w:rsidRPr="00BF1835" w:rsidRDefault="00BF1835" w:rsidP="00BF1835">
            <w:pPr>
              <w:pStyle w:val="TableText"/>
              <w:rPr>
                <w:rFonts w:hint="cs"/>
                <w:rtl/>
              </w:rPr>
            </w:pPr>
          </w:p>
        </w:tc>
        <w:tc>
          <w:tcPr>
            <w:tcW w:w="7143" w:type="dxa"/>
          </w:tcPr>
          <w:p w14:paraId="745D1C65" w14:textId="460D4046" w:rsidR="00BF1835" w:rsidRPr="00BF1835" w:rsidRDefault="00BF1835" w:rsidP="00BF1835">
            <w:pPr>
              <w:pStyle w:val="TableBlock"/>
              <w:jc w:val="center"/>
              <w:rPr>
                <w:sz w:val="26"/>
                <w:rtl/>
              </w:rPr>
            </w:pPr>
            <w:r w:rsidRPr="00BF1835">
              <w:rPr>
                <w:b/>
                <w:bCs/>
                <w:sz w:val="26"/>
                <w:rtl/>
              </w:rPr>
              <w:t>תוספת</w:t>
            </w:r>
            <w:r w:rsidRPr="00BF1835">
              <w:rPr>
                <w:rFonts w:ascii="David" w:hAnsi="David"/>
                <w:b/>
                <w:bCs/>
                <w:sz w:val="26"/>
                <w:vertAlign w:val="superscript"/>
                <w:rtl/>
              </w:rPr>
              <w:footnoteReference w:customMarkFollows="1" w:id="2"/>
              <w:t>*</w:t>
            </w:r>
          </w:p>
        </w:tc>
      </w:tr>
    </w:tbl>
    <w:p w14:paraId="7F6961CA" w14:textId="77777777" w:rsidR="002D1EE3" w:rsidRDefault="002D1EE3" w:rsidP="002D1EE3">
      <w:pPr>
        <w:pStyle w:val="HeadDivreiHesber"/>
        <w:rPr>
          <w:rtl/>
        </w:rPr>
      </w:pPr>
      <w:r w:rsidRPr="0027450A">
        <w:rPr>
          <w:rFonts w:hint="cs"/>
          <w:rtl/>
        </w:rPr>
        <w:t>דברי הסבר</w:t>
      </w:r>
    </w:p>
    <w:p w14:paraId="11FEDFC0" w14:textId="77777777" w:rsidR="00DA5A6C" w:rsidRPr="00C00C53" w:rsidRDefault="00DA5A6C" w:rsidP="00C00C53">
      <w:pPr>
        <w:pStyle w:val="Hesber"/>
        <w:rPr>
          <w:rtl/>
        </w:rPr>
      </w:pPr>
      <w:r w:rsidRPr="00C00C53">
        <w:rPr>
          <w:rtl/>
        </w:rPr>
        <w:t>בבקעת הירדן חיים כיום אלפי אזרחי מדינת ישראל, שהדין הישראלי אינו חל עליהם במלואו ובכלל זה על הי</w:t>
      </w:r>
      <w:r w:rsidRPr="00C00C53">
        <w:rPr>
          <w:rFonts w:hint="eastAsia"/>
          <w:rtl/>
        </w:rPr>
        <w:t>י</w:t>
      </w:r>
      <w:r w:rsidRPr="00C00C53">
        <w:rPr>
          <w:rtl/>
        </w:rPr>
        <w:t>שובים שבהם הם חיים. כמו-כן, היות שבאזורים אלו לא חל החוק הישראלי האזרחי, גם מערכות המשפט שפועלות בהם, הינן בתי הדין הצבאיים. דבר זה, יוצר קושי ומורכבות בתחומי חיים שונים, הן בצד הזכויות שנגרעות מהם והן בצד החובות שהם לא חייבים בהן. מדובר במציאות בלתי קבילה, הפוגעת  בכבודם של תושבי "האזור" הישראלים, ומפלה אותם אל מול שאר אזרחי המדינה.</w:t>
      </w:r>
    </w:p>
    <w:p w14:paraId="79DA73E8" w14:textId="7FE21AF2" w:rsidR="00DA5A6C" w:rsidRPr="00C00C53" w:rsidRDefault="00DA5A6C" w:rsidP="00C00C53">
      <w:pPr>
        <w:pStyle w:val="Hesber"/>
        <w:rPr>
          <w:rtl/>
        </w:rPr>
      </w:pPr>
      <w:r w:rsidRPr="00C00C53">
        <w:rPr>
          <w:rtl/>
        </w:rPr>
        <w:t xml:space="preserve">במהלך השנים נוצרה הפלייה בין אזרחי ישראל החיים ב"אזור" לבין אלה החיים בשאר הארץ.  ב"אזור" מונהגת שיטת חקיקה פסיבית ונגררת, כך שנראה כי ממתינים למחדל הבא כדי להחיל את החוק שכבר קים בישראל, גם על ה"אזור". כך למשל, אישה אחרי לידה, שהינה תושבת "האזור", אזרחית ישראל ועובדת בתוך "האזור", נאלצה לחכות לצו אלוף בכדי להיות מוגנת מפני פיטורין בחצי השנה שלאחר הלידה וזאת בשונה מאישה שהיא אזרחית ישראל, אך אינה תושבת "האזור". כך נוצרת אפליה ברורה לפיה האזרח הישראלי תושב ה"אזור" שונה בצרכיו האזרחיים מאזרח ישראלי שאינו תושב ה"אזור". העדר ביטחון כלכלי זה ואי השוויון החוקי באים לידי ביטוי בעוד מספר לא מבוטל של חוקי מדינת ישראל שאינם חלים ב"אזור", משום שלא תורגמו לתקנות הצבאיות הנדרשות. כגון: תשלומי ארנונה שונים, חוקי בנייה חלקיים, זכויות עובדים ואפילו חוקי תעבורה שונים. עוד חשוב לציין כי חוקי חובה כמו  פקודת מס הכנסה [נוסח חדש] וחוק שירות בטחון [נוסח משולב], </w:t>
      </w:r>
      <w:proofErr w:type="spellStart"/>
      <w:r w:rsidR="00C00C53">
        <w:rPr>
          <w:rFonts w:hint="cs"/>
          <w:rtl/>
        </w:rPr>
        <w:t>ה</w:t>
      </w:r>
      <w:r w:rsidRPr="00C00C53">
        <w:rPr>
          <w:rtl/>
        </w:rPr>
        <w:t>תשמ"ו</w:t>
      </w:r>
      <w:proofErr w:type="spellEnd"/>
      <w:r w:rsidR="00C00C53">
        <w:rPr>
          <w:rFonts w:hint="cs"/>
          <w:rtl/>
        </w:rPr>
        <w:t>–</w:t>
      </w:r>
      <w:r w:rsidRPr="00C00C53">
        <w:rPr>
          <w:rtl/>
        </w:rPr>
        <w:t xml:space="preserve">1986 חלים במלואם על אזרחי ישראל תושבי האזור מכוח החוק הישראלי ומתפרסמים ברשומות. לעומתם, כאמור הזכויות האזרחיות שקיימות במערכת המשפט הישראליות מוחלפות לעיתים בצווי אלוף. </w:t>
      </w:r>
    </w:p>
    <w:p w14:paraId="4C9D7D19" w14:textId="77777777" w:rsidR="00DA5A6C" w:rsidRPr="00C00C53" w:rsidRDefault="00DA5A6C" w:rsidP="00C00C53">
      <w:pPr>
        <w:pStyle w:val="Hesber"/>
        <w:rPr>
          <w:rtl/>
        </w:rPr>
      </w:pPr>
      <w:r w:rsidRPr="00C00C53">
        <w:rPr>
          <w:rtl/>
        </w:rPr>
        <w:t xml:space="preserve">פער נוסף בא לידי ביטוי בעצם הכרת החוק. כך, בעוד שאזרח ישראלי שאינו תושב "האזור" הרוצה לדעת את זכויותיו וחובותיו, יכול לקבל את המידע הרלוונטי מן הכתוב ב"רשומות", אזרח ישראלי תושב "האזור", לעומתו, שייך למערכת המעורפלת של צווים ותקנות צבאיים, שברובם אינם נהירים לו ואינם נגישים עבורו. </w:t>
      </w:r>
    </w:p>
    <w:p w14:paraId="50D4FEA0" w14:textId="77777777" w:rsidR="00DA5A6C" w:rsidRPr="00C00C53" w:rsidRDefault="00DA5A6C" w:rsidP="00C00C53">
      <w:pPr>
        <w:pStyle w:val="Hesber"/>
        <w:rPr>
          <w:rtl/>
        </w:rPr>
      </w:pPr>
      <w:r w:rsidRPr="00C00C53">
        <w:rPr>
          <w:rtl/>
        </w:rPr>
        <w:t xml:space="preserve">לכן הגיעה העת להחיל את הריבונות על אזורים אלה, הכוללים את כל יישובי בקעת הירדן והמועצה האזורית מגילות, בהם היישובים: כוכב השחר, רימונים, מעלה מכמש, מצפה חגית, </w:t>
      </w:r>
      <w:proofErr w:type="spellStart"/>
      <w:r w:rsidRPr="00C00C53">
        <w:rPr>
          <w:rtl/>
        </w:rPr>
        <w:t>נוה</w:t>
      </w:r>
      <w:proofErr w:type="spellEnd"/>
      <w:r w:rsidRPr="00C00C53">
        <w:rPr>
          <w:rtl/>
        </w:rPr>
        <w:t xml:space="preserve"> ארז, נופי פרת, ענתות, כפר אדומים, מצפה יריחו ומגדלים, לרבות אזורי המסחר והתעשייה, האתרים הארכיאולוגים והכבישים, בשטחי </w:t>
      </w:r>
      <w:r w:rsidRPr="00C00C53">
        <w:t>C</w:t>
      </w:r>
      <w:r w:rsidRPr="00C00C53">
        <w:rPr>
          <w:rtl/>
        </w:rPr>
        <w:t>.</w:t>
      </w:r>
    </w:p>
    <w:p w14:paraId="16391219" w14:textId="77777777" w:rsidR="00DA5A6C" w:rsidRPr="00C00C53" w:rsidRDefault="00DA5A6C" w:rsidP="00C00C53">
      <w:pPr>
        <w:pStyle w:val="Hesber"/>
        <w:rPr>
          <w:rtl/>
        </w:rPr>
      </w:pPr>
      <w:r w:rsidRPr="00C00C53">
        <w:rPr>
          <w:rtl/>
        </w:rPr>
        <w:t xml:space="preserve">החוק המוצע, מחיל את החוק הישראלי על אזרחי ישראל ב"אזור", שהינם בעלי אזרחות וזכות בחירה ועל כן, הצעת החוק אינה משנה את המבנה הדמוגרפי של החברה הישראלית, אלא רק מייצרת </w:t>
      </w:r>
      <w:r w:rsidRPr="00C00C53">
        <w:rPr>
          <w:rtl/>
        </w:rPr>
        <w:lastRenderedPageBreak/>
        <w:t xml:space="preserve">שוויון בין אזרחיה. כמו-כן, מערכת הביטחון אינה מתבקשת לנקוט מאמצים כלשהם ליישום חוק זה, מאחר והחוק מציע להחיל את הריבונות רק על </w:t>
      </w:r>
      <w:r w:rsidRPr="00C00C53">
        <w:rPr>
          <w:rFonts w:hint="eastAsia"/>
          <w:rtl/>
        </w:rPr>
        <w:t>י</w:t>
      </w:r>
      <w:r w:rsidRPr="00C00C53">
        <w:rPr>
          <w:rtl/>
        </w:rPr>
        <w:t xml:space="preserve">ישובים יהודיים מוכרים. </w:t>
      </w:r>
    </w:p>
    <w:p w14:paraId="6FA62B37" w14:textId="62738A32" w:rsidR="006D3D45" w:rsidRPr="00C00C53" w:rsidRDefault="006D3D45" w:rsidP="00C00C53">
      <w:pPr>
        <w:pStyle w:val="Hesber"/>
        <w:rPr>
          <w:rtl/>
        </w:rPr>
      </w:pPr>
      <w:r w:rsidRPr="00C00C53">
        <w:rPr>
          <w:rtl/>
        </w:rPr>
        <w:t xml:space="preserve">הצעות חוק דומות בעיקרן הונחו על שולחן הכנסת העשרים ושתיים על ידי חבר הכנסת יואב קיש (פ/574/22), על ידי חברת הכנסת שרן השכל (פ/64/22), על ידי חבר הכנסת שלמה קרעי וקבוצת חברי הכנסת (פ/1033/22), על ידי חברי הכנסת עודד פורר ואלי אבידר (פ/964/22) ועל ידי חברת הכנסת מיכל שיר (פ/228/22), על שולחן הכנסת העשרים ושלוש על ידי חברות הכנסת קטי שטרית וטלי </w:t>
      </w:r>
      <w:proofErr w:type="spellStart"/>
      <w:r w:rsidRPr="00C00C53">
        <w:rPr>
          <w:rtl/>
        </w:rPr>
        <w:t>פלוסקוב</w:t>
      </w:r>
      <w:proofErr w:type="spellEnd"/>
      <w:r w:rsidRPr="00C00C53">
        <w:rPr>
          <w:rtl/>
        </w:rPr>
        <w:t xml:space="preserve"> (פ/608/23), על ידי חבר הכנסת יואב קיש (פ/263/23), על ידי חברת הכנסת שרן השכל (פ/384/23), על ידי חברת הכנסת מאי גולן (פ/262/23; פ/382/23), על ידי חבר הכנסת עודד פורר וקבוצת חברי הכנסת (פ/613/23), על ידי חבר הכ</w:t>
      </w:r>
      <w:r w:rsidR="00C00C53">
        <w:rPr>
          <w:rtl/>
        </w:rPr>
        <w:t xml:space="preserve">נסת </w:t>
      </w:r>
      <w:proofErr w:type="spellStart"/>
      <w:r w:rsidR="00C00C53">
        <w:rPr>
          <w:rtl/>
        </w:rPr>
        <w:t>מכלוף</w:t>
      </w:r>
      <w:proofErr w:type="spellEnd"/>
      <w:r w:rsidR="00C00C53">
        <w:rPr>
          <w:rtl/>
        </w:rPr>
        <w:t xml:space="preserve"> מיקי זוהר (פ/1005/23)</w:t>
      </w:r>
      <w:r w:rsidRPr="00C00C53">
        <w:rPr>
          <w:rtl/>
        </w:rPr>
        <w:t xml:space="preserve"> ועל ידי חבר הכנסת שלמה קרעי וקבוצת חברי הכנסת (פ/260/23</w:t>
      </w:r>
      <w:r w:rsidR="00C00C53">
        <w:rPr>
          <w:rtl/>
        </w:rPr>
        <w:t>)</w:t>
      </w:r>
      <w:r w:rsidRPr="00C00C53">
        <w:rPr>
          <w:rtl/>
        </w:rPr>
        <w:t xml:space="preserve"> ועל שולחן הכנסת העשרים וארבע על ידי חבר הכנסת שלמה קרעי (פ/415/24), על ידי חברת הכנסת מאי גולן (פ/480/24), על ידי חברת הכנסת שרן השכל (פ/484/24) ועל ידי חבר הכנסת </w:t>
      </w:r>
      <w:proofErr w:type="spellStart"/>
      <w:r w:rsidRPr="00C00C53">
        <w:rPr>
          <w:rtl/>
        </w:rPr>
        <w:t>מכלוף</w:t>
      </w:r>
      <w:proofErr w:type="spellEnd"/>
      <w:r w:rsidRPr="00C00C53">
        <w:rPr>
          <w:rtl/>
        </w:rPr>
        <w:t xml:space="preserve"> מיקי זוהר (פ/482/24).</w:t>
      </w:r>
    </w:p>
    <w:p w14:paraId="54D4DDB5" w14:textId="77777777" w:rsidR="006D3D45" w:rsidRDefault="006D3D45" w:rsidP="00DA5A6C">
      <w:pPr>
        <w:pStyle w:val="Hesber"/>
        <w:ind w:firstLine="0"/>
        <w:rPr>
          <w:rtl/>
        </w:rPr>
      </w:pPr>
    </w:p>
    <w:p w14:paraId="04653B88" w14:textId="77777777" w:rsidR="00F42F67" w:rsidRDefault="00C00C53">
      <w:pPr>
        <w:jc w:val="left"/>
      </w:pPr>
      <w:bookmarkStart w:id="5" w:name="selectedDocDateB"/>
      <w:bookmarkStart w:id="6" w:name="_GoBack"/>
      <w:bookmarkEnd w:id="5"/>
      <w:bookmarkEnd w:id="6"/>
      <w:r>
        <w:rPr>
          <w:rFonts w:eastAsia="David" w:hint="cs"/>
          <w:sz w:val="26"/>
          <w:szCs w:val="26"/>
          <w:rtl/>
        </w:rPr>
        <w:t>--------------------------------</w:t>
      </w:r>
    </w:p>
    <w:p w14:paraId="3AA982AF" w14:textId="77777777" w:rsidR="00F42F67" w:rsidRDefault="00C00C53">
      <w:pPr>
        <w:jc w:val="left"/>
      </w:pPr>
      <w:r>
        <w:rPr>
          <w:rFonts w:eastAsia="David" w:hint="cs"/>
          <w:sz w:val="26"/>
          <w:szCs w:val="26"/>
          <w:rtl/>
        </w:rPr>
        <w:t>הוגשה ליו"ר הכנסת והסגנים</w:t>
      </w:r>
    </w:p>
    <w:p w14:paraId="140748D8" w14:textId="77777777" w:rsidR="00F42F67" w:rsidRDefault="00C00C53">
      <w:pPr>
        <w:jc w:val="left"/>
      </w:pPr>
      <w:r>
        <w:rPr>
          <w:rFonts w:eastAsia="David" w:hint="cs"/>
          <w:sz w:val="26"/>
          <w:szCs w:val="26"/>
          <w:rtl/>
        </w:rPr>
        <w:t>והונחה על שולחן הכנסת ביום</w:t>
      </w:r>
    </w:p>
    <w:p w14:paraId="76825511" w14:textId="77777777" w:rsidR="00F42F67" w:rsidRDefault="00C00C53">
      <w:pPr>
        <w:jc w:val="left"/>
      </w:pPr>
      <w:r>
        <w:rPr>
          <w:rFonts w:eastAsia="David" w:hint="cs"/>
          <w:sz w:val="26"/>
          <w:szCs w:val="26"/>
          <w:rtl/>
        </w:rPr>
        <w:t xml:space="preserve">י"ז באב </w:t>
      </w:r>
      <w:proofErr w:type="spellStart"/>
      <w:r>
        <w:rPr>
          <w:rFonts w:eastAsia="David" w:hint="cs"/>
          <w:sz w:val="26"/>
          <w:szCs w:val="26"/>
          <w:rtl/>
        </w:rPr>
        <w:t>התשפ"א</w:t>
      </w:r>
      <w:proofErr w:type="spellEnd"/>
      <w:r>
        <w:rPr>
          <w:rFonts w:eastAsia="David" w:hint="cs"/>
          <w:sz w:val="26"/>
          <w:szCs w:val="26"/>
          <w:rtl/>
        </w:rPr>
        <w:t xml:space="preserve"> (26.07.2021) </w:t>
      </w:r>
    </w:p>
    <w:p w14:paraId="4FD6F441" w14:textId="77777777" w:rsidR="00F42F67" w:rsidRDefault="00F42F67">
      <w:pPr>
        <w:spacing w:line="276" w:lineRule="auto"/>
        <w:jc w:val="left"/>
      </w:pPr>
    </w:p>
    <w:sectPr w:rsidR="00F42F67" w:rsidSect="00BF183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00C53">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F183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567855D" w14:textId="77777777" w:rsidR="00BF1835" w:rsidRDefault="00BF1835" w:rsidP="00BF1835">
      <w:pPr>
        <w:pStyle w:val="a4"/>
        <w:rPr>
          <w:rtl/>
        </w:rPr>
      </w:pPr>
      <w:r>
        <w:rPr>
          <w:rStyle w:val="a6"/>
          <w:rtl/>
        </w:rPr>
        <w:t xml:space="preserve">* </w:t>
      </w:r>
      <w:r>
        <w:rPr>
          <w:rtl/>
        </w:rPr>
        <w:t>האזורים והיישובים שייכללו בתוספת ייקבעו בעת הכנת הצעת החוק לקריאה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E6268"/>
    <w:rsid w:val="003F693E"/>
    <w:rsid w:val="004033D8"/>
    <w:rsid w:val="004073F0"/>
    <w:rsid w:val="00412A7D"/>
    <w:rsid w:val="00416B4D"/>
    <w:rsid w:val="00417CFC"/>
    <w:rsid w:val="004A06DC"/>
    <w:rsid w:val="004B24ED"/>
    <w:rsid w:val="004B6625"/>
    <w:rsid w:val="004D2D82"/>
    <w:rsid w:val="004D3876"/>
    <w:rsid w:val="004E4552"/>
    <w:rsid w:val="004E6CDF"/>
    <w:rsid w:val="0052176F"/>
    <w:rsid w:val="00553C9D"/>
    <w:rsid w:val="00562A66"/>
    <w:rsid w:val="005B064E"/>
    <w:rsid w:val="005D51AE"/>
    <w:rsid w:val="0062674B"/>
    <w:rsid w:val="006363B2"/>
    <w:rsid w:val="00644940"/>
    <w:rsid w:val="006818A9"/>
    <w:rsid w:val="006A2D81"/>
    <w:rsid w:val="006C1D0D"/>
    <w:rsid w:val="006D3D45"/>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3255A"/>
    <w:rsid w:val="00843EB2"/>
    <w:rsid w:val="00865572"/>
    <w:rsid w:val="00867A1A"/>
    <w:rsid w:val="00874BBC"/>
    <w:rsid w:val="00892135"/>
    <w:rsid w:val="00895449"/>
    <w:rsid w:val="00897879"/>
    <w:rsid w:val="008A6870"/>
    <w:rsid w:val="008C2DDC"/>
    <w:rsid w:val="008C7516"/>
    <w:rsid w:val="008E6EC7"/>
    <w:rsid w:val="008F0D63"/>
    <w:rsid w:val="008F1308"/>
    <w:rsid w:val="008F2C35"/>
    <w:rsid w:val="008F6665"/>
    <w:rsid w:val="009033D7"/>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BF1835"/>
    <w:rsid w:val="00C00C53"/>
    <w:rsid w:val="00C23B1A"/>
    <w:rsid w:val="00C310EB"/>
    <w:rsid w:val="00C9176A"/>
    <w:rsid w:val="00CF1AA2"/>
    <w:rsid w:val="00D142D3"/>
    <w:rsid w:val="00D17774"/>
    <w:rsid w:val="00D63620"/>
    <w:rsid w:val="00D8410D"/>
    <w:rsid w:val="00D867D7"/>
    <w:rsid w:val="00DA5A6C"/>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3056"/>
    <w:rsid w:val="00F42F67"/>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12A1BE8-FB58-4CA6-8EF1-3EF7A64E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83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F183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F183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F183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F183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F1835"/>
    <w:pPr>
      <w:spacing w:line="259" w:lineRule="auto"/>
      <w:outlineLvl w:val="4"/>
    </w:pPr>
    <w:rPr>
      <w:color w:val="000000" w:themeColor="text1"/>
    </w:rPr>
  </w:style>
  <w:style w:type="character" w:default="1" w:styleId="a0">
    <w:name w:val="Default Paragraph Font"/>
    <w:uiPriority w:val="1"/>
    <w:semiHidden/>
    <w:unhideWhenUsed/>
    <w:rsid w:val="00BF183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F1835"/>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F183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F1835"/>
    <w:rPr>
      <w:sz w:val="36"/>
      <w:szCs w:val="52"/>
    </w:rPr>
  </w:style>
  <w:style w:type="paragraph" w:customStyle="1" w:styleId="Cover3-Haknesset">
    <w:name w:val="Cover 3-Haknesset"/>
    <w:basedOn w:val="Cover1-Reshumot"/>
    <w:rsid w:val="00BF1835"/>
    <w:rPr>
      <w:b/>
      <w:bCs/>
      <w:spacing w:val="60"/>
    </w:rPr>
  </w:style>
  <w:style w:type="paragraph" w:customStyle="1" w:styleId="Cover4-Date">
    <w:name w:val="Cover 4-Date"/>
    <w:basedOn w:val="a"/>
    <w:rsid w:val="00BF183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F183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F183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F1835"/>
    <w:pPr>
      <w:spacing w:before="120" w:after="120"/>
    </w:pPr>
    <w:rPr>
      <w:color w:val="FF0000"/>
      <w:w w:val="80"/>
    </w:rPr>
  </w:style>
  <w:style w:type="paragraph" w:styleId="a3">
    <w:name w:val="endnote text"/>
    <w:basedOn w:val="a"/>
    <w:semiHidden/>
    <w:rsid w:val="00BF1835"/>
    <w:pPr>
      <w:ind w:left="227" w:hanging="227"/>
    </w:pPr>
    <w:rPr>
      <w:sz w:val="14"/>
      <w:szCs w:val="22"/>
    </w:rPr>
  </w:style>
  <w:style w:type="paragraph" w:customStyle="1" w:styleId="TableText">
    <w:name w:val="Table Text"/>
    <w:basedOn w:val="a"/>
    <w:rsid w:val="00BF183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F1835"/>
    <w:pPr>
      <w:outlineLvl w:val="2"/>
    </w:pPr>
  </w:style>
  <w:style w:type="paragraph" w:customStyle="1" w:styleId="TableBlock">
    <w:name w:val="Table Block"/>
    <w:basedOn w:val="TableText"/>
    <w:rsid w:val="00BF1835"/>
    <w:pPr>
      <w:jc w:val="both"/>
    </w:pPr>
  </w:style>
  <w:style w:type="paragraph" w:customStyle="1" w:styleId="TableHead">
    <w:name w:val="Table Head"/>
    <w:basedOn w:val="TableText"/>
    <w:rsid w:val="00BF183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F1835"/>
    <w:pPr>
      <w:outlineLvl w:val="9"/>
    </w:pPr>
  </w:style>
  <w:style w:type="paragraph" w:customStyle="1" w:styleId="Hesber">
    <w:name w:val="Hesber"/>
    <w:basedOn w:val="a"/>
    <w:rsid w:val="00BF183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BF183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BF1835"/>
    <w:rPr>
      <w:vertAlign w:val="superscript"/>
    </w:rPr>
  </w:style>
  <w:style w:type="paragraph" w:customStyle="1" w:styleId="HesberHeading">
    <w:name w:val="Hesber Heading"/>
    <w:basedOn w:val="Hesber"/>
    <w:rsid w:val="00BF1835"/>
    <w:pPr>
      <w:tabs>
        <w:tab w:val="left" w:pos="624"/>
        <w:tab w:val="left" w:pos="1247"/>
      </w:tabs>
    </w:pPr>
    <w:rPr>
      <w:b/>
      <w:bCs/>
    </w:rPr>
  </w:style>
  <w:style w:type="paragraph" w:customStyle="1" w:styleId="HesberWriters">
    <w:name w:val="Hesber Writers"/>
    <w:basedOn w:val="Hesber"/>
    <w:rsid w:val="00BF1835"/>
    <w:pPr>
      <w:spacing w:before="120" w:after="120"/>
      <w:ind w:left="1418"/>
      <w:jc w:val="right"/>
    </w:pPr>
    <w:rPr>
      <w:b/>
      <w:bCs/>
    </w:rPr>
  </w:style>
  <w:style w:type="paragraph" w:customStyle="1" w:styleId="Hesber1st">
    <w:name w:val="Hesber 1st"/>
    <w:basedOn w:val="Hesber"/>
    <w:rsid w:val="00BF1835"/>
    <w:pPr>
      <w:tabs>
        <w:tab w:val="left" w:pos="680"/>
        <w:tab w:val="left" w:pos="1020"/>
      </w:tabs>
      <w:ind w:firstLine="0"/>
    </w:pPr>
  </w:style>
  <w:style w:type="character" w:styleId="a7">
    <w:name w:val="endnote reference"/>
    <w:basedOn w:val="a0"/>
    <w:semiHidden/>
    <w:rsid w:val="00BF1835"/>
    <w:rPr>
      <w:vertAlign w:val="superscript"/>
    </w:rPr>
  </w:style>
  <w:style w:type="paragraph" w:customStyle="1" w:styleId="TableBlockOutdent">
    <w:name w:val="Table BlockOutdent"/>
    <w:basedOn w:val="TableBlock"/>
    <w:rsid w:val="00BF1835"/>
    <w:pPr>
      <w:ind w:left="624" w:hanging="624"/>
    </w:pPr>
  </w:style>
  <w:style w:type="paragraph" w:styleId="a8">
    <w:name w:val="header"/>
    <w:basedOn w:val="a"/>
    <w:rsid w:val="00BF1835"/>
    <w:pPr>
      <w:tabs>
        <w:tab w:val="center" w:pos="4153"/>
        <w:tab w:val="right" w:pos="8306"/>
      </w:tabs>
    </w:pPr>
  </w:style>
  <w:style w:type="paragraph" w:styleId="a9">
    <w:name w:val="footer"/>
    <w:basedOn w:val="a"/>
    <w:rsid w:val="00BF1835"/>
    <w:pPr>
      <w:tabs>
        <w:tab w:val="center" w:pos="4153"/>
        <w:tab w:val="right" w:pos="8306"/>
      </w:tabs>
    </w:pPr>
  </w:style>
  <w:style w:type="paragraph" w:customStyle="1" w:styleId="HeadDivreiHesber">
    <w:name w:val="Head DivreiHesber"/>
    <w:basedOn w:val="a"/>
    <w:rsid w:val="00BF183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F183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BF183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A5A6C"/>
    <w:rPr>
      <w:rFonts w:ascii="Arial" w:eastAsia="Arial Unicode MS" w:hAnsi="Arial" w:cs="David"/>
      <w:snapToGrid w:val="0"/>
      <w:sz w:val="14"/>
    </w:rPr>
  </w:style>
  <w:style w:type="character" w:customStyle="1" w:styleId="10">
    <w:name w:val="כותרת 1 תו"/>
    <w:basedOn w:val="a0"/>
    <w:link w:val="1"/>
    <w:uiPriority w:val="9"/>
    <w:rsid w:val="00BF1835"/>
    <w:rPr>
      <w:rFonts w:asciiTheme="majorHAnsi" w:eastAsiaTheme="majorEastAsia" w:hAnsiTheme="majorHAnsi" w:cs="David"/>
      <w:bCs/>
      <w:sz w:val="32"/>
      <w:szCs w:val="36"/>
    </w:rPr>
  </w:style>
  <w:style w:type="character" w:customStyle="1" w:styleId="20">
    <w:name w:val="כותרת 2 תו"/>
    <w:basedOn w:val="a0"/>
    <w:link w:val="2"/>
    <w:rsid w:val="00BF1835"/>
    <w:rPr>
      <w:rFonts w:asciiTheme="majorHAnsi" w:eastAsiaTheme="majorEastAsia" w:hAnsiTheme="majorHAnsi" w:cs="David"/>
      <w:bCs/>
      <w:sz w:val="26"/>
      <w:szCs w:val="36"/>
      <w:u w:val="single"/>
    </w:rPr>
  </w:style>
  <w:style w:type="character" w:customStyle="1" w:styleId="30">
    <w:name w:val="כותרת 3 תו"/>
    <w:basedOn w:val="a0"/>
    <w:link w:val="3"/>
    <w:rsid w:val="00BF1835"/>
    <w:rPr>
      <w:rFonts w:asciiTheme="majorHAnsi" w:eastAsiaTheme="majorEastAsia" w:hAnsiTheme="majorHAnsi" w:cs="David"/>
      <w:sz w:val="24"/>
      <w:szCs w:val="28"/>
      <w:u w:val="double"/>
    </w:rPr>
  </w:style>
  <w:style w:type="character" w:customStyle="1" w:styleId="40">
    <w:name w:val="כותרת 4 תו"/>
    <w:basedOn w:val="a0"/>
    <w:link w:val="4"/>
    <w:uiPriority w:val="9"/>
    <w:rsid w:val="00BF183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F183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BF1835"/>
    <w:pPr>
      <w:widowControl/>
      <w:spacing w:before="120" w:after="120"/>
      <w:outlineLvl w:val="9"/>
    </w:pPr>
    <w:rPr>
      <w:rtl/>
      <w:cs/>
    </w:rPr>
  </w:style>
  <w:style w:type="paragraph" w:styleId="TOC1">
    <w:name w:val="toc 1"/>
    <w:basedOn w:val="a"/>
    <w:next w:val="a"/>
    <w:autoRedefine/>
    <w:uiPriority w:val="39"/>
    <w:unhideWhenUsed/>
    <w:rsid w:val="00BF1835"/>
    <w:pPr>
      <w:tabs>
        <w:tab w:val="right" w:leader="dot" w:pos="9629"/>
      </w:tabs>
      <w:spacing w:after="100"/>
    </w:pPr>
    <w:rPr>
      <w:bCs/>
      <w:szCs w:val="22"/>
    </w:rPr>
  </w:style>
  <w:style w:type="paragraph" w:styleId="TOC2">
    <w:name w:val="toc 2"/>
    <w:basedOn w:val="a"/>
    <w:next w:val="a"/>
    <w:uiPriority w:val="39"/>
    <w:unhideWhenUsed/>
    <w:rsid w:val="00BF1835"/>
    <w:pPr>
      <w:tabs>
        <w:tab w:val="right" w:leader="dot" w:pos="9628"/>
      </w:tabs>
      <w:spacing w:after="100"/>
    </w:pPr>
    <w:rPr>
      <w:szCs w:val="22"/>
    </w:rPr>
  </w:style>
  <w:style w:type="character" w:styleId="Hyperlink">
    <w:name w:val="Hyperlink"/>
    <w:basedOn w:val="a0"/>
    <w:uiPriority w:val="99"/>
    <w:unhideWhenUsed/>
    <w:rsid w:val="00BF1835"/>
    <w:rPr>
      <w:color w:val="0000FF" w:themeColor="hyperlink"/>
      <w:u w:val="single"/>
    </w:rPr>
  </w:style>
  <w:style w:type="paragraph" w:styleId="TOC3">
    <w:name w:val="toc 3"/>
    <w:basedOn w:val="a"/>
    <w:next w:val="a"/>
    <w:uiPriority w:val="39"/>
    <w:unhideWhenUsed/>
    <w:rsid w:val="00BF1835"/>
    <w:pPr>
      <w:tabs>
        <w:tab w:val="right" w:leader="dot" w:pos="9629"/>
      </w:tabs>
      <w:spacing w:after="100"/>
      <w:ind w:left="567"/>
    </w:pPr>
    <w:rPr>
      <w:szCs w:val="22"/>
    </w:rPr>
  </w:style>
  <w:style w:type="paragraph" w:styleId="TOC4">
    <w:name w:val="toc 4"/>
    <w:basedOn w:val="a"/>
    <w:next w:val="a"/>
    <w:autoRedefine/>
    <w:unhideWhenUsed/>
    <w:qFormat/>
    <w:rsid w:val="00BF183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F1835"/>
    <w:pPr>
      <w:tabs>
        <w:tab w:val="right" w:leader="dot" w:pos="9628"/>
      </w:tabs>
      <w:spacing w:after="100"/>
      <w:ind w:left="567"/>
    </w:pPr>
    <w:rPr>
      <w:szCs w:val="22"/>
    </w:rPr>
  </w:style>
  <w:style w:type="paragraph" w:styleId="TOC6">
    <w:name w:val="toc 6"/>
    <w:basedOn w:val="a"/>
    <w:next w:val="a"/>
    <w:autoRedefine/>
    <w:semiHidden/>
    <w:unhideWhenUsed/>
    <w:rsid w:val="00BF1835"/>
    <w:pPr>
      <w:spacing w:after="100"/>
      <w:ind w:left="850"/>
    </w:pPr>
  </w:style>
  <w:style w:type="paragraph" w:styleId="TOC7">
    <w:name w:val="toc 7"/>
    <w:basedOn w:val="a"/>
    <w:next w:val="a"/>
    <w:autoRedefine/>
    <w:semiHidden/>
    <w:unhideWhenUsed/>
    <w:rsid w:val="00BF1835"/>
    <w:pPr>
      <w:spacing w:after="100"/>
      <w:ind w:left="1020"/>
    </w:pPr>
  </w:style>
  <w:style w:type="paragraph" w:styleId="TOC8">
    <w:name w:val="toc 8"/>
    <w:basedOn w:val="a"/>
    <w:next w:val="a"/>
    <w:autoRedefine/>
    <w:semiHidden/>
    <w:unhideWhenUsed/>
    <w:rsid w:val="00BF1835"/>
    <w:pPr>
      <w:spacing w:after="100"/>
      <w:ind w:left="1190"/>
    </w:pPr>
  </w:style>
  <w:style w:type="paragraph" w:styleId="TOC9">
    <w:name w:val="toc 9"/>
    <w:basedOn w:val="a"/>
    <w:next w:val="a"/>
    <w:autoRedefine/>
    <w:semiHidden/>
    <w:unhideWhenUsed/>
    <w:rsid w:val="00BF1835"/>
    <w:pPr>
      <w:spacing w:after="100"/>
      <w:ind w:left="1360"/>
    </w:pPr>
  </w:style>
  <w:style w:type="paragraph" w:customStyle="1" w:styleId="TableHead2">
    <w:name w:val="Table Head2"/>
    <w:basedOn w:val="TableHead"/>
    <w:qFormat/>
    <w:rsid w:val="00BF1835"/>
    <w:pPr>
      <w:outlineLvl w:val="9"/>
    </w:pPr>
  </w:style>
  <w:style w:type="paragraph" w:customStyle="1" w:styleId="TableSideHeading2">
    <w:name w:val="Table SideHeading2"/>
    <w:basedOn w:val="TableSideHeading"/>
    <w:autoRedefine/>
    <w:qFormat/>
    <w:rsid w:val="00BF1835"/>
    <w:pPr>
      <w:keepLines w:val="0"/>
      <w:outlineLvl w:val="9"/>
    </w:pPr>
  </w:style>
  <w:style w:type="paragraph" w:customStyle="1" w:styleId="0">
    <w:name w:val="סגנון שורה ראשונה:  0  ס''מ"/>
    <w:basedOn w:val="2"/>
    <w:rsid w:val="00BF1835"/>
    <w:rPr>
      <w:rFonts w:eastAsia="Times New Roman"/>
    </w:rPr>
  </w:style>
  <w:style w:type="paragraph" w:styleId="af">
    <w:name w:val="List Paragraph"/>
    <w:basedOn w:val="a"/>
    <w:uiPriority w:val="34"/>
    <w:qFormat/>
    <w:rsid w:val="00BF1835"/>
    <w:pPr>
      <w:widowControl/>
      <w:spacing w:line="259" w:lineRule="auto"/>
    </w:pPr>
    <w:rPr>
      <w:rFonts w:asciiTheme="minorHAnsi" w:hAnsiTheme="minorHAnsi"/>
      <w:sz w:val="22"/>
    </w:rPr>
  </w:style>
  <w:style w:type="table" w:styleId="af0">
    <w:name w:val="Table Grid"/>
    <w:basedOn w:val="a1"/>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F18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F18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BF183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F183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220921">
      <w:bodyDiv w:val="1"/>
      <w:marLeft w:val="0"/>
      <w:marRight w:val="0"/>
      <w:marTop w:val="0"/>
      <w:marBottom w:val="0"/>
      <w:divBdr>
        <w:top w:val="none" w:sz="0" w:space="0" w:color="auto"/>
        <w:left w:val="none" w:sz="0" w:space="0" w:color="auto"/>
        <w:bottom w:val="none" w:sz="0" w:space="0" w:color="auto"/>
        <w:right w:val="none" w:sz="0" w:space="0" w:color="auto"/>
      </w:divBdr>
    </w:div>
    <w:div w:id="109282338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6BDF-A2B5-4FAB-8731-46EFD57C5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4E4D396-1D4B-456D-83CD-E0EC57E1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664</Words>
  <Characters>3791</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17</cp:revision>
  <cp:lastPrinted>2021-07-07T10:11:00Z</cp:lastPrinted>
  <dcterms:created xsi:type="dcterms:W3CDTF">2015-04-20T09:58:00Z</dcterms:created>
  <dcterms:modified xsi:type="dcterms:W3CDTF">2021-07-22T05:32:00Z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2160059</vt:r8>
  </property>
</Properties>
</file>