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2157296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אבי מעוז</w:t>
      </w:r>
      <w:bookmarkEnd w:id="3"/>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CE92E41" w:rsidR="00E13C27" w:rsidRPr="00E06736" w:rsidRDefault="00904591" w:rsidP="008A2FB7">
      <w:pPr>
        <w:pStyle w:val="David"/>
        <w:spacing w:line="240" w:lineRule="auto"/>
        <w:ind w:left="6424" w:firstLine="56"/>
        <w:rPr>
          <w:rtl/>
        </w:rPr>
      </w:pPr>
      <w:bookmarkStart w:id="4" w:name="Private_Number"/>
      <w:r>
        <w:rPr>
          <w:rFonts w:hint="cs"/>
          <w:rtl/>
        </w:rPr>
        <w:t>פ/1889/24</w:t>
      </w:r>
      <w:bookmarkEnd w:id="4"/>
    </w:p>
    <w:p w14:paraId="7F6961AC" w14:textId="77777777" w:rsidR="00E13C27" w:rsidRDefault="00E13C27" w:rsidP="00E13C27">
      <w:pPr>
        <w:ind w:left="2880" w:firstLine="720"/>
        <w:rPr>
          <w:sz w:val="26"/>
          <w:szCs w:val="26"/>
          <w:rtl/>
        </w:rPr>
      </w:pPr>
    </w:p>
    <w:p w14:paraId="7F6961AD" w14:textId="18A05E77" w:rsidR="00E13C27" w:rsidRPr="00F67051" w:rsidRDefault="00A443CF" w:rsidP="008A2FB7">
      <w:pPr>
        <w:pStyle w:val="HeadHatzaotHok"/>
        <w:rPr>
          <w:rtl/>
        </w:rPr>
      </w:pPr>
      <w:bookmarkStart w:id="5" w:name="LGS_Subject"/>
      <w:r>
        <w:rPr>
          <w:rFonts w:hint="cs"/>
          <w:rtl/>
        </w:rPr>
        <w:t>הצעת חוק השמירה על המקומות הקדושים</w:t>
      </w:r>
      <w:r w:rsidR="008074DE">
        <w:rPr>
          <w:rFonts w:hint="cs"/>
          <w:rtl/>
        </w:rPr>
        <w:t xml:space="preserve"> (תיקון </w:t>
      </w:r>
      <w:r w:rsidR="008074DE">
        <w:rPr>
          <w:rFonts w:hint="eastAsia"/>
          <w:rtl/>
        </w:rPr>
        <w:t>–</w:t>
      </w:r>
      <w:r w:rsidR="008074DE">
        <w:rPr>
          <w:rFonts w:hint="cs"/>
          <w:rtl/>
        </w:rPr>
        <w:t xml:space="preserve"> ייעוץ הרבנות הראשית)</w:t>
      </w:r>
      <w:r>
        <w:rPr>
          <w:rFonts w:hint="cs"/>
          <w:rtl/>
        </w:rPr>
        <w:t xml:space="preserve">, </w:t>
      </w:r>
      <w:r w:rsidR="008074DE">
        <w:rPr>
          <w:rFonts w:hint="cs"/>
          <w:rtl/>
        </w:rPr>
        <w:t>ה</w:t>
      </w:r>
      <w:r>
        <w:rPr>
          <w:rFonts w:hint="cs"/>
          <w:rtl/>
        </w:rPr>
        <w:t>תשפ"א–2021</w:t>
      </w:r>
      <w:bookmarkEnd w:id="5"/>
    </w:p>
    <w:p w14:paraId="7F6961AE" w14:textId="77777777" w:rsidR="00E13C27" w:rsidRDefault="00E13C27" w:rsidP="0021633A">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8074DE" w:rsidRPr="00860411" w14:paraId="17DAE365" w14:textId="77777777" w:rsidTr="008A2FB7">
        <w:trPr>
          <w:cantSplit/>
        </w:trPr>
        <w:tc>
          <w:tcPr>
            <w:tcW w:w="1871" w:type="dxa"/>
            <w:hideMark/>
          </w:tcPr>
          <w:p w14:paraId="7A47E0E0" w14:textId="77777777" w:rsidR="008074DE" w:rsidRPr="008A2FB7" w:rsidRDefault="008074DE" w:rsidP="008A2FB7">
            <w:pPr>
              <w:pStyle w:val="TableSideHeading"/>
              <w:outlineLvl w:val="9"/>
              <w:rPr>
                <w:rtl/>
              </w:rPr>
            </w:pPr>
            <w:r w:rsidRPr="008A2FB7">
              <w:rPr>
                <w:rFonts w:hint="cs"/>
                <w:rtl/>
              </w:rPr>
              <w:t>תיקון סעיף 2</w:t>
            </w:r>
          </w:p>
        </w:tc>
        <w:tc>
          <w:tcPr>
            <w:tcW w:w="624" w:type="dxa"/>
            <w:hideMark/>
          </w:tcPr>
          <w:p w14:paraId="328AD960" w14:textId="77777777" w:rsidR="008074DE" w:rsidRPr="008A2FB7" w:rsidRDefault="008074DE" w:rsidP="008A2FB7">
            <w:pPr>
              <w:pStyle w:val="TableText"/>
              <w:jc w:val="both"/>
              <w:rPr>
                <w:rtl/>
              </w:rPr>
            </w:pPr>
            <w:r w:rsidRPr="008A2FB7">
              <w:rPr>
                <w:rFonts w:hint="cs"/>
                <w:rtl/>
              </w:rPr>
              <w:t>1.</w:t>
            </w:r>
          </w:p>
        </w:tc>
        <w:tc>
          <w:tcPr>
            <w:tcW w:w="7143" w:type="dxa"/>
          </w:tcPr>
          <w:p w14:paraId="13C21636" w14:textId="478F922E" w:rsidR="008074DE" w:rsidRPr="00860411" w:rsidRDefault="008074DE" w:rsidP="008A2FB7">
            <w:pPr>
              <w:pStyle w:val="TableBlock"/>
              <w:rPr>
                <w:rtl/>
              </w:rPr>
            </w:pPr>
            <w:r w:rsidRPr="001216C7">
              <w:rPr>
                <w:rtl/>
              </w:rPr>
              <w:t>בחוק השמירה על המקומות הקדושים, התשכ"ז–1967</w:t>
            </w:r>
            <w:r w:rsidRPr="008A2FB7">
              <w:rPr>
                <w:rStyle w:val="a6"/>
                <w:rFonts w:ascii="David" w:hAnsi="David"/>
                <w:sz w:val="26"/>
                <w:rtl/>
              </w:rPr>
              <w:footnoteReference w:id="2"/>
            </w:r>
            <w:r>
              <w:t xml:space="preserve"> </w:t>
            </w:r>
            <w:r>
              <w:rPr>
                <w:rFonts w:hint="cs"/>
                <w:rtl/>
              </w:rPr>
              <w:t xml:space="preserve">(להלן </w:t>
            </w:r>
            <w:r>
              <w:rPr>
                <w:rFonts w:hint="eastAsia"/>
                <w:rtl/>
              </w:rPr>
              <w:t xml:space="preserve">– </w:t>
            </w:r>
            <w:r>
              <w:rPr>
                <w:rFonts w:hint="cs"/>
                <w:rtl/>
              </w:rPr>
              <w:t>החוק העיקרי)</w:t>
            </w:r>
            <w:r w:rsidR="008A2FB7">
              <w:rPr>
                <w:rFonts w:hint="cs"/>
                <w:rtl/>
              </w:rPr>
              <w:t>,</w:t>
            </w:r>
            <w:r>
              <w:rPr>
                <w:rFonts w:hint="cs"/>
                <w:rtl/>
              </w:rPr>
              <w:t xml:space="preserve"> ב</w:t>
            </w:r>
            <w:r w:rsidRPr="001216C7">
              <w:rPr>
                <w:rtl/>
              </w:rPr>
              <w:t>סעיף</w:t>
            </w:r>
            <w:r>
              <w:rPr>
                <w:rtl/>
              </w:rPr>
              <w:t xml:space="preserve"> </w:t>
            </w:r>
            <w:r>
              <w:rPr>
                <w:rFonts w:hint="cs"/>
                <w:rtl/>
              </w:rPr>
              <w:t>2</w:t>
            </w:r>
            <w:r w:rsidR="008A2FB7">
              <w:rPr>
                <w:rFonts w:hint="cs"/>
                <w:rtl/>
              </w:rPr>
              <w:t>,</w:t>
            </w:r>
            <w:bookmarkStart w:id="6" w:name="_GoBack"/>
            <w:bookmarkEnd w:id="6"/>
            <w:r>
              <w:rPr>
                <w:rFonts w:hint="cs"/>
                <w:rtl/>
              </w:rPr>
              <w:t xml:space="preserve"> בסופו יבוא: </w:t>
            </w:r>
          </w:p>
        </w:tc>
      </w:tr>
      <w:tr w:rsidR="008074DE" w14:paraId="26626DD0" w14:textId="77777777" w:rsidTr="008A2FB7">
        <w:trPr>
          <w:cantSplit/>
        </w:trPr>
        <w:tc>
          <w:tcPr>
            <w:tcW w:w="1871" w:type="dxa"/>
          </w:tcPr>
          <w:p w14:paraId="435261FF" w14:textId="77777777" w:rsidR="008074DE" w:rsidRDefault="008074DE" w:rsidP="008F1BC5">
            <w:pPr>
              <w:pStyle w:val="TableSideHeading"/>
            </w:pPr>
          </w:p>
        </w:tc>
        <w:tc>
          <w:tcPr>
            <w:tcW w:w="624" w:type="dxa"/>
          </w:tcPr>
          <w:p w14:paraId="4A865857" w14:textId="77777777" w:rsidR="008074DE" w:rsidRDefault="008074DE" w:rsidP="008F1BC5">
            <w:pPr>
              <w:pStyle w:val="TableText"/>
            </w:pPr>
          </w:p>
        </w:tc>
        <w:tc>
          <w:tcPr>
            <w:tcW w:w="7143" w:type="dxa"/>
          </w:tcPr>
          <w:p w14:paraId="1EF7E03E" w14:textId="77777777" w:rsidR="008074DE" w:rsidRPr="00C34DE2" w:rsidRDefault="008074DE" w:rsidP="008A2FB7">
            <w:pPr>
              <w:pStyle w:val="TableBlock"/>
            </w:pPr>
            <w:r>
              <w:rPr>
                <w:rFonts w:hint="cs"/>
                <w:rtl/>
              </w:rPr>
              <w:t>"(ג)</w:t>
            </w:r>
            <w:r>
              <w:rPr>
                <w:rtl/>
              </w:rPr>
              <w:tab/>
            </w:r>
            <w:r>
              <w:rPr>
                <w:rFonts w:hint="cs"/>
                <w:rtl/>
              </w:rPr>
              <w:t xml:space="preserve">בסעיף זה </w:t>
            </w:r>
            <w:r w:rsidRPr="00860411">
              <w:rPr>
                <w:rFonts w:hint="cs"/>
                <w:rtl/>
              </w:rPr>
              <w:t xml:space="preserve">– </w:t>
            </w:r>
            <w:r>
              <w:rPr>
                <w:rFonts w:hint="cs"/>
                <w:rtl/>
              </w:rPr>
              <w:t xml:space="preserve"> "חילול", </w:t>
            </w:r>
            <w:r w:rsidRPr="00860411">
              <w:rPr>
                <w:rFonts w:hint="cs"/>
                <w:rtl/>
              </w:rPr>
              <w:t xml:space="preserve">לעניין </w:t>
            </w:r>
            <w:r>
              <w:rPr>
                <w:rFonts w:hint="cs"/>
                <w:rtl/>
              </w:rPr>
              <w:t>מקומות הקדושים ליהודים</w:t>
            </w:r>
            <w:r w:rsidRPr="00860411">
              <w:rPr>
                <w:rFonts w:hint="cs"/>
                <w:rtl/>
              </w:rPr>
              <w:t xml:space="preserve"> – התנהגות העומדת בניגוד להנחיות הרבנות הראשית ולפסיקותיה.</w:t>
            </w:r>
            <w:r>
              <w:rPr>
                <w:rFonts w:hint="cs"/>
                <w:rtl/>
              </w:rPr>
              <w:t>"</w:t>
            </w:r>
          </w:p>
        </w:tc>
      </w:tr>
      <w:tr w:rsidR="008074DE" w:rsidRPr="00860411" w14:paraId="41068F8E" w14:textId="77777777" w:rsidTr="008A2FB7">
        <w:trPr>
          <w:cantSplit/>
        </w:trPr>
        <w:tc>
          <w:tcPr>
            <w:tcW w:w="1871" w:type="dxa"/>
            <w:hideMark/>
          </w:tcPr>
          <w:p w14:paraId="291B7C63" w14:textId="77777777" w:rsidR="008074DE" w:rsidRPr="008A2FB7" w:rsidRDefault="008074DE" w:rsidP="008A2FB7">
            <w:pPr>
              <w:pStyle w:val="TableSideHeading"/>
              <w:tabs>
                <w:tab w:val="left" w:pos="624"/>
                <w:tab w:val="left" w:pos="1247"/>
              </w:tabs>
              <w:outlineLvl w:val="9"/>
            </w:pPr>
            <w:r w:rsidRPr="008A2FB7">
              <w:rPr>
                <w:rFonts w:hint="cs"/>
                <w:rtl/>
              </w:rPr>
              <w:t xml:space="preserve">תיקון סעיף 4  </w:t>
            </w:r>
          </w:p>
        </w:tc>
        <w:tc>
          <w:tcPr>
            <w:tcW w:w="624" w:type="dxa"/>
            <w:hideMark/>
          </w:tcPr>
          <w:p w14:paraId="1E7FA1CE" w14:textId="77777777" w:rsidR="008074DE" w:rsidRPr="008A2FB7" w:rsidRDefault="008074DE" w:rsidP="008A2FB7">
            <w:pPr>
              <w:pStyle w:val="TableText"/>
              <w:jc w:val="both"/>
              <w:rPr>
                <w:rtl/>
              </w:rPr>
            </w:pPr>
            <w:r w:rsidRPr="008A2FB7">
              <w:rPr>
                <w:rFonts w:hint="cs"/>
                <w:rtl/>
              </w:rPr>
              <w:t>2.</w:t>
            </w:r>
          </w:p>
        </w:tc>
        <w:tc>
          <w:tcPr>
            <w:tcW w:w="7143" w:type="dxa"/>
            <w:hideMark/>
          </w:tcPr>
          <w:p w14:paraId="216F2C63" w14:textId="77777777" w:rsidR="008074DE" w:rsidRPr="008A2FB7" w:rsidRDefault="008074DE" w:rsidP="008A2FB7">
            <w:pPr>
              <w:pStyle w:val="TableBlock"/>
              <w:rPr>
                <w:rtl/>
              </w:rPr>
            </w:pPr>
            <w:r w:rsidRPr="008A2FB7">
              <w:rPr>
                <w:rFonts w:hint="cs"/>
                <w:rtl/>
              </w:rPr>
              <w:t>בסעיף 4 לחוק העיקרי, בסופו יבוא "</w:t>
            </w:r>
            <w:r w:rsidRPr="008A2FB7">
              <w:rPr>
                <w:rtl/>
              </w:rPr>
              <w:t>לעניין זה, יראו את הרבנים הראשיים כמשמעותם בחוק</w:t>
            </w:r>
            <w:r w:rsidRPr="008A2FB7">
              <w:rPr>
                <w:rFonts w:hint="cs"/>
                <w:rtl/>
              </w:rPr>
              <w:t xml:space="preserve"> הרבנות הראשית, ה</w:t>
            </w:r>
            <w:r w:rsidRPr="008A2FB7">
              <w:rPr>
                <w:rtl/>
              </w:rPr>
              <w:t>תש"ם–1980</w:t>
            </w:r>
            <w:r w:rsidRPr="008A2FB7">
              <w:rPr>
                <w:rFonts w:hint="cs"/>
                <w:rtl/>
              </w:rPr>
              <w:t>,</w:t>
            </w:r>
            <w:r w:rsidRPr="008A2FB7">
              <w:rPr>
                <w:rFonts w:ascii="David" w:hAnsi="David"/>
                <w:sz w:val="26"/>
                <w:vertAlign w:val="superscript"/>
                <w:rtl/>
              </w:rPr>
              <w:footnoteReference w:id="3"/>
            </w:r>
            <w:r w:rsidRPr="008A2FB7">
              <w:rPr>
                <w:rtl/>
              </w:rPr>
              <w:t xml:space="preserve"> כנציגיהם של בני הדת היהודית."</w:t>
            </w:r>
            <w:r w:rsidRPr="008A2FB7">
              <w:rPr>
                <w:rFonts w:hint="cs"/>
                <w:rtl/>
              </w:rPr>
              <w:t xml:space="preserve"> </w:t>
            </w:r>
          </w:p>
        </w:tc>
      </w:tr>
    </w:tbl>
    <w:p w14:paraId="33BE2044" w14:textId="77777777" w:rsidR="008074DE" w:rsidRPr="0002757A" w:rsidRDefault="008074DE" w:rsidP="008074DE">
      <w:pPr>
        <w:pStyle w:val="HeadDivreiHesber"/>
        <w:rPr>
          <w:rtl/>
        </w:rPr>
      </w:pPr>
      <w:r w:rsidRPr="0002757A">
        <w:rPr>
          <w:rFonts w:hint="cs"/>
          <w:rtl/>
        </w:rPr>
        <w:t>דברי הסבר</w:t>
      </w:r>
    </w:p>
    <w:p w14:paraId="1FE896D7" w14:textId="77777777" w:rsidR="008074DE" w:rsidRPr="0002757A" w:rsidRDefault="008074DE" w:rsidP="008074DE">
      <w:pPr>
        <w:pStyle w:val="Hesber"/>
      </w:pPr>
      <w:r w:rsidRPr="0002757A">
        <w:rPr>
          <w:rFonts w:hint="cs"/>
          <w:rtl/>
        </w:rPr>
        <w:t xml:space="preserve">חוק השמירה על המקומות הקדושים נועד לשמור על המקומות הקדושים מפני חילול  או מפני כל דבר העלול לפגוע בחופש הגישה של בני הדתות אל המקומות הקדושים להם או </w:t>
      </w:r>
      <w:r>
        <w:rPr>
          <w:rFonts w:hint="cs"/>
          <w:rtl/>
        </w:rPr>
        <w:t xml:space="preserve">פגיעה </w:t>
      </w:r>
      <w:r w:rsidRPr="0002757A">
        <w:rPr>
          <w:rFonts w:hint="cs"/>
          <w:rtl/>
        </w:rPr>
        <w:t>ברגשותיהם כלפי אותם מקומות. מדובר בחוק שנחקק בשנת 1967 ומאז לא נערכו בו כל תיקונים.</w:t>
      </w:r>
    </w:p>
    <w:p w14:paraId="38EF6A2E" w14:textId="77777777" w:rsidR="008074DE" w:rsidRPr="0002757A" w:rsidRDefault="008074DE" w:rsidP="008074DE">
      <w:pPr>
        <w:pStyle w:val="Hesber"/>
        <w:rPr>
          <w:rtl/>
        </w:rPr>
      </w:pPr>
      <w:r w:rsidRPr="0002757A">
        <w:rPr>
          <w:rFonts w:hint="cs"/>
          <w:rtl/>
        </w:rPr>
        <w:t>בסעיף 4 לחוק נקבע כי שר הדתות הינו הממונה על ביצוע של חוק זה וכי הוא רשאי לאחר התייעצות עם נציגים של בני הדתות הנוגעים בדבר או לפי הצעתם ובהסכמת שר המשפטים להתקין תקנות בכל הנוגע לביצועו.</w:t>
      </w:r>
    </w:p>
    <w:p w14:paraId="53C949C4" w14:textId="77777777" w:rsidR="008074DE" w:rsidRPr="0002757A" w:rsidRDefault="008074DE" w:rsidP="008074DE">
      <w:pPr>
        <w:pStyle w:val="Hesber"/>
        <w:rPr>
          <w:rtl/>
        </w:rPr>
      </w:pPr>
      <w:r w:rsidRPr="0002757A">
        <w:rPr>
          <w:rFonts w:hint="cs"/>
          <w:rtl/>
        </w:rPr>
        <w:t>נרא</w:t>
      </w:r>
      <w:r>
        <w:rPr>
          <w:rFonts w:hint="cs"/>
          <w:rtl/>
        </w:rPr>
        <w:t>ה</w:t>
      </w:r>
      <w:r w:rsidRPr="0002757A">
        <w:rPr>
          <w:rFonts w:hint="cs"/>
          <w:rtl/>
        </w:rPr>
        <w:t xml:space="preserve"> כי למחוקק בשנת 1967 היו הדברים ברורים כי נציגי הדתות הנוגעים בדבר, לעניין המקומות הקדושים לדת היהודית</w:t>
      </w:r>
      <w:r>
        <w:rPr>
          <w:rFonts w:hint="cs"/>
          <w:rtl/>
        </w:rPr>
        <w:t>,</w:t>
      </w:r>
      <w:r w:rsidRPr="0002757A">
        <w:rPr>
          <w:rFonts w:hint="cs"/>
          <w:rtl/>
        </w:rPr>
        <w:t xml:space="preserve"> הם הרבנים הראשיים לישראל</w:t>
      </w:r>
      <w:r>
        <w:rPr>
          <w:rFonts w:hint="cs"/>
          <w:rtl/>
        </w:rPr>
        <w:t xml:space="preserve">. </w:t>
      </w:r>
      <w:r w:rsidRPr="0002757A">
        <w:rPr>
          <w:rFonts w:hint="cs"/>
          <w:rtl/>
        </w:rPr>
        <w:t xml:space="preserve">בהתאם לכך תוקנו </w:t>
      </w:r>
      <w:r>
        <w:rPr>
          <w:rFonts w:hint="cs"/>
          <w:rtl/>
        </w:rPr>
        <w:t xml:space="preserve">גם </w:t>
      </w:r>
      <w:r w:rsidRPr="0002757A">
        <w:rPr>
          <w:rFonts w:hint="cs"/>
          <w:rtl/>
        </w:rPr>
        <w:t>תקנות השמירה על מקומות קדושים ליהודים, תשמ"א-1981, לאחר התייעצות עם הרבנים הראשיים לישראל.</w:t>
      </w:r>
    </w:p>
    <w:p w14:paraId="6C1FC2FC" w14:textId="77777777" w:rsidR="008074DE" w:rsidRPr="0002757A" w:rsidRDefault="008074DE" w:rsidP="008074DE">
      <w:pPr>
        <w:pStyle w:val="Hesber"/>
        <w:rPr>
          <w:rtl/>
        </w:rPr>
      </w:pPr>
      <w:r w:rsidRPr="0002757A">
        <w:rPr>
          <w:rFonts w:hint="cs"/>
          <w:rtl/>
        </w:rPr>
        <w:t>ברבות השנים נראה כי נוצר חוסר בהירות לגבי המונח הקבוע בחוק</w:t>
      </w:r>
      <w:r>
        <w:rPr>
          <w:rFonts w:hint="cs"/>
          <w:rtl/>
        </w:rPr>
        <w:t xml:space="preserve"> </w:t>
      </w:r>
      <w:r>
        <w:rPr>
          <w:rFonts w:hint="eastAsia"/>
          <w:rtl/>
        </w:rPr>
        <w:t>–</w:t>
      </w:r>
      <w:r>
        <w:rPr>
          <w:rFonts w:hint="cs"/>
          <w:rtl/>
        </w:rPr>
        <w:t xml:space="preserve"> </w:t>
      </w:r>
      <w:r w:rsidRPr="0002757A">
        <w:rPr>
          <w:rFonts w:hint="cs"/>
          <w:rtl/>
        </w:rPr>
        <w:t>"נציגים של בני הדתות הנוגעים בדבר"</w:t>
      </w:r>
      <w:r>
        <w:rPr>
          <w:rFonts w:hint="cs"/>
          <w:rtl/>
        </w:rPr>
        <w:t xml:space="preserve">. </w:t>
      </w:r>
      <w:r w:rsidRPr="0002757A">
        <w:rPr>
          <w:rFonts w:hint="cs"/>
          <w:rtl/>
        </w:rPr>
        <w:t>בהתאם לכך הועלו פרשנו</w:t>
      </w:r>
      <w:r>
        <w:rPr>
          <w:rFonts w:hint="cs"/>
          <w:rtl/>
        </w:rPr>
        <w:t>יו</w:t>
      </w:r>
      <w:r w:rsidRPr="0002757A">
        <w:rPr>
          <w:rFonts w:hint="cs"/>
          <w:rtl/>
        </w:rPr>
        <w:t xml:space="preserve">ת </w:t>
      </w:r>
      <w:r>
        <w:rPr>
          <w:rFonts w:hint="cs"/>
          <w:rtl/>
        </w:rPr>
        <w:t xml:space="preserve">שונות </w:t>
      </w:r>
      <w:r w:rsidRPr="0002757A">
        <w:rPr>
          <w:rFonts w:hint="cs"/>
          <w:rtl/>
        </w:rPr>
        <w:t xml:space="preserve">המקובלת למונח </w:t>
      </w:r>
      <w:r>
        <w:rPr>
          <w:rFonts w:hint="cs"/>
          <w:rtl/>
        </w:rPr>
        <w:t>זה</w:t>
      </w:r>
      <w:r w:rsidRPr="0002757A">
        <w:rPr>
          <w:rFonts w:hint="cs"/>
          <w:rtl/>
        </w:rPr>
        <w:t xml:space="preserve">, במה שנראה על פניו בניגוד גמור לכוונה המקורית של המחוקק. בהתאם לכך מבוקש לתקן את החוק ולציין באופן מפורש כי הגורם עמו יש </w:t>
      </w:r>
      <w:r w:rsidRPr="0002757A">
        <w:rPr>
          <w:rFonts w:hint="cs"/>
          <w:rtl/>
        </w:rPr>
        <w:lastRenderedPageBreak/>
        <w:t xml:space="preserve">להיוועץ ביחס לכלל המקומות הקדושים לדת היהודים הם הרבנים הראשיים לישראל, האינסטנציה הרבנית הגבוהה ביותר המוכרת </w:t>
      </w:r>
      <w:r>
        <w:rPr>
          <w:rFonts w:hint="cs"/>
          <w:rtl/>
        </w:rPr>
        <w:t>על ידי</w:t>
      </w:r>
      <w:r w:rsidRPr="0002757A">
        <w:rPr>
          <w:rFonts w:hint="cs"/>
          <w:rtl/>
        </w:rPr>
        <w:t xml:space="preserve"> המשפט הישראלי.</w:t>
      </w:r>
    </w:p>
    <w:p w14:paraId="19883523" w14:textId="77777777" w:rsidR="008074DE" w:rsidRPr="0002757A" w:rsidRDefault="008074DE" w:rsidP="008074DE">
      <w:pPr>
        <w:pStyle w:val="Hesber"/>
        <w:rPr>
          <w:rtl/>
        </w:rPr>
      </w:pPr>
      <w:r w:rsidRPr="0002757A">
        <w:rPr>
          <w:rFonts w:hint="cs"/>
          <w:rtl/>
        </w:rPr>
        <w:t>בשל החשיבות העצומה של השמירה על המקומות הקדושים מפני חילול או פגיעה, ולשם מניעת עמימות ביחס להוראות החוק, ולמשמעותן</w:t>
      </w:r>
      <w:r>
        <w:rPr>
          <w:rFonts w:hint="cs"/>
          <w:rtl/>
        </w:rPr>
        <w:t xml:space="preserve"> (</w:t>
      </w:r>
      <w:r w:rsidRPr="0002757A">
        <w:rPr>
          <w:rFonts w:hint="cs"/>
          <w:rtl/>
        </w:rPr>
        <w:t>כאשר ברבות השנים, גורמים שונים</w:t>
      </w:r>
      <w:r>
        <w:rPr>
          <w:rFonts w:hint="cs"/>
          <w:rtl/>
        </w:rPr>
        <w:t>,</w:t>
      </w:r>
      <w:r w:rsidRPr="0002757A">
        <w:rPr>
          <w:rFonts w:hint="cs"/>
          <w:rtl/>
        </w:rPr>
        <w:t xml:space="preserve"> לרבות בתי המשפט יצקו </w:t>
      </w:r>
      <w:r>
        <w:rPr>
          <w:rFonts w:hint="cs"/>
          <w:rtl/>
        </w:rPr>
        <w:t>ל</w:t>
      </w:r>
      <w:r w:rsidRPr="0002757A">
        <w:rPr>
          <w:rFonts w:hint="cs"/>
          <w:rtl/>
        </w:rPr>
        <w:t>חוק</w:t>
      </w:r>
      <w:r>
        <w:rPr>
          <w:rFonts w:hint="cs"/>
          <w:rtl/>
        </w:rPr>
        <w:t xml:space="preserve"> </w:t>
      </w:r>
      <w:r w:rsidRPr="0002757A">
        <w:rPr>
          <w:rFonts w:hint="cs"/>
          <w:rtl/>
        </w:rPr>
        <w:t>פרשנויות שלא עלו בקנה אחד עם כוונתו המקורית של המחוקק</w:t>
      </w:r>
      <w:r>
        <w:rPr>
          <w:rFonts w:hint="cs"/>
          <w:rtl/>
        </w:rPr>
        <w:t>)</w:t>
      </w:r>
      <w:r w:rsidRPr="0002757A">
        <w:rPr>
          <w:rFonts w:hint="cs"/>
          <w:rtl/>
        </w:rPr>
        <w:t xml:space="preserve">, מוצע לקבוע </w:t>
      </w:r>
      <w:r>
        <w:rPr>
          <w:rFonts w:hint="cs"/>
          <w:rtl/>
        </w:rPr>
        <w:t>ב</w:t>
      </w:r>
      <w:r w:rsidRPr="0002757A">
        <w:rPr>
          <w:rFonts w:hint="cs"/>
          <w:rtl/>
        </w:rPr>
        <w:t>חוק  הגדרה מפורשת של המונח "חילול"</w:t>
      </w:r>
      <w:r>
        <w:rPr>
          <w:rFonts w:hint="cs"/>
          <w:rtl/>
        </w:rPr>
        <w:t>.</w:t>
      </w:r>
      <w:r w:rsidRPr="0002757A">
        <w:rPr>
          <w:rFonts w:hint="cs"/>
          <w:rtl/>
        </w:rPr>
        <w:t xml:space="preserve"> הגדרה עצמאית </w:t>
      </w:r>
      <w:r>
        <w:rPr>
          <w:rFonts w:hint="cs"/>
          <w:rtl/>
        </w:rPr>
        <w:t>זו</w:t>
      </w:r>
      <w:r w:rsidRPr="0002757A">
        <w:rPr>
          <w:rFonts w:hint="cs"/>
          <w:rtl/>
        </w:rPr>
        <w:t xml:space="preserve"> </w:t>
      </w:r>
      <w:r>
        <w:rPr>
          <w:rFonts w:hint="cs"/>
          <w:rtl/>
        </w:rPr>
        <w:t>תמנע</w:t>
      </w:r>
      <w:r w:rsidRPr="0002757A">
        <w:rPr>
          <w:rFonts w:hint="cs"/>
          <w:rtl/>
        </w:rPr>
        <w:t xml:space="preserve"> יציקת תוכן ופרשנות ע"י כל גורם אחר,</w:t>
      </w:r>
      <w:r>
        <w:rPr>
          <w:rFonts w:hint="cs"/>
          <w:rtl/>
        </w:rPr>
        <w:t xml:space="preserve"> מלבד </w:t>
      </w:r>
      <w:r w:rsidRPr="0002757A">
        <w:rPr>
          <w:rFonts w:hint="cs"/>
          <w:rtl/>
        </w:rPr>
        <w:t xml:space="preserve"> הרבנים הראשיים לישראל. </w:t>
      </w:r>
    </w:p>
    <w:p w14:paraId="0137FCC5" w14:textId="77777777" w:rsidR="00860411" w:rsidRDefault="00860411" w:rsidP="00860411">
      <w:pPr>
        <w:pStyle w:val="Hesber"/>
        <w:ind w:firstLine="0"/>
        <w:rPr>
          <w:rtl/>
        </w:rPr>
      </w:pPr>
    </w:p>
    <w:p w14:paraId="7F6961CB" w14:textId="77777777" w:rsidR="00E13C27" w:rsidRPr="00860411" w:rsidRDefault="00E13C27" w:rsidP="00E13C27">
      <w:pPr>
        <w:pStyle w:val="Hesber"/>
        <w:rPr>
          <w:rtl/>
        </w:rPr>
      </w:pPr>
    </w:p>
    <w:p w14:paraId="788A65CF" w14:textId="77777777" w:rsidR="00C91FC1" w:rsidRDefault="008A2FB7">
      <w:pPr>
        <w:jc w:val="left"/>
      </w:pPr>
      <w:bookmarkStart w:id="7" w:name="selectedDocDateB"/>
      <w:bookmarkEnd w:id="7"/>
      <w:r>
        <w:rPr>
          <w:rFonts w:eastAsia="David" w:hint="cs"/>
          <w:sz w:val="26"/>
          <w:szCs w:val="26"/>
          <w:rtl/>
        </w:rPr>
        <w:t>--------------------------------</w:t>
      </w:r>
    </w:p>
    <w:p w14:paraId="7070B965" w14:textId="77777777" w:rsidR="00C91FC1" w:rsidRDefault="008A2FB7">
      <w:pPr>
        <w:jc w:val="left"/>
      </w:pPr>
      <w:r>
        <w:rPr>
          <w:rFonts w:eastAsia="David" w:hint="cs"/>
          <w:sz w:val="26"/>
          <w:szCs w:val="26"/>
          <w:rtl/>
        </w:rPr>
        <w:t>הוגשה ליו"ר הכנסת והסגנים</w:t>
      </w:r>
    </w:p>
    <w:p w14:paraId="2F8559FE" w14:textId="77777777" w:rsidR="00C91FC1" w:rsidRDefault="008A2FB7">
      <w:pPr>
        <w:jc w:val="left"/>
      </w:pPr>
      <w:r>
        <w:rPr>
          <w:rFonts w:eastAsia="David" w:hint="cs"/>
          <w:sz w:val="26"/>
          <w:szCs w:val="26"/>
          <w:rtl/>
        </w:rPr>
        <w:t>והונחה על שולחן הכנסת ביום</w:t>
      </w:r>
    </w:p>
    <w:p w14:paraId="29DA3A52" w14:textId="77777777" w:rsidR="00C91FC1" w:rsidRDefault="008A2FB7">
      <w:pPr>
        <w:jc w:val="left"/>
      </w:pPr>
      <w:r>
        <w:rPr>
          <w:rFonts w:eastAsia="David" w:hint="cs"/>
          <w:sz w:val="26"/>
          <w:szCs w:val="26"/>
          <w:rtl/>
        </w:rPr>
        <w:t>י"ז באב התש</w:t>
      </w:r>
      <w:r>
        <w:rPr>
          <w:rFonts w:eastAsia="David" w:hint="cs"/>
          <w:sz w:val="26"/>
          <w:szCs w:val="26"/>
          <w:rtl/>
        </w:rPr>
        <w:t xml:space="preserve">פ"א (26.07.2021) </w:t>
      </w:r>
    </w:p>
    <w:p w14:paraId="70153475" w14:textId="77777777" w:rsidR="00C91FC1" w:rsidRDefault="00C91FC1">
      <w:pPr>
        <w:spacing w:line="276" w:lineRule="auto"/>
        <w:jc w:val="left"/>
      </w:pPr>
    </w:p>
    <w:sectPr w:rsidR="00C91FC1" w:rsidSect="008A2FB7">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8A2FB7">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8A2FB7">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96B2F4C" w14:textId="77777777" w:rsidR="008074DE" w:rsidRDefault="008074DE" w:rsidP="008074DE">
      <w:pPr>
        <w:pStyle w:val="a4"/>
      </w:pPr>
      <w:r>
        <w:rPr>
          <w:rStyle w:val="a6"/>
        </w:rPr>
        <w:footnoteRef/>
      </w:r>
      <w:r>
        <w:rPr>
          <w:rtl/>
        </w:rPr>
        <w:t xml:space="preserve"> </w:t>
      </w:r>
      <w:r>
        <w:rPr>
          <w:rFonts w:hint="cs"/>
          <w:rtl/>
        </w:rPr>
        <w:t>ס"ח התשכ"ז, עמ' 75.</w:t>
      </w:r>
    </w:p>
  </w:footnote>
  <w:footnote w:id="3">
    <w:p w14:paraId="40023733" w14:textId="77777777" w:rsidR="008074DE" w:rsidRDefault="008074DE" w:rsidP="008074DE">
      <w:pPr>
        <w:pStyle w:val="a4"/>
      </w:pPr>
      <w:r>
        <w:rPr>
          <w:rStyle w:val="a6"/>
        </w:rPr>
        <w:footnoteRef/>
      </w:r>
      <w:r>
        <w:rPr>
          <w:rtl/>
        </w:rPr>
        <w:t xml:space="preserve"> </w:t>
      </w:r>
      <w:r>
        <w:rPr>
          <w:rFonts w:hint="cs"/>
          <w:rtl/>
        </w:rPr>
        <w:t>ס"ח התש"ם, עמ' 214.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1F4511"/>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074DE"/>
    <w:rsid w:val="00810BCD"/>
    <w:rsid w:val="00812C98"/>
    <w:rsid w:val="00814D92"/>
    <w:rsid w:val="0083181D"/>
    <w:rsid w:val="00843EB2"/>
    <w:rsid w:val="00860411"/>
    <w:rsid w:val="00865572"/>
    <w:rsid w:val="00874BBC"/>
    <w:rsid w:val="00892135"/>
    <w:rsid w:val="00895449"/>
    <w:rsid w:val="00897879"/>
    <w:rsid w:val="008A2FB7"/>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91FC1"/>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3EE4AAF5-1B7D-42C5-AAEC-A004B31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FB7"/>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8A2FB7"/>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8A2FB7"/>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8A2FB7"/>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8A2FB7"/>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8A2FB7"/>
    <w:pPr>
      <w:spacing w:line="259" w:lineRule="auto"/>
      <w:outlineLvl w:val="4"/>
    </w:pPr>
    <w:rPr>
      <w:color w:val="000000" w:themeColor="text1"/>
    </w:rPr>
  </w:style>
  <w:style w:type="character" w:default="1" w:styleId="a0">
    <w:name w:val="Default Paragraph Font"/>
    <w:uiPriority w:val="1"/>
    <w:semiHidden/>
    <w:unhideWhenUsed/>
    <w:rsid w:val="008A2F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A2FB7"/>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8A2FB7"/>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8A2FB7"/>
    <w:rPr>
      <w:sz w:val="36"/>
      <w:szCs w:val="52"/>
    </w:rPr>
  </w:style>
  <w:style w:type="paragraph" w:customStyle="1" w:styleId="Cover3-Haknesset">
    <w:name w:val="Cover 3-Haknesset"/>
    <w:basedOn w:val="Cover1-Reshumot"/>
    <w:rsid w:val="008A2FB7"/>
    <w:rPr>
      <w:b/>
      <w:bCs/>
      <w:spacing w:val="60"/>
    </w:rPr>
  </w:style>
  <w:style w:type="paragraph" w:customStyle="1" w:styleId="Cover4-Date">
    <w:name w:val="Cover 4-Date"/>
    <w:basedOn w:val="a"/>
    <w:rsid w:val="008A2FB7"/>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8A2FB7"/>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8A2FB7"/>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8A2FB7"/>
    <w:pPr>
      <w:spacing w:before="120" w:after="120"/>
    </w:pPr>
    <w:rPr>
      <w:color w:val="FF0000"/>
      <w:w w:val="80"/>
    </w:rPr>
  </w:style>
  <w:style w:type="paragraph" w:styleId="a3">
    <w:name w:val="endnote text"/>
    <w:basedOn w:val="a"/>
    <w:semiHidden/>
    <w:rsid w:val="008A2FB7"/>
    <w:pPr>
      <w:ind w:left="227" w:hanging="227"/>
    </w:pPr>
    <w:rPr>
      <w:sz w:val="14"/>
      <w:szCs w:val="22"/>
    </w:rPr>
  </w:style>
  <w:style w:type="paragraph" w:customStyle="1" w:styleId="TableText">
    <w:name w:val="Table Text"/>
    <w:basedOn w:val="a"/>
    <w:rsid w:val="008A2FB7"/>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8A2FB7"/>
    <w:pPr>
      <w:outlineLvl w:val="2"/>
    </w:pPr>
  </w:style>
  <w:style w:type="paragraph" w:customStyle="1" w:styleId="TableBlock">
    <w:name w:val="Table Block"/>
    <w:basedOn w:val="TableText"/>
    <w:rsid w:val="008A2FB7"/>
    <w:pPr>
      <w:jc w:val="both"/>
    </w:pPr>
  </w:style>
  <w:style w:type="paragraph" w:customStyle="1" w:styleId="TableHead">
    <w:name w:val="Table Head"/>
    <w:basedOn w:val="TableText"/>
    <w:rsid w:val="008A2FB7"/>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8A2FB7"/>
    <w:pPr>
      <w:outlineLvl w:val="9"/>
    </w:pPr>
  </w:style>
  <w:style w:type="paragraph" w:customStyle="1" w:styleId="Hesber">
    <w:name w:val="Hesber"/>
    <w:basedOn w:val="a"/>
    <w:rsid w:val="008A2FB7"/>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8A2FB7"/>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8A2FB7"/>
    <w:rPr>
      <w:vertAlign w:val="superscript"/>
    </w:rPr>
  </w:style>
  <w:style w:type="paragraph" w:customStyle="1" w:styleId="HesberHeading">
    <w:name w:val="Hesber Heading"/>
    <w:basedOn w:val="Hesber"/>
    <w:rsid w:val="008A2FB7"/>
    <w:pPr>
      <w:tabs>
        <w:tab w:val="left" w:pos="624"/>
        <w:tab w:val="left" w:pos="1247"/>
      </w:tabs>
    </w:pPr>
    <w:rPr>
      <w:b/>
      <w:bCs/>
    </w:rPr>
  </w:style>
  <w:style w:type="paragraph" w:customStyle="1" w:styleId="HesberWriters">
    <w:name w:val="Hesber Writers"/>
    <w:basedOn w:val="Hesber"/>
    <w:rsid w:val="008A2FB7"/>
    <w:pPr>
      <w:spacing w:before="120" w:after="120"/>
      <w:ind w:left="1418"/>
      <w:jc w:val="right"/>
    </w:pPr>
    <w:rPr>
      <w:b/>
      <w:bCs/>
    </w:rPr>
  </w:style>
  <w:style w:type="paragraph" w:customStyle="1" w:styleId="Hesber1st">
    <w:name w:val="Hesber 1st"/>
    <w:basedOn w:val="Hesber"/>
    <w:rsid w:val="008A2FB7"/>
    <w:pPr>
      <w:tabs>
        <w:tab w:val="left" w:pos="680"/>
        <w:tab w:val="left" w:pos="1020"/>
      </w:tabs>
      <w:ind w:firstLine="0"/>
    </w:pPr>
  </w:style>
  <w:style w:type="character" w:styleId="a7">
    <w:name w:val="endnote reference"/>
    <w:basedOn w:val="a0"/>
    <w:semiHidden/>
    <w:rsid w:val="008A2FB7"/>
    <w:rPr>
      <w:vertAlign w:val="superscript"/>
    </w:rPr>
  </w:style>
  <w:style w:type="paragraph" w:customStyle="1" w:styleId="TableBlockOutdent">
    <w:name w:val="Table BlockOutdent"/>
    <w:basedOn w:val="TableBlock"/>
    <w:rsid w:val="008A2FB7"/>
    <w:pPr>
      <w:ind w:left="624" w:hanging="624"/>
    </w:pPr>
  </w:style>
  <w:style w:type="paragraph" w:styleId="a8">
    <w:name w:val="header"/>
    <w:basedOn w:val="a"/>
    <w:rsid w:val="008A2FB7"/>
    <w:pPr>
      <w:tabs>
        <w:tab w:val="center" w:pos="4153"/>
        <w:tab w:val="right" w:pos="8306"/>
      </w:tabs>
    </w:pPr>
  </w:style>
  <w:style w:type="paragraph" w:styleId="a9">
    <w:name w:val="footer"/>
    <w:basedOn w:val="a"/>
    <w:rsid w:val="008A2FB7"/>
    <w:pPr>
      <w:tabs>
        <w:tab w:val="center" w:pos="4153"/>
        <w:tab w:val="right" w:pos="8306"/>
      </w:tabs>
    </w:pPr>
  </w:style>
  <w:style w:type="paragraph" w:customStyle="1" w:styleId="HeadDivreiHesber">
    <w:name w:val="Head DivreiHesber"/>
    <w:basedOn w:val="a"/>
    <w:rsid w:val="008A2FB7"/>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8A2FB7"/>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8A2FB7"/>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8074DE"/>
    <w:rPr>
      <w:rFonts w:ascii="Arial" w:eastAsia="Arial Unicode MS" w:hAnsi="Arial" w:cs="David"/>
      <w:snapToGrid w:val="0"/>
      <w:sz w:val="14"/>
    </w:rPr>
  </w:style>
  <w:style w:type="character" w:customStyle="1" w:styleId="10">
    <w:name w:val="כותרת 1 תו"/>
    <w:basedOn w:val="a0"/>
    <w:link w:val="1"/>
    <w:uiPriority w:val="9"/>
    <w:rsid w:val="008A2FB7"/>
    <w:rPr>
      <w:rFonts w:asciiTheme="majorHAnsi" w:eastAsiaTheme="majorEastAsia" w:hAnsiTheme="majorHAnsi" w:cs="David"/>
      <w:bCs/>
      <w:sz w:val="32"/>
      <w:szCs w:val="36"/>
    </w:rPr>
  </w:style>
  <w:style w:type="character" w:customStyle="1" w:styleId="20">
    <w:name w:val="כותרת 2 תו"/>
    <w:basedOn w:val="a0"/>
    <w:link w:val="2"/>
    <w:rsid w:val="008A2FB7"/>
    <w:rPr>
      <w:rFonts w:asciiTheme="majorHAnsi" w:eastAsiaTheme="majorEastAsia" w:hAnsiTheme="majorHAnsi" w:cs="David"/>
      <w:bCs/>
      <w:sz w:val="26"/>
      <w:szCs w:val="36"/>
      <w:u w:val="single"/>
    </w:rPr>
  </w:style>
  <w:style w:type="character" w:customStyle="1" w:styleId="30">
    <w:name w:val="כותרת 3 תו"/>
    <w:basedOn w:val="a0"/>
    <w:link w:val="3"/>
    <w:rsid w:val="008A2FB7"/>
    <w:rPr>
      <w:rFonts w:asciiTheme="majorHAnsi" w:eastAsiaTheme="majorEastAsia" w:hAnsiTheme="majorHAnsi" w:cs="David"/>
      <w:sz w:val="24"/>
      <w:szCs w:val="28"/>
      <w:u w:val="double"/>
    </w:rPr>
  </w:style>
  <w:style w:type="character" w:customStyle="1" w:styleId="40">
    <w:name w:val="כותרת 4 תו"/>
    <w:basedOn w:val="a0"/>
    <w:link w:val="4"/>
    <w:uiPriority w:val="9"/>
    <w:rsid w:val="008A2FB7"/>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8A2FB7"/>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8A2FB7"/>
    <w:pPr>
      <w:widowControl/>
      <w:spacing w:before="120" w:after="120"/>
      <w:outlineLvl w:val="9"/>
    </w:pPr>
    <w:rPr>
      <w:rtl/>
      <w:cs/>
    </w:rPr>
  </w:style>
  <w:style w:type="paragraph" w:styleId="TOC1">
    <w:name w:val="toc 1"/>
    <w:basedOn w:val="a"/>
    <w:next w:val="a"/>
    <w:autoRedefine/>
    <w:uiPriority w:val="39"/>
    <w:unhideWhenUsed/>
    <w:rsid w:val="008A2FB7"/>
    <w:pPr>
      <w:tabs>
        <w:tab w:val="right" w:leader="dot" w:pos="9629"/>
      </w:tabs>
      <w:spacing w:after="100"/>
    </w:pPr>
    <w:rPr>
      <w:bCs/>
      <w:szCs w:val="22"/>
    </w:rPr>
  </w:style>
  <w:style w:type="paragraph" w:styleId="TOC2">
    <w:name w:val="toc 2"/>
    <w:basedOn w:val="a"/>
    <w:next w:val="a"/>
    <w:uiPriority w:val="39"/>
    <w:unhideWhenUsed/>
    <w:rsid w:val="008A2FB7"/>
    <w:pPr>
      <w:tabs>
        <w:tab w:val="right" w:leader="dot" w:pos="9628"/>
      </w:tabs>
      <w:spacing w:after="100"/>
    </w:pPr>
    <w:rPr>
      <w:szCs w:val="22"/>
    </w:rPr>
  </w:style>
  <w:style w:type="character" w:styleId="Hyperlink">
    <w:name w:val="Hyperlink"/>
    <w:basedOn w:val="a0"/>
    <w:uiPriority w:val="99"/>
    <w:unhideWhenUsed/>
    <w:rsid w:val="008A2FB7"/>
    <w:rPr>
      <w:color w:val="0000FF" w:themeColor="hyperlink"/>
      <w:u w:val="single"/>
    </w:rPr>
  </w:style>
  <w:style w:type="paragraph" w:styleId="TOC3">
    <w:name w:val="toc 3"/>
    <w:basedOn w:val="a"/>
    <w:next w:val="a"/>
    <w:uiPriority w:val="39"/>
    <w:unhideWhenUsed/>
    <w:rsid w:val="008A2FB7"/>
    <w:pPr>
      <w:tabs>
        <w:tab w:val="right" w:leader="dot" w:pos="9629"/>
      </w:tabs>
      <w:spacing w:after="100"/>
      <w:ind w:left="567"/>
    </w:pPr>
    <w:rPr>
      <w:szCs w:val="22"/>
    </w:rPr>
  </w:style>
  <w:style w:type="paragraph" w:styleId="TOC4">
    <w:name w:val="toc 4"/>
    <w:basedOn w:val="a"/>
    <w:next w:val="a"/>
    <w:autoRedefine/>
    <w:unhideWhenUsed/>
    <w:qFormat/>
    <w:rsid w:val="008A2FB7"/>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8A2FB7"/>
    <w:pPr>
      <w:tabs>
        <w:tab w:val="right" w:leader="dot" w:pos="9628"/>
      </w:tabs>
      <w:spacing w:after="100"/>
      <w:ind w:left="567"/>
    </w:pPr>
    <w:rPr>
      <w:szCs w:val="22"/>
    </w:rPr>
  </w:style>
  <w:style w:type="paragraph" w:styleId="TOC6">
    <w:name w:val="toc 6"/>
    <w:basedOn w:val="a"/>
    <w:next w:val="a"/>
    <w:autoRedefine/>
    <w:semiHidden/>
    <w:unhideWhenUsed/>
    <w:rsid w:val="008A2FB7"/>
    <w:pPr>
      <w:spacing w:after="100"/>
      <w:ind w:left="850"/>
    </w:pPr>
  </w:style>
  <w:style w:type="paragraph" w:styleId="TOC7">
    <w:name w:val="toc 7"/>
    <w:basedOn w:val="a"/>
    <w:next w:val="a"/>
    <w:autoRedefine/>
    <w:semiHidden/>
    <w:unhideWhenUsed/>
    <w:rsid w:val="008A2FB7"/>
    <w:pPr>
      <w:spacing w:after="100"/>
      <w:ind w:left="1020"/>
    </w:pPr>
  </w:style>
  <w:style w:type="paragraph" w:styleId="TOC8">
    <w:name w:val="toc 8"/>
    <w:basedOn w:val="a"/>
    <w:next w:val="a"/>
    <w:autoRedefine/>
    <w:semiHidden/>
    <w:unhideWhenUsed/>
    <w:rsid w:val="008A2FB7"/>
    <w:pPr>
      <w:spacing w:after="100"/>
      <w:ind w:left="1190"/>
    </w:pPr>
  </w:style>
  <w:style w:type="paragraph" w:styleId="TOC9">
    <w:name w:val="toc 9"/>
    <w:basedOn w:val="a"/>
    <w:next w:val="a"/>
    <w:autoRedefine/>
    <w:semiHidden/>
    <w:unhideWhenUsed/>
    <w:rsid w:val="008A2FB7"/>
    <w:pPr>
      <w:spacing w:after="100"/>
      <w:ind w:left="1360"/>
    </w:pPr>
  </w:style>
  <w:style w:type="paragraph" w:customStyle="1" w:styleId="TableHead2">
    <w:name w:val="Table Head2"/>
    <w:basedOn w:val="TableHead"/>
    <w:qFormat/>
    <w:rsid w:val="008A2FB7"/>
    <w:pPr>
      <w:outlineLvl w:val="9"/>
    </w:pPr>
  </w:style>
  <w:style w:type="paragraph" w:customStyle="1" w:styleId="TableSideHeading2">
    <w:name w:val="Table SideHeading2"/>
    <w:basedOn w:val="TableSideHeading"/>
    <w:autoRedefine/>
    <w:qFormat/>
    <w:rsid w:val="008A2FB7"/>
    <w:pPr>
      <w:keepLines w:val="0"/>
      <w:outlineLvl w:val="9"/>
    </w:pPr>
  </w:style>
  <w:style w:type="paragraph" w:customStyle="1" w:styleId="0">
    <w:name w:val="סגנון שורה ראשונה:  0  ס''מ"/>
    <w:basedOn w:val="2"/>
    <w:rsid w:val="008A2FB7"/>
    <w:rPr>
      <w:rFonts w:eastAsia="Times New Roman"/>
    </w:rPr>
  </w:style>
  <w:style w:type="paragraph" w:styleId="af">
    <w:name w:val="List Paragraph"/>
    <w:basedOn w:val="a"/>
    <w:uiPriority w:val="34"/>
    <w:qFormat/>
    <w:rsid w:val="008A2FB7"/>
    <w:pPr>
      <w:widowControl/>
      <w:spacing w:line="259" w:lineRule="auto"/>
    </w:pPr>
    <w:rPr>
      <w:rFonts w:asciiTheme="minorHAnsi" w:hAnsiTheme="minorHAnsi"/>
      <w:sz w:val="22"/>
    </w:rPr>
  </w:style>
  <w:style w:type="table" w:styleId="af0">
    <w:name w:val="Table Grid"/>
    <w:basedOn w:val="a1"/>
    <w:rsid w:val="008A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8A2F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8A2F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8A2FB7"/>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8A2FB7"/>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0315">
      <w:bodyDiv w:val="1"/>
      <w:marLeft w:val="0"/>
      <w:marRight w:val="0"/>
      <w:marTop w:val="0"/>
      <w:marBottom w:val="0"/>
      <w:divBdr>
        <w:top w:val="none" w:sz="0" w:space="0" w:color="auto"/>
        <w:left w:val="none" w:sz="0" w:space="0" w:color="auto"/>
        <w:bottom w:val="none" w:sz="0" w:space="0" w:color="auto"/>
        <w:right w:val="none" w:sz="0" w:space="0" w:color="auto"/>
      </w:divBdr>
    </w:div>
    <w:div w:id="893349092">
      <w:bodyDiv w:val="1"/>
      <w:marLeft w:val="0"/>
      <w:marRight w:val="0"/>
      <w:marTop w:val="0"/>
      <w:marBottom w:val="0"/>
      <w:divBdr>
        <w:top w:val="none" w:sz="0" w:space="0" w:color="auto"/>
        <w:left w:val="none" w:sz="0" w:space="0" w:color="auto"/>
        <w:bottom w:val="none" w:sz="0" w:space="0" w:color="auto"/>
        <w:right w:val="none" w:sz="0" w:space="0" w:color="auto"/>
      </w:divBdr>
    </w:div>
    <w:div w:id="1626813927">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www.w3.org/XML/1998/namespace"/>
    <ds:schemaRef ds:uri="http://purl.org/dc/dcmitype/"/>
  </ds:schemaRefs>
</ds:datastoreItem>
</file>

<file path=customXml/itemProps3.xml><?xml version="1.0" encoding="utf-8"?>
<ds:datastoreItem xmlns:ds="http://schemas.openxmlformats.org/officeDocument/2006/customXml" ds:itemID="{F4028EF9-0619-4FD1-A7B5-738307765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215FE-D623-463F-8359-6597DE34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323</Words>
  <Characters>1847</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6</cp:revision>
  <cp:lastPrinted>2021-07-22T06:24:00Z</cp:lastPrinted>
  <dcterms:created xsi:type="dcterms:W3CDTF">2015-04-20T09:58:00Z</dcterms:created>
  <dcterms:modified xsi:type="dcterms:W3CDTF">2021-07-22T06:24:00Z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2157296</vt:r8>
  </property>
</Properties>
</file>