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2159500</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רון כץ</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פ/1749/24</w:t>
      </w:r>
      <w:bookmarkEnd w:id="6"/>
    </w:p>
    <w:p w14:paraId="7F6961AC" w14:textId="77777777" w:rsidR="00E13C27" w:rsidRDefault="00E13C27" w:rsidP="00E13C27">
      <w:pPr>
        <w:spacing w:before="0" w:line="360" w:lineRule="auto"/>
        <w:ind w:left="2880" w:firstLine="720"/>
        <w:rPr>
          <w:rFonts w:cs="David"/>
          <w:sz w:val="26"/>
          <w:szCs w:val="26"/>
          <w:rtl/>
        </w:rPr>
      </w:pPr>
    </w:p>
    <w:p w14:paraId="13942E63" w14:textId="3F01BD44" w:rsidR="00BA30AB" w:rsidRPr="00F67051" w:rsidRDefault="00A443CF" w:rsidP="00BA30AB">
      <w:pPr>
        <w:pStyle w:val="HeadHatzaotHok"/>
        <w:rPr>
          <w:rtl/>
        </w:rPr>
      </w:pPr>
      <w:bookmarkStart w:id="7" w:name="LGS_Subject"/>
      <w:r>
        <w:rPr>
          <w:rFonts w:hint="cs"/>
          <w:rtl/>
        </w:rPr>
        <w:t>הצעת חוק העונשין (תיקון – חילוט רווחי סרסרות), התשפ"א–2021</w:t>
      </w:r>
      <w:bookmarkEnd w:id="7"/>
    </w:p>
    <w:tbl>
      <w:tblPr>
        <w:bidiVisual/>
        <w:tblW w:w="9641" w:type="dxa"/>
        <w:tblCellMar>
          <w:top w:w="57" w:type="dxa"/>
          <w:left w:w="0" w:type="dxa"/>
          <w:bottom w:w="57" w:type="dxa"/>
          <w:right w:w="0" w:type="dxa"/>
        </w:tblCellMar>
        <w:tblLook w:val="0000" w:firstRow="0" w:lastRow="0" w:firstColumn="0" w:lastColumn="0" w:noHBand="0" w:noVBand="0"/>
      </w:tblPr>
      <w:tblGrid>
        <w:gridCol w:w="1871"/>
        <w:gridCol w:w="624"/>
        <w:gridCol w:w="1872"/>
        <w:gridCol w:w="624"/>
        <w:gridCol w:w="4650"/>
      </w:tblGrid>
      <w:tr w:rsidR="00BA30AB" w14:paraId="5E1C0BB4" w14:textId="77777777" w:rsidTr="00755A0B">
        <w:trPr>
          <w:cantSplit/>
        </w:trPr>
        <w:tc>
          <w:tcPr>
            <w:tcW w:w="1871" w:type="dxa"/>
            <w:tcBorders>
              <w:top w:val="nil"/>
              <w:left w:val="nil"/>
              <w:bottom w:val="nil"/>
              <w:right w:val="nil"/>
            </w:tcBorders>
          </w:tcPr>
          <w:p w14:paraId="3786D8F3" w14:textId="77777777" w:rsidR="00BA30AB" w:rsidRPr="00FF4AC7" w:rsidRDefault="00BA30AB" w:rsidP="00755A0B">
            <w:pPr>
              <w:pStyle w:val="TableSideHeading"/>
              <w:rPr>
                <w:sz w:val="26"/>
                <w:rtl/>
              </w:rPr>
            </w:pPr>
            <w:r>
              <w:rPr>
                <w:sz w:val="26"/>
                <w:rtl/>
              </w:rPr>
              <w:t>הוספת סעיף 203ה</w:t>
            </w:r>
          </w:p>
        </w:tc>
        <w:tc>
          <w:tcPr>
            <w:tcW w:w="624" w:type="dxa"/>
            <w:tcBorders>
              <w:top w:val="nil"/>
              <w:left w:val="nil"/>
              <w:bottom w:val="nil"/>
              <w:right w:val="nil"/>
            </w:tcBorders>
          </w:tcPr>
          <w:p w14:paraId="4B3DB047" w14:textId="77777777" w:rsidR="00BA30AB" w:rsidRDefault="00BA30AB" w:rsidP="00755A0B">
            <w:pPr>
              <w:pStyle w:val="TableText"/>
              <w:rPr>
                <w:rtl/>
              </w:rPr>
            </w:pPr>
            <w:r>
              <w:rPr>
                <w:rtl/>
              </w:rPr>
              <w:t>1.</w:t>
            </w:r>
          </w:p>
        </w:tc>
        <w:tc>
          <w:tcPr>
            <w:tcW w:w="7146" w:type="dxa"/>
            <w:gridSpan w:val="3"/>
            <w:tcBorders>
              <w:top w:val="nil"/>
              <w:left w:val="nil"/>
              <w:bottom w:val="nil"/>
              <w:right w:val="nil"/>
            </w:tcBorders>
          </w:tcPr>
          <w:p w14:paraId="18A07102" w14:textId="77777777" w:rsidR="00BA30AB" w:rsidRDefault="00BA30AB" w:rsidP="00755A0B">
            <w:pPr>
              <w:pStyle w:val="TableBlock"/>
              <w:rPr>
                <w:sz w:val="26"/>
                <w:rtl/>
              </w:rPr>
            </w:pPr>
            <w:r>
              <w:rPr>
                <w:sz w:val="26"/>
                <w:rtl/>
              </w:rPr>
              <w:t>בחוק העונשין, התשל"ז–1977</w:t>
            </w:r>
            <w:r w:rsidRPr="007C6AD7">
              <w:rPr>
                <w:rStyle w:val="a6"/>
                <w:rFonts w:ascii="David" w:hAnsi="David"/>
                <w:sz w:val="26"/>
                <w:rtl/>
              </w:rPr>
              <w:footnoteReference w:id="2"/>
            </w:r>
            <w:r>
              <w:rPr>
                <w:sz w:val="26"/>
                <w:rtl/>
              </w:rPr>
              <w:t xml:space="preserve"> (להלן – החוק העיקרי), אחרי סעיף 203ד יבוא:</w:t>
            </w:r>
          </w:p>
        </w:tc>
      </w:tr>
      <w:tr w:rsidR="00BA30AB" w14:paraId="58FBDF70" w14:textId="77777777" w:rsidTr="00755A0B">
        <w:tblPrEx>
          <w:tblLook w:val="01E0" w:firstRow="1" w:lastRow="1" w:firstColumn="1" w:lastColumn="1" w:noHBand="0" w:noVBand="0"/>
        </w:tblPrEx>
        <w:trPr>
          <w:cantSplit/>
        </w:trPr>
        <w:tc>
          <w:tcPr>
            <w:tcW w:w="1871" w:type="dxa"/>
          </w:tcPr>
          <w:p w14:paraId="74F9D825" w14:textId="77777777" w:rsidR="00BA30AB" w:rsidRDefault="00BA30AB" w:rsidP="00755A0B">
            <w:pPr>
              <w:pStyle w:val="TableSideHeading"/>
              <w:keepLines w:val="0"/>
            </w:pPr>
          </w:p>
        </w:tc>
        <w:tc>
          <w:tcPr>
            <w:tcW w:w="624" w:type="dxa"/>
          </w:tcPr>
          <w:p w14:paraId="2FE608E4" w14:textId="77777777" w:rsidR="00BA30AB" w:rsidRDefault="00BA30AB" w:rsidP="00755A0B">
            <w:pPr>
              <w:pStyle w:val="TableText"/>
              <w:keepLines w:val="0"/>
            </w:pPr>
          </w:p>
        </w:tc>
        <w:tc>
          <w:tcPr>
            <w:tcW w:w="1872" w:type="dxa"/>
          </w:tcPr>
          <w:p w14:paraId="26EFD9A3" w14:textId="77777777" w:rsidR="00BA30AB" w:rsidRDefault="00BA30AB" w:rsidP="00755A0B">
            <w:pPr>
              <w:pStyle w:val="TableInnerSideHeading"/>
            </w:pPr>
            <w:r>
              <w:rPr>
                <w:rtl/>
              </w:rPr>
              <w:t>"חילוט</w:t>
            </w:r>
          </w:p>
        </w:tc>
        <w:tc>
          <w:tcPr>
            <w:tcW w:w="624" w:type="dxa"/>
          </w:tcPr>
          <w:p w14:paraId="5A7D0EA4" w14:textId="77777777" w:rsidR="00BA30AB" w:rsidRPr="002666B0" w:rsidRDefault="00BA30AB" w:rsidP="00755A0B">
            <w:pPr>
              <w:pStyle w:val="TableText"/>
            </w:pPr>
            <w:r>
              <w:rPr>
                <w:rtl/>
              </w:rPr>
              <w:t>203ה.</w:t>
            </w:r>
          </w:p>
        </w:tc>
        <w:tc>
          <w:tcPr>
            <w:tcW w:w="4650" w:type="dxa"/>
          </w:tcPr>
          <w:p w14:paraId="0AA78DE9" w14:textId="77777777" w:rsidR="00BA30AB" w:rsidRPr="003767E8" w:rsidRDefault="00BA30AB" w:rsidP="00755A0B">
            <w:pPr>
              <w:pStyle w:val="TableBlock"/>
            </w:pPr>
            <w:r w:rsidRPr="003767E8">
              <w:rPr>
                <w:rtl/>
              </w:rPr>
              <w:t>הורשע אדם בעבירה לפי סעיף 199</w:t>
            </w:r>
            <w:r>
              <w:rPr>
                <w:rFonts w:hint="cs"/>
                <w:rtl/>
              </w:rPr>
              <w:t>,</w:t>
            </w:r>
            <w:r w:rsidRPr="003767E8">
              <w:rPr>
                <w:rtl/>
              </w:rPr>
              <w:t xml:space="preserve"> 201, 202</w:t>
            </w:r>
            <w:r>
              <w:rPr>
                <w:rFonts w:hint="cs"/>
                <w:rtl/>
              </w:rPr>
              <w:t xml:space="preserve">, 203 או 203ב, </w:t>
            </w:r>
            <w:r w:rsidRPr="003767E8">
              <w:rPr>
                <w:rtl/>
              </w:rPr>
              <w:t>יורה בית המשפט על חילוט רווחיו מביצוע העבירה; לעניין זה, "רווח" – בין אם בכסף או בשווה כסף.</w:t>
            </w:r>
            <w:r>
              <w:rPr>
                <w:rFonts w:hint="cs"/>
                <w:rtl/>
              </w:rPr>
              <w:t>"</w:t>
            </w:r>
          </w:p>
        </w:tc>
      </w:tr>
      <w:tr w:rsidR="00BA30AB" w14:paraId="5499C9F7" w14:textId="77777777" w:rsidTr="00755A0B">
        <w:tblPrEx>
          <w:tblLook w:val="01E0" w:firstRow="1" w:lastRow="1" w:firstColumn="1" w:lastColumn="1" w:noHBand="0" w:noVBand="0"/>
        </w:tblPrEx>
        <w:trPr>
          <w:cantSplit/>
        </w:trPr>
        <w:tc>
          <w:tcPr>
            <w:tcW w:w="1871" w:type="dxa"/>
          </w:tcPr>
          <w:p w14:paraId="51B7A394" w14:textId="77777777" w:rsidR="00BA30AB" w:rsidRDefault="00BA30AB" w:rsidP="00755A0B">
            <w:pPr>
              <w:pStyle w:val="TableSideHeading"/>
            </w:pPr>
            <w:r>
              <w:rPr>
                <w:rtl/>
              </w:rPr>
              <w:t>תיקון סעיף 377ד</w:t>
            </w:r>
          </w:p>
        </w:tc>
        <w:tc>
          <w:tcPr>
            <w:tcW w:w="624" w:type="dxa"/>
          </w:tcPr>
          <w:p w14:paraId="0D0B4115" w14:textId="77777777" w:rsidR="00BA30AB" w:rsidRDefault="00BA30AB" w:rsidP="00755A0B">
            <w:pPr>
              <w:pStyle w:val="TableText"/>
            </w:pPr>
            <w:r>
              <w:rPr>
                <w:rtl/>
              </w:rPr>
              <w:t>2.</w:t>
            </w:r>
          </w:p>
        </w:tc>
        <w:tc>
          <w:tcPr>
            <w:tcW w:w="7143" w:type="dxa"/>
            <w:gridSpan w:val="3"/>
          </w:tcPr>
          <w:p w14:paraId="03CC6DB7" w14:textId="77777777" w:rsidR="00BA30AB" w:rsidRDefault="00BA30AB" w:rsidP="00755A0B">
            <w:pPr>
              <w:pStyle w:val="TableBlock"/>
              <w:rPr>
                <w:rtl/>
              </w:rPr>
            </w:pPr>
            <w:r>
              <w:rPr>
                <w:rtl/>
              </w:rPr>
              <w:t>בסעיף 377ד לחוק העיקרי, בהגדרה "עבירה", לפני "עבירת החזקה" יבוא "עבירה מהעבירות המפורטות בסעיף 203ה".</w:t>
            </w:r>
            <w:r w:rsidDel="00797224">
              <w:rPr>
                <w:rtl/>
              </w:rPr>
              <w:t xml:space="preserve"> </w:t>
            </w:r>
            <w:r>
              <w:rPr>
                <w:rtl/>
              </w:rPr>
              <w:t xml:space="preserve"> </w:t>
            </w:r>
          </w:p>
        </w:tc>
      </w:tr>
    </w:tbl>
    <w:p w14:paraId="2AE5E352" w14:textId="77777777" w:rsidR="00BA30AB" w:rsidRPr="007C6AD7" w:rsidRDefault="00BA30AB" w:rsidP="00BA30AB">
      <w:pPr>
        <w:pStyle w:val="HeadDivreiHesber"/>
        <w:rPr>
          <w:rtl/>
        </w:rPr>
      </w:pPr>
      <w:r w:rsidRPr="007C6AD7">
        <w:rPr>
          <w:rFonts w:hint="cs"/>
          <w:rtl/>
        </w:rPr>
        <w:t>דברי הסבר</w:t>
      </w:r>
    </w:p>
    <w:p w14:paraId="504E8B6B" w14:textId="77777777" w:rsidR="00BA30AB" w:rsidRPr="007C6AD7" w:rsidRDefault="00BA30AB" w:rsidP="00BA30AB">
      <w:pPr>
        <w:pStyle w:val="Hesber"/>
        <w:rPr>
          <w:rtl/>
        </w:rPr>
      </w:pPr>
      <w:r w:rsidRPr="007C6AD7">
        <w:rPr>
          <w:rtl/>
        </w:rPr>
        <w:t xml:space="preserve">תופעת הזנות גורמת לבעיות חברתיות קשות. מרבית העובדים בזנות, בעיקר נשים, מגיעים לעיסוקם מתוך מצוקה. לא זו אף זו, הזנות מעצם טיבה מחמירה ומעמיקה את מצוקתם, פוגעת בכבודם ומקשה עליהם להשתלב בחברה. יש גם מי שמנצלים את מצוקתם של עובדות ועובדי תעשיית הזנות לשם יצירת רווח כספי על גבם. </w:t>
      </w:r>
    </w:p>
    <w:p w14:paraId="70475E69" w14:textId="77777777" w:rsidR="00BA30AB" w:rsidRPr="007C6AD7" w:rsidRDefault="00BA30AB" w:rsidP="00BA30AB">
      <w:pPr>
        <w:pStyle w:val="Hesber"/>
        <w:rPr>
          <w:rtl/>
        </w:rPr>
      </w:pPr>
      <w:r w:rsidRPr="007C6AD7">
        <w:rPr>
          <w:rtl/>
        </w:rPr>
        <w:t xml:space="preserve">בשל כך, מוצע לתת בידי הרשויות כלי נוסף, שיאפשר מחד גיסא להיאבק בהיבטים הכלכליים של התופעה, ומאידך גיסא לסייע בשיקומם של עובדות ועובדי הזנות. </w:t>
      </w:r>
    </w:p>
    <w:p w14:paraId="7CFDDA7A" w14:textId="77777777" w:rsidR="00BA30AB" w:rsidRDefault="00BA30AB" w:rsidP="00BA30AB">
      <w:pPr>
        <w:pStyle w:val="Hesber"/>
        <w:rPr>
          <w:rtl/>
        </w:rPr>
      </w:pPr>
      <w:r w:rsidRPr="007C6AD7">
        <w:rPr>
          <w:rtl/>
        </w:rPr>
        <w:t>לפי ההצעה, אם אדם הורשע בעבירות הבאת אדם לידי מעשה זנות או לידי עיסוק בזנות, או בעבירה של ניצול קטין לזנות לפי סעיפים 199, 201, 202, 203 או 203ב לחוק העונשין, התשל"ז–1977 (להלן – החוק), בית המשפט יורה על חילוט רווחיו מביצוע העבירה. הרווחים שיחולטו יועברו לקרן הייעודית שהוקמה לפי סעיף 377ה לחוק. קרן זו מיועדת כיום לשיקום נפגעי עבירה של החזקה בתנאי עבדות וסחר בבני אדם, טיפול בהם והגנה עליהם, תשלום פיצויים לנפגעי העבירות, מניעת ביצוע העבירות ואכיפה. מוצע כי הקרן תפעל גם למען נפגעי עבירת הסרסרות ועבירות הבאת אדם או קטין לידי מעשה זנות או לידי עיסוק בזנות, כמפורט לעיל.</w:t>
      </w:r>
    </w:p>
    <w:p w14:paraId="31B36FBC" w14:textId="77777777" w:rsidR="00BA30AB" w:rsidRPr="007C6AD7" w:rsidRDefault="00BA30AB" w:rsidP="00BA30AB">
      <w:pPr>
        <w:pStyle w:val="Hesber"/>
        <w:rPr>
          <w:rtl/>
        </w:rPr>
      </w:pPr>
      <w:r w:rsidRPr="007C6AD7">
        <w:rPr>
          <w:rtl/>
        </w:rPr>
        <w:t>הצע</w:t>
      </w:r>
      <w:r w:rsidRPr="007C6AD7">
        <w:rPr>
          <w:rFonts w:hint="cs"/>
          <w:rtl/>
        </w:rPr>
        <w:t>ו</w:t>
      </w:r>
      <w:r w:rsidRPr="007C6AD7">
        <w:rPr>
          <w:rtl/>
        </w:rPr>
        <w:t>ת חוק זה</w:t>
      </w:r>
      <w:r w:rsidRPr="007C6AD7">
        <w:rPr>
          <w:rFonts w:hint="cs"/>
          <w:rtl/>
        </w:rPr>
        <w:t>ות</w:t>
      </w:r>
      <w:r w:rsidRPr="007C6AD7">
        <w:rPr>
          <w:rtl/>
        </w:rPr>
        <w:t xml:space="preserve"> הונח</w:t>
      </w:r>
      <w:r w:rsidRPr="007C6AD7">
        <w:rPr>
          <w:rFonts w:hint="cs"/>
          <w:rtl/>
        </w:rPr>
        <w:t>ו</w:t>
      </w:r>
      <w:r w:rsidRPr="007C6AD7">
        <w:rPr>
          <w:rtl/>
        </w:rPr>
        <w:t xml:space="preserve"> על שולחן הכנסת העשרים על ידי חבר הכנסת מיקי לוי (פ/5085/20)</w:t>
      </w:r>
      <w:r w:rsidRPr="007C6AD7">
        <w:rPr>
          <w:rFonts w:hint="cs"/>
          <w:rtl/>
        </w:rPr>
        <w:t xml:space="preserve"> ועל </w:t>
      </w:r>
      <w:r w:rsidRPr="007C6AD7">
        <w:rPr>
          <w:rtl/>
        </w:rPr>
        <w:t xml:space="preserve">ידי </w:t>
      </w:r>
      <w:r w:rsidRPr="007C6AD7">
        <w:rPr>
          <w:rtl/>
        </w:rPr>
        <w:lastRenderedPageBreak/>
        <w:t>חברת הכנסת מרב מיכאלי (פ/5086/20)</w:t>
      </w:r>
      <w:r w:rsidRPr="007C6AD7">
        <w:rPr>
          <w:rFonts w:hint="cs"/>
          <w:rtl/>
        </w:rPr>
        <w:t xml:space="preserve">, על שולחן הכנסת העשרים ושתיים על ידי חברת הכנסת תמר זנדברג (פ/517/22) ועל ידי חבר הכנסת מיקי לוי (פ/518/22), </w:t>
      </w:r>
      <w:r w:rsidRPr="007C6AD7">
        <w:rPr>
          <w:rtl/>
        </w:rPr>
        <w:t xml:space="preserve">על שולחן הכנסת העשרים ושלוש על ידי חבר הכנסת מיקי לוי (פ/368/23), </w:t>
      </w:r>
      <w:r>
        <w:rPr>
          <w:rFonts w:hint="cs"/>
          <w:rtl/>
        </w:rPr>
        <w:t>ו</w:t>
      </w:r>
      <w:r w:rsidRPr="007C6AD7">
        <w:rPr>
          <w:rtl/>
        </w:rPr>
        <w:t>על ידי חברת הכנסת מרב מיכאלי (פ/938/23)</w:t>
      </w:r>
      <w:r w:rsidRPr="007C6AD7">
        <w:rPr>
          <w:rFonts w:hint="cs"/>
          <w:rtl/>
        </w:rPr>
        <w:t>, ועל שולחן הכנסת העשרים וארבע על ידי חברת הכנסת מרב מיכאלי (</w:t>
      </w:r>
      <w:r>
        <w:rPr>
          <w:rFonts w:hint="cs"/>
          <w:rtl/>
        </w:rPr>
        <w:t>פ/594/24</w:t>
      </w:r>
      <w:r w:rsidRPr="007C6AD7">
        <w:rPr>
          <w:rFonts w:hint="cs"/>
          <w:rtl/>
        </w:rPr>
        <w:t>).</w:t>
      </w:r>
    </w:p>
    <w:p w14:paraId="4BD24B0D" w14:textId="029F3245" w:rsidR="00BA30AB" w:rsidRDefault="00BA30AB" w:rsidP="007A6927">
      <w:pPr>
        <w:pStyle w:val="Hesber"/>
        <w:rPr>
          <w:rtl/>
        </w:rPr>
      </w:pPr>
      <w:r w:rsidRPr="007C6AD7">
        <w:rPr>
          <w:rtl/>
        </w:rPr>
        <w:t xml:space="preserve">הצעות חוק דומות בעיקרן הונחו על שולחן הכנסת התשע-עשרה על ידי חבר הכנסת דוד צור וקבוצת חברי הכנסת (פ/2787/19), </w:t>
      </w:r>
      <w:r w:rsidRPr="007C6AD7">
        <w:rPr>
          <w:rFonts w:hint="cs"/>
          <w:rtl/>
        </w:rPr>
        <w:t xml:space="preserve">על ידי חבר הכנסת מיקי לוי </w:t>
      </w:r>
      <w:r w:rsidRPr="007C6AD7">
        <w:rPr>
          <w:rtl/>
        </w:rPr>
        <w:t>(פ/581/20</w:t>
      </w:r>
      <w:r w:rsidR="007A6927">
        <w:rPr>
          <w:rFonts w:hint="cs"/>
          <w:rtl/>
        </w:rPr>
        <w:t>;</w:t>
      </w:r>
      <w:r w:rsidRPr="007C6AD7">
        <w:rPr>
          <w:rtl/>
        </w:rPr>
        <w:t xml:space="preserve"> הוסרה מסדר היום ביום א' בשבט התשע"ח (17 בינואר 2018)</w:t>
      </w:r>
      <w:r w:rsidRPr="007C6AD7">
        <w:rPr>
          <w:rFonts w:hint="cs"/>
          <w:rtl/>
        </w:rPr>
        <w:t>, על ידי חברת הכנסת מרב מיכאלי (</w:t>
      </w:r>
      <w:r w:rsidRPr="007C6AD7">
        <w:rPr>
          <w:rtl/>
        </w:rPr>
        <w:t>פ/582/20; הוסרה מסדר היום ביום א' בשבט התשע"ח (17 בינואר 2018)</w:t>
      </w:r>
      <w:r w:rsidRPr="007C6AD7">
        <w:rPr>
          <w:rFonts w:hint="cs"/>
          <w:rtl/>
        </w:rPr>
        <w:t xml:space="preserve">, </w:t>
      </w:r>
      <w:r w:rsidRPr="007C6AD7">
        <w:rPr>
          <w:rtl/>
        </w:rPr>
        <w:t xml:space="preserve">על ידי חברת הכנסת שולי מועלם-רפאלי (פ/2813/20), על ידי חברת הכנסת עליזה לביא (פ/3933/20) </w:t>
      </w:r>
      <w:r w:rsidRPr="007C6AD7">
        <w:rPr>
          <w:rFonts w:hint="cs"/>
          <w:rtl/>
        </w:rPr>
        <w:t>ו</w:t>
      </w:r>
      <w:r>
        <w:rPr>
          <w:rtl/>
        </w:rPr>
        <w:t>על ידי חבר</w:t>
      </w:r>
      <w:r>
        <w:rPr>
          <w:rFonts w:hint="cs"/>
          <w:rtl/>
        </w:rPr>
        <w:t>ת</w:t>
      </w:r>
      <w:r w:rsidRPr="007C6AD7">
        <w:rPr>
          <w:rtl/>
        </w:rPr>
        <w:t xml:space="preserve"> הכנסת מיכל רוזין ו</w:t>
      </w:r>
      <w:r w:rsidRPr="007C6AD7">
        <w:rPr>
          <w:rFonts w:hint="cs"/>
          <w:rtl/>
        </w:rPr>
        <w:t xml:space="preserve">קבוצת חברי הכנסת </w:t>
      </w:r>
      <w:r w:rsidRPr="007C6AD7">
        <w:rPr>
          <w:rtl/>
        </w:rPr>
        <w:t>(פ/4</w:t>
      </w:r>
      <w:r w:rsidRPr="007C6AD7">
        <w:rPr>
          <w:rFonts w:hint="cs"/>
          <w:rtl/>
        </w:rPr>
        <w:t>99</w:t>
      </w:r>
      <w:r w:rsidRPr="007C6AD7">
        <w:rPr>
          <w:rtl/>
        </w:rPr>
        <w:t>0/20)</w:t>
      </w:r>
      <w:r w:rsidRPr="007C6AD7">
        <w:rPr>
          <w:rFonts w:hint="cs"/>
          <w:rtl/>
        </w:rPr>
        <w:t xml:space="preserve">, </w:t>
      </w:r>
      <w:r w:rsidR="007A6927">
        <w:rPr>
          <w:rFonts w:hint="cs"/>
          <w:rtl/>
        </w:rPr>
        <w:t>ו</w:t>
      </w:r>
      <w:bookmarkStart w:id="8" w:name="_GoBack"/>
      <w:bookmarkEnd w:id="8"/>
      <w:r w:rsidRPr="007C6AD7">
        <w:rPr>
          <w:rFonts w:hint="cs"/>
          <w:rtl/>
        </w:rPr>
        <w:t>על שולחן הכנסת העשרים ושתיים</w:t>
      </w:r>
      <w:r>
        <w:rPr>
          <w:rFonts w:hint="cs"/>
          <w:rtl/>
        </w:rPr>
        <w:t>,</w:t>
      </w:r>
      <w:r w:rsidRPr="007C6AD7">
        <w:rPr>
          <w:rFonts w:hint="cs"/>
          <w:rtl/>
        </w:rPr>
        <w:t xml:space="preserve"> </w:t>
      </w:r>
      <w:r>
        <w:rPr>
          <w:rFonts w:hint="cs"/>
          <w:rtl/>
        </w:rPr>
        <w:t xml:space="preserve">על שולחן הכנסת העשרים ושלוש ועל שולחן הכנסת העשרים וארבע </w:t>
      </w:r>
      <w:r w:rsidRPr="007C6AD7">
        <w:rPr>
          <w:rFonts w:hint="cs"/>
          <w:rtl/>
        </w:rPr>
        <w:t xml:space="preserve">על ידי </w:t>
      </w:r>
      <w:r>
        <w:rPr>
          <w:rFonts w:hint="cs"/>
          <w:rtl/>
        </w:rPr>
        <w:t xml:space="preserve">חברת הכנסת תמר זנדברג (פ/517/22; </w:t>
      </w:r>
      <w:r w:rsidRPr="007C6AD7">
        <w:rPr>
          <w:rFonts w:hint="cs"/>
          <w:rtl/>
        </w:rPr>
        <w:t>פ/2010/</w:t>
      </w:r>
      <w:r>
        <w:rPr>
          <w:rFonts w:hint="cs"/>
          <w:rtl/>
        </w:rPr>
        <w:t>23; פ/596/24</w:t>
      </w:r>
      <w:r w:rsidRPr="007C6AD7">
        <w:rPr>
          <w:rFonts w:hint="cs"/>
          <w:rtl/>
        </w:rPr>
        <w:t>).</w:t>
      </w:r>
    </w:p>
    <w:p w14:paraId="66B0D973" w14:textId="081F3475" w:rsidR="00FB5AEC" w:rsidRPr="007C6AD7" w:rsidRDefault="00FB5AEC" w:rsidP="00BA30AB">
      <w:pPr>
        <w:pStyle w:val="Hesber"/>
        <w:rPr>
          <w:rtl/>
        </w:rPr>
      </w:pPr>
      <w:r>
        <w:rPr>
          <w:rFonts w:hint="cs"/>
          <w:rtl/>
        </w:rPr>
        <w:t xml:space="preserve">הצעת החוק זהה לפ/594/24 ולפיכך לא נבדקה מחדש על ידי הלשכה המשפטית של הכנסת. </w:t>
      </w:r>
    </w:p>
    <w:p w14:paraId="7F6961AE" w14:textId="77777777" w:rsidR="00E13C27" w:rsidRDefault="00E13C27" w:rsidP="0021633A">
      <w:pPr>
        <w:pStyle w:val="HeadDivreiHesber"/>
        <w:spacing w:before="0" w:after="0"/>
        <w:rPr>
          <w:rtl/>
        </w:rPr>
      </w:pPr>
    </w:p>
    <w:p w14:paraId="074AEE0C" w14:textId="77777777" w:rsidR="00957CC9" w:rsidRDefault="007A6927">
      <w:pPr>
        <w:spacing w:before="0" w:line="360" w:lineRule="auto"/>
        <w:jc w:val="left"/>
      </w:pPr>
      <w:bookmarkStart w:id="9" w:name="selectedDocDateB"/>
      <w:bookmarkEnd w:id="9"/>
      <w:r>
        <w:rPr>
          <w:rFonts w:ascii="David" w:eastAsia="David" w:hAnsi="David" w:cs="David" w:hint="cs"/>
          <w:sz w:val="26"/>
          <w:szCs w:val="26"/>
          <w:rtl/>
        </w:rPr>
        <w:t>--------------------------------</w:t>
      </w:r>
    </w:p>
    <w:p w14:paraId="609AF7A2" w14:textId="77777777" w:rsidR="00957CC9" w:rsidRDefault="007A6927">
      <w:pPr>
        <w:spacing w:before="0" w:line="360" w:lineRule="auto"/>
        <w:jc w:val="left"/>
      </w:pPr>
      <w:r>
        <w:rPr>
          <w:rFonts w:ascii="David" w:eastAsia="David" w:hAnsi="David" w:cs="David" w:hint="cs"/>
          <w:sz w:val="26"/>
          <w:szCs w:val="26"/>
          <w:rtl/>
        </w:rPr>
        <w:t>הוגשה ליו"ר הכנסת והסגנים</w:t>
      </w:r>
    </w:p>
    <w:p w14:paraId="341AE150" w14:textId="77777777" w:rsidR="00957CC9" w:rsidRDefault="007A6927">
      <w:pPr>
        <w:spacing w:before="0" w:line="360" w:lineRule="auto"/>
        <w:jc w:val="left"/>
      </w:pPr>
      <w:r>
        <w:rPr>
          <w:rFonts w:ascii="David" w:eastAsia="David" w:hAnsi="David" w:cs="David" w:hint="cs"/>
          <w:sz w:val="26"/>
          <w:szCs w:val="26"/>
          <w:rtl/>
        </w:rPr>
        <w:t>והונחה על שולחן הכנסת ביום</w:t>
      </w:r>
    </w:p>
    <w:p w14:paraId="06427D47" w14:textId="77777777" w:rsidR="00957CC9" w:rsidRDefault="007A6927">
      <w:pPr>
        <w:spacing w:before="0" w:line="360" w:lineRule="auto"/>
        <w:jc w:val="left"/>
      </w:pPr>
      <w:r>
        <w:rPr>
          <w:rFonts w:ascii="David" w:eastAsia="David" w:hAnsi="David" w:cs="David" w:hint="cs"/>
          <w:sz w:val="26"/>
          <w:szCs w:val="26"/>
          <w:rtl/>
        </w:rPr>
        <w:t xml:space="preserve">ג' באב התשפ"א (12.07.2021) </w:t>
      </w:r>
    </w:p>
    <w:p w14:paraId="6E2E74FD" w14:textId="77777777" w:rsidR="00957CC9" w:rsidRDefault="00957CC9">
      <w:pPr>
        <w:spacing w:before="0" w:line="276" w:lineRule="auto"/>
        <w:jc w:val="left"/>
      </w:pPr>
    </w:p>
    <w:sectPr w:rsidR="00957CC9"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7A6927">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5D95FDB3" w14:textId="77777777" w:rsidR="00BA30AB" w:rsidRDefault="00BA30AB" w:rsidP="00BA30AB">
      <w:pPr>
        <w:pStyle w:val="a4"/>
      </w:pPr>
      <w:r w:rsidRPr="00FF4AC7">
        <w:rPr>
          <w:rStyle w:val="a6"/>
        </w:rPr>
        <w:footnoteRef/>
      </w:r>
      <w:r w:rsidRPr="00FF4AC7">
        <w:rPr>
          <w:rtl/>
        </w:rPr>
        <w:t xml:space="preserve"> ס"ח התשל"ז, עמ' 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A6927"/>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57CC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A30AB"/>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 w:val="00FB5A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89DDCA0B-A253-4D72-B5C1-D7EF5C56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BA30AB"/>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C24160E4-6FA4-4CF0-8554-6A5721120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F1666-BE67-4BF4-AEED-D9ABD008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421</Words>
  <Characters>2406</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רשומות</vt:lpstr>
      <vt:lpstr>רשומות</vt:lpstr>
    </vt:vector>
  </TitlesOfParts>
  <Company>Knesset</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א</cp:lastModifiedBy>
  <cp:revision>6</cp:revision>
  <cp:lastPrinted>2013-07-04T08:25:00Z</cp:lastPrinted>
  <dcterms:created xsi:type="dcterms:W3CDTF">2015-04-20T09:58:00Z</dcterms:created>
  <dcterms:modified xsi:type="dcterms:W3CDTF">2021-07-06T08:06:00Z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2159500</vt:r8>
  </property>
</Properties>
</file>