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2159023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 xml:space="preserve">אורלי לוי </w:t>
      </w:r>
      <w:proofErr w:type="spellStart"/>
      <w:r>
        <w:rPr>
          <w:rFonts w:hint="cs"/>
          <w:b/>
          <w:bCs/>
          <w:rtl/>
        </w:rPr>
        <w:t>אבקסיס</w:t>
      </w:r>
      <w:bookmarkEnd w:id="3"/>
      <w:proofErr w:type="spellEnd"/>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EC13ECE" w:rsidR="00E13C27" w:rsidRPr="00E06736" w:rsidRDefault="00904591" w:rsidP="00A03F92">
      <w:pPr>
        <w:pStyle w:val="David"/>
        <w:spacing w:before="0" w:line="240" w:lineRule="auto"/>
        <w:ind w:left="3544"/>
        <w:rPr>
          <w:rtl/>
        </w:rPr>
      </w:pPr>
      <w:r>
        <w:t xml:space="preserve"> </w:t>
      </w:r>
      <w:bookmarkStart w:id="4" w:name="Private_Number"/>
      <w:r w:rsidR="00A03F92">
        <w:rPr>
          <w:rtl/>
        </w:rPr>
        <w:tab/>
      </w:r>
      <w:r w:rsidR="00A03F92">
        <w:rPr>
          <w:rtl/>
        </w:rPr>
        <w:tab/>
      </w:r>
      <w:r w:rsidR="00A03F92">
        <w:rPr>
          <w:rtl/>
        </w:rPr>
        <w:tab/>
      </w:r>
      <w:r w:rsidR="00A03F92">
        <w:rPr>
          <w:rtl/>
        </w:rPr>
        <w:tab/>
      </w:r>
      <w:r>
        <w:rPr>
          <w:rFonts w:hint="cs"/>
          <w:rtl/>
        </w:rPr>
        <w:t>פ/1561/24</w:t>
      </w:r>
      <w:bookmarkEnd w:id="4"/>
    </w:p>
    <w:p w14:paraId="7F6961AD" w14:textId="77777777" w:rsidR="00E13C27" w:rsidRPr="00F67051" w:rsidRDefault="00A443CF" w:rsidP="0021633A">
      <w:pPr>
        <w:pStyle w:val="HeadHatzaotHok"/>
        <w:rPr>
          <w:rtl/>
        </w:rPr>
      </w:pPr>
      <w:bookmarkStart w:id="5" w:name="LGS_Subject"/>
      <w:r>
        <w:rPr>
          <w:rFonts w:hint="cs"/>
          <w:rtl/>
        </w:rPr>
        <w:t xml:space="preserve">הצעת חוק לתיקון פקודת התעבורה (הגבלת תשלום בעד חניה במוסד רפואי), </w:t>
      </w:r>
      <w:proofErr w:type="spellStart"/>
      <w:r>
        <w:rPr>
          <w:rFonts w:hint="cs"/>
          <w:rtl/>
        </w:rPr>
        <w:t>התשפ"א</w:t>
      </w:r>
      <w:proofErr w:type="spellEnd"/>
      <w:r>
        <w:rPr>
          <w:rFonts w:hint="cs"/>
          <w:rtl/>
        </w:rPr>
        <w:t>–2021</w:t>
      </w:r>
      <w:bookmarkEnd w:id="5"/>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764F8A" w:rsidRPr="00C34DE2" w14:paraId="6A511837" w14:textId="77777777" w:rsidTr="00D47E0D">
        <w:trPr>
          <w:cantSplit/>
        </w:trPr>
        <w:tc>
          <w:tcPr>
            <w:tcW w:w="1871" w:type="dxa"/>
          </w:tcPr>
          <w:p w14:paraId="45DA3283" w14:textId="77777777" w:rsidR="00764F8A" w:rsidRDefault="00764F8A" w:rsidP="00123B0A">
            <w:pPr>
              <w:pStyle w:val="TableSideHeading"/>
              <w:keepLines w:val="0"/>
            </w:pPr>
            <w:r>
              <w:rPr>
                <w:rFonts w:hint="cs"/>
                <w:rtl/>
              </w:rPr>
              <w:t>תיקון סעיף 70ב1</w:t>
            </w:r>
          </w:p>
        </w:tc>
        <w:tc>
          <w:tcPr>
            <w:tcW w:w="624" w:type="dxa"/>
          </w:tcPr>
          <w:p w14:paraId="5ED0B743" w14:textId="77777777" w:rsidR="00764F8A" w:rsidRDefault="00764F8A" w:rsidP="00123B0A">
            <w:pPr>
              <w:pStyle w:val="TableText"/>
              <w:keepLines w:val="0"/>
            </w:pPr>
            <w:r>
              <w:rPr>
                <w:rFonts w:hint="cs"/>
                <w:rtl/>
              </w:rPr>
              <w:t>1.</w:t>
            </w:r>
          </w:p>
        </w:tc>
        <w:tc>
          <w:tcPr>
            <w:tcW w:w="7146" w:type="dxa"/>
            <w:gridSpan w:val="2"/>
          </w:tcPr>
          <w:p w14:paraId="08135FDB" w14:textId="77777777" w:rsidR="00764F8A" w:rsidRPr="00C34DE2" w:rsidRDefault="00764F8A" w:rsidP="00123B0A">
            <w:pPr>
              <w:pStyle w:val="TableBlock"/>
            </w:pPr>
            <w:r>
              <w:rPr>
                <w:rFonts w:hint="cs"/>
                <w:rtl/>
              </w:rPr>
              <w:t>בפקודת התעבורה</w:t>
            </w:r>
            <w:r w:rsidRPr="00143DF2">
              <w:rPr>
                <w:rStyle w:val="a6"/>
                <w:rFonts w:ascii="David" w:hAnsi="David"/>
                <w:sz w:val="26"/>
                <w:rtl/>
              </w:rPr>
              <w:footnoteReference w:id="2"/>
            </w:r>
            <w:r>
              <w:rPr>
                <w:rFonts w:hint="cs"/>
                <w:rtl/>
              </w:rPr>
              <w:t>, בסעיף 70ב1, אחרי סעיף קטן (ג) יבוא:</w:t>
            </w:r>
          </w:p>
        </w:tc>
      </w:tr>
      <w:tr w:rsidR="00764F8A" w14:paraId="21AD7521" w14:textId="77777777" w:rsidTr="00D47E0D">
        <w:trPr>
          <w:cantSplit/>
        </w:trPr>
        <w:tc>
          <w:tcPr>
            <w:tcW w:w="1871" w:type="dxa"/>
          </w:tcPr>
          <w:p w14:paraId="441AF702" w14:textId="77777777" w:rsidR="00764F8A" w:rsidRDefault="00764F8A" w:rsidP="00123B0A">
            <w:pPr>
              <w:pStyle w:val="TableSideHeading"/>
            </w:pPr>
          </w:p>
        </w:tc>
        <w:tc>
          <w:tcPr>
            <w:tcW w:w="624" w:type="dxa"/>
          </w:tcPr>
          <w:p w14:paraId="5982D952" w14:textId="77777777" w:rsidR="00764F8A" w:rsidRDefault="00764F8A" w:rsidP="00123B0A">
            <w:pPr>
              <w:pStyle w:val="TableText"/>
              <w:jc w:val="both"/>
            </w:pPr>
          </w:p>
        </w:tc>
        <w:tc>
          <w:tcPr>
            <w:tcW w:w="624" w:type="dxa"/>
          </w:tcPr>
          <w:p w14:paraId="0BD81794" w14:textId="77777777" w:rsidR="00764F8A" w:rsidRPr="00955BC1" w:rsidRDefault="00764F8A" w:rsidP="00123B0A">
            <w:pPr>
              <w:pStyle w:val="TableText"/>
              <w:jc w:val="both"/>
            </w:pPr>
            <w:r>
              <w:rPr>
                <w:rFonts w:hint="cs"/>
                <w:rtl/>
              </w:rPr>
              <w:t>"(ד)</w:t>
            </w:r>
          </w:p>
        </w:tc>
        <w:tc>
          <w:tcPr>
            <w:tcW w:w="6522" w:type="dxa"/>
          </w:tcPr>
          <w:p w14:paraId="7C0D34BF" w14:textId="77777777" w:rsidR="00764F8A" w:rsidRPr="00143DF2" w:rsidRDefault="00764F8A" w:rsidP="00123B0A">
            <w:pPr>
              <w:pStyle w:val="TableBlock"/>
            </w:pPr>
            <w:r w:rsidRPr="00143DF2">
              <w:rPr>
                <w:rFonts w:hint="cs"/>
                <w:rtl/>
              </w:rPr>
              <w:t>(1)</w:t>
            </w:r>
            <w:r w:rsidRPr="00143DF2">
              <w:rPr>
                <w:rtl/>
              </w:rPr>
              <w:tab/>
            </w:r>
            <w:r w:rsidRPr="00143DF2">
              <w:rPr>
                <w:rFonts w:hint="cs"/>
                <w:rtl/>
              </w:rPr>
              <w:t xml:space="preserve">מפעיל חניון מוסד רפואי, בין שהחניון בבעלותו ובין שבבעלות אחר, לא יגבה דמי חניה בחניון בעבור חניית כלי רכב פרטי אחד ביום, המשמש מטופל המאושפז במוסד הרפואי או את מבקריו; הוראה זו תחול החל ביום האשפוז השביעי ברצף של המטופל או אם אושפז מעל שבעה ימים בחודש. </w:t>
            </w:r>
          </w:p>
        </w:tc>
      </w:tr>
      <w:tr w:rsidR="00764F8A" w14:paraId="376CE998" w14:textId="77777777" w:rsidTr="00D47E0D">
        <w:trPr>
          <w:cantSplit/>
        </w:trPr>
        <w:tc>
          <w:tcPr>
            <w:tcW w:w="1871" w:type="dxa"/>
          </w:tcPr>
          <w:p w14:paraId="167342A4" w14:textId="77777777" w:rsidR="00764F8A" w:rsidRDefault="00764F8A" w:rsidP="00123B0A">
            <w:pPr>
              <w:pStyle w:val="TableSideHeading"/>
            </w:pPr>
          </w:p>
        </w:tc>
        <w:tc>
          <w:tcPr>
            <w:tcW w:w="624" w:type="dxa"/>
          </w:tcPr>
          <w:p w14:paraId="5ED04446" w14:textId="77777777" w:rsidR="00764F8A" w:rsidRDefault="00764F8A" w:rsidP="00123B0A">
            <w:pPr>
              <w:pStyle w:val="TableText"/>
            </w:pPr>
          </w:p>
        </w:tc>
        <w:tc>
          <w:tcPr>
            <w:tcW w:w="624" w:type="dxa"/>
          </w:tcPr>
          <w:p w14:paraId="76D82232" w14:textId="77777777" w:rsidR="00764F8A" w:rsidRDefault="00764F8A" w:rsidP="00123B0A">
            <w:pPr>
              <w:pStyle w:val="TableText"/>
              <w:jc w:val="both"/>
              <w:rPr>
                <w:rtl/>
              </w:rPr>
            </w:pPr>
          </w:p>
        </w:tc>
        <w:tc>
          <w:tcPr>
            <w:tcW w:w="6522" w:type="dxa"/>
          </w:tcPr>
          <w:p w14:paraId="5CA4C02A" w14:textId="77777777" w:rsidR="00764F8A" w:rsidRPr="00143DF2" w:rsidRDefault="00764F8A" w:rsidP="00123B0A">
            <w:pPr>
              <w:pStyle w:val="TableBlock"/>
              <w:rPr>
                <w:rtl/>
              </w:rPr>
            </w:pPr>
            <w:r w:rsidRPr="00143DF2">
              <w:rPr>
                <w:rFonts w:hint="cs"/>
                <w:rtl/>
              </w:rPr>
              <w:t>(2)</w:t>
            </w:r>
            <w:r w:rsidRPr="00143DF2">
              <w:rPr>
                <w:rtl/>
              </w:rPr>
              <w:tab/>
            </w:r>
            <w:r w:rsidRPr="00143DF2">
              <w:rPr>
                <w:rFonts w:hint="cs"/>
                <w:rtl/>
              </w:rPr>
              <w:t xml:space="preserve">בסעיף קטן זה </w:t>
            </w:r>
            <w:r w:rsidRPr="00143DF2">
              <w:rPr>
                <w:rtl/>
              </w:rPr>
              <w:t>–</w:t>
            </w:r>
          </w:p>
        </w:tc>
      </w:tr>
      <w:tr w:rsidR="00764F8A" w:rsidRPr="00E475A4" w14:paraId="2D602E8A" w14:textId="77777777" w:rsidTr="00D47E0D">
        <w:trPr>
          <w:cantSplit/>
        </w:trPr>
        <w:tc>
          <w:tcPr>
            <w:tcW w:w="1871" w:type="dxa"/>
          </w:tcPr>
          <w:p w14:paraId="684A39FE" w14:textId="77777777" w:rsidR="00764F8A" w:rsidRDefault="00764F8A" w:rsidP="00123B0A">
            <w:pPr>
              <w:pStyle w:val="TableSideHeading"/>
            </w:pPr>
          </w:p>
        </w:tc>
        <w:tc>
          <w:tcPr>
            <w:tcW w:w="624" w:type="dxa"/>
          </w:tcPr>
          <w:p w14:paraId="029FB3F2" w14:textId="77777777" w:rsidR="00764F8A" w:rsidRDefault="00764F8A" w:rsidP="00123B0A">
            <w:pPr>
              <w:pStyle w:val="TableText"/>
              <w:jc w:val="both"/>
            </w:pPr>
          </w:p>
        </w:tc>
        <w:tc>
          <w:tcPr>
            <w:tcW w:w="624" w:type="dxa"/>
          </w:tcPr>
          <w:p w14:paraId="43C70941" w14:textId="77777777" w:rsidR="00764F8A" w:rsidRPr="00955BC1" w:rsidRDefault="00764F8A" w:rsidP="00123B0A">
            <w:pPr>
              <w:pStyle w:val="TableText"/>
              <w:jc w:val="both"/>
              <w:rPr>
                <w:rtl/>
              </w:rPr>
            </w:pPr>
          </w:p>
        </w:tc>
        <w:tc>
          <w:tcPr>
            <w:tcW w:w="6522" w:type="dxa"/>
          </w:tcPr>
          <w:p w14:paraId="45BAE140" w14:textId="77777777" w:rsidR="00764F8A" w:rsidRPr="00955BC1" w:rsidRDefault="00764F8A" w:rsidP="00123B0A">
            <w:pPr>
              <w:pStyle w:val="TableBlockOutdent"/>
              <w:rPr>
                <w:rtl/>
              </w:rPr>
            </w:pPr>
            <w:r w:rsidRPr="00E475A4">
              <w:rPr>
                <w:rFonts w:hint="cs"/>
                <w:rtl/>
              </w:rPr>
              <w:t>"חניון מוסד רפואי" – חניון הממוקם בש</w:t>
            </w:r>
            <w:r>
              <w:rPr>
                <w:rFonts w:hint="cs"/>
                <w:rtl/>
              </w:rPr>
              <w:t>טח המוסד הרפואי או בסמוך אליו ו</w:t>
            </w:r>
            <w:r w:rsidRPr="00E475A4">
              <w:rPr>
                <w:rFonts w:hint="cs"/>
                <w:rtl/>
              </w:rPr>
              <w:t>מופעל על ידי המוסד הרפואי או על ידי מי מטעמו, ומיועד לשמש את הבאים למוסד הרפואי</w:t>
            </w:r>
            <w:r>
              <w:rPr>
                <w:rFonts w:hint="cs"/>
                <w:rtl/>
              </w:rPr>
              <w:t>;</w:t>
            </w:r>
          </w:p>
        </w:tc>
      </w:tr>
      <w:tr w:rsidR="00764F8A" w:rsidRPr="00E475A4" w14:paraId="5E4715BD" w14:textId="77777777" w:rsidTr="00D47E0D">
        <w:trPr>
          <w:cantSplit/>
        </w:trPr>
        <w:tc>
          <w:tcPr>
            <w:tcW w:w="1871" w:type="dxa"/>
          </w:tcPr>
          <w:p w14:paraId="5DE63940" w14:textId="77777777" w:rsidR="00764F8A" w:rsidRDefault="00764F8A" w:rsidP="00123B0A">
            <w:pPr>
              <w:pStyle w:val="TableSideHeading"/>
            </w:pPr>
          </w:p>
        </w:tc>
        <w:tc>
          <w:tcPr>
            <w:tcW w:w="624" w:type="dxa"/>
          </w:tcPr>
          <w:p w14:paraId="642F3346" w14:textId="77777777" w:rsidR="00764F8A" w:rsidRDefault="00764F8A" w:rsidP="00123B0A">
            <w:pPr>
              <w:pStyle w:val="TableText"/>
              <w:jc w:val="both"/>
            </w:pPr>
          </w:p>
        </w:tc>
        <w:tc>
          <w:tcPr>
            <w:tcW w:w="624" w:type="dxa"/>
          </w:tcPr>
          <w:p w14:paraId="01CEFB45" w14:textId="77777777" w:rsidR="00764F8A" w:rsidRPr="00955BC1" w:rsidRDefault="00764F8A" w:rsidP="00123B0A">
            <w:pPr>
              <w:pStyle w:val="TableText"/>
              <w:jc w:val="both"/>
              <w:rPr>
                <w:rtl/>
              </w:rPr>
            </w:pPr>
          </w:p>
        </w:tc>
        <w:tc>
          <w:tcPr>
            <w:tcW w:w="6522" w:type="dxa"/>
          </w:tcPr>
          <w:p w14:paraId="7C8A3CB0" w14:textId="77777777" w:rsidR="00764F8A" w:rsidRPr="00955BC1" w:rsidRDefault="00764F8A" w:rsidP="00123B0A">
            <w:pPr>
              <w:pStyle w:val="TableBlockOutdent"/>
              <w:rPr>
                <w:rtl/>
              </w:rPr>
            </w:pPr>
            <w:r w:rsidRPr="00E475A4">
              <w:rPr>
                <w:rFonts w:hint="cs"/>
                <w:rtl/>
              </w:rPr>
              <w:t xml:space="preserve">"מוסד רפואי" </w:t>
            </w:r>
            <w:r w:rsidRPr="00E475A4">
              <w:rPr>
                <w:rtl/>
              </w:rPr>
              <w:t>–</w:t>
            </w:r>
            <w:r w:rsidRPr="00E475A4">
              <w:rPr>
                <w:rFonts w:hint="cs"/>
                <w:rtl/>
              </w:rPr>
              <w:t xml:space="preserve"> כהגדרתו בסעיף 24 לפקודת בריאות העם, 1940</w:t>
            </w:r>
            <w:r w:rsidRPr="00143DF2">
              <w:rPr>
                <w:rFonts w:ascii="David" w:hAnsi="David"/>
                <w:sz w:val="26"/>
                <w:vertAlign w:val="superscript"/>
                <w:rtl/>
              </w:rPr>
              <w:footnoteReference w:id="3"/>
            </w:r>
            <w:r w:rsidRPr="00E475A4">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5A3107DF" w14:textId="77777777" w:rsidR="00764F8A" w:rsidRPr="00C95EAC" w:rsidRDefault="00764F8A" w:rsidP="00A03F92">
      <w:pPr>
        <w:pStyle w:val="Hesber"/>
        <w:spacing w:line="240" w:lineRule="auto"/>
        <w:rPr>
          <w:rtl/>
        </w:rPr>
      </w:pPr>
      <w:r w:rsidRPr="00C95EAC">
        <w:rPr>
          <w:rFonts w:hint="cs"/>
          <w:rtl/>
        </w:rPr>
        <w:t>מחירי החניה בחניונים הממוקמים בסמוך למוסדות רפואיים הולכים ומאמירים לסכומים שיוצרים קושי כלכלי של ממש למטופלים ולמבקרים. מטופלים עלולים להתאשפז לתקופה ממושכת במוסדות רפואיים ומבקריהם נאלצים לשלם סכומים גבוהים בעד חניה בלית ברירה. נוסף על כך, לעיתים נאלצים מבקריהם של אותם מטופלים להפחית את תדירות ביקוריהם בשל הקושי לעמוד במחירי החניה הגבוהים.</w:t>
      </w:r>
    </w:p>
    <w:p w14:paraId="2607DB3E" w14:textId="77777777" w:rsidR="00764F8A" w:rsidRPr="00C95EAC" w:rsidRDefault="00764F8A" w:rsidP="00A03F92">
      <w:pPr>
        <w:pStyle w:val="Hesber"/>
        <w:spacing w:line="240" w:lineRule="auto"/>
        <w:rPr>
          <w:rtl/>
        </w:rPr>
      </w:pPr>
      <w:r w:rsidRPr="00C95EAC">
        <w:rPr>
          <w:rFonts w:hint="cs"/>
          <w:rtl/>
        </w:rPr>
        <w:t>לחולה המאושפז במוסד רפואי יש זכות לקבל טיפול הולם ובכלל זה שירותי חניה הולמים וראויים לו ולמבקריו.</w:t>
      </w:r>
    </w:p>
    <w:p w14:paraId="16729C36" w14:textId="77777777" w:rsidR="00764F8A" w:rsidRDefault="00764F8A" w:rsidP="00A03F92">
      <w:pPr>
        <w:pStyle w:val="Hesber"/>
        <w:spacing w:line="240" w:lineRule="auto"/>
        <w:rPr>
          <w:rtl/>
        </w:rPr>
      </w:pPr>
      <w:r w:rsidRPr="00C95EAC">
        <w:rPr>
          <w:rFonts w:hint="cs"/>
          <w:rtl/>
        </w:rPr>
        <w:t>הצעת החוק נועדה לתקן את המצב הקיים ולהקל את העול הכלכלי המוטל על המאושפז וקרוביו באמצעות מתן פטור מתשלום בעבור חניה בחניון של מוסד רפואי לרכב המשמש את מטופל מאושפז או מי שבא לבקר אותו. הפטור יינתן החל מיום האשפוז השביעי ברצף או החל מיום האשפוז השמיני באותו חודש אם מדובר באשפוז שלא ברצף.</w:t>
      </w:r>
    </w:p>
    <w:p w14:paraId="45EB72D7" w14:textId="6655B2D3" w:rsidR="00D47E0D" w:rsidRDefault="00D47E0D" w:rsidP="00A03F92">
      <w:pPr>
        <w:pStyle w:val="Hesber"/>
        <w:spacing w:line="240" w:lineRule="auto"/>
        <w:rPr>
          <w:rtl/>
        </w:rPr>
      </w:pPr>
      <w:r>
        <w:rPr>
          <w:rFonts w:hint="cs"/>
          <w:rtl/>
        </w:rPr>
        <w:t xml:space="preserve">הצעת חוק זהה הונחה על שולחן הכנסת העשרים ושלוש על ידי חברת הכנסת אורלי לוי </w:t>
      </w:r>
      <w:proofErr w:type="spellStart"/>
      <w:r>
        <w:rPr>
          <w:rFonts w:hint="cs"/>
          <w:rtl/>
        </w:rPr>
        <w:t>אבקסיס</w:t>
      </w:r>
      <w:proofErr w:type="spellEnd"/>
      <w:r>
        <w:rPr>
          <w:rFonts w:hint="cs"/>
          <w:rtl/>
        </w:rPr>
        <w:t xml:space="preserve"> (פ/634/23).</w:t>
      </w:r>
    </w:p>
    <w:p w14:paraId="00BA2BB6" w14:textId="0147885C" w:rsidR="00D47E0D" w:rsidRDefault="00D47E0D" w:rsidP="00A03F92">
      <w:pPr>
        <w:pStyle w:val="Hesber"/>
        <w:spacing w:line="240" w:lineRule="auto"/>
        <w:rPr>
          <w:rtl/>
        </w:rPr>
      </w:pPr>
      <w:r>
        <w:rPr>
          <w:rFonts w:hint="cs"/>
          <w:rtl/>
        </w:rPr>
        <w:t xml:space="preserve">הצעת החוק זהה </w:t>
      </w:r>
      <w:proofErr w:type="spellStart"/>
      <w:r>
        <w:rPr>
          <w:rFonts w:hint="cs"/>
          <w:rtl/>
        </w:rPr>
        <w:t>לפ</w:t>
      </w:r>
      <w:proofErr w:type="spellEnd"/>
      <w:r>
        <w:rPr>
          <w:rFonts w:hint="cs"/>
          <w:rtl/>
        </w:rPr>
        <w:t>/634/23 ולפיכך לא נבדקה מחדש על ידי הלשכה המשפטית של הכנסת.</w:t>
      </w:r>
    </w:p>
    <w:p w14:paraId="564982EE" w14:textId="77777777" w:rsidR="00691ACF" w:rsidRDefault="00A03F92" w:rsidP="00A03F92">
      <w:pPr>
        <w:spacing w:before="0" w:line="240" w:lineRule="auto"/>
        <w:jc w:val="left"/>
      </w:pPr>
      <w:bookmarkStart w:id="6" w:name="selectedDocDateB"/>
      <w:bookmarkStart w:id="7" w:name="_GoBack"/>
      <w:bookmarkEnd w:id="6"/>
      <w:bookmarkEnd w:id="7"/>
      <w:r>
        <w:rPr>
          <w:rFonts w:ascii="David" w:eastAsia="David" w:hAnsi="David" w:cs="David" w:hint="cs"/>
          <w:sz w:val="26"/>
          <w:szCs w:val="26"/>
          <w:rtl/>
        </w:rPr>
        <w:t>--------------------------------</w:t>
      </w:r>
    </w:p>
    <w:p w14:paraId="5D30B78E" w14:textId="77777777" w:rsidR="00691ACF" w:rsidRDefault="00A03F92" w:rsidP="00A03F92">
      <w:pPr>
        <w:spacing w:before="0" w:line="240" w:lineRule="auto"/>
        <w:jc w:val="left"/>
      </w:pPr>
      <w:r>
        <w:rPr>
          <w:rFonts w:ascii="David" w:eastAsia="David" w:hAnsi="David" w:cs="David" w:hint="cs"/>
          <w:sz w:val="26"/>
          <w:szCs w:val="26"/>
          <w:rtl/>
        </w:rPr>
        <w:t>הוגשה ליו"ר הכנסת והסגנים</w:t>
      </w:r>
    </w:p>
    <w:p w14:paraId="30FEAD49" w14:textId="77777777" w:rsidR="00691ACF" w:rsidRDefault="00A03F92" w:rsidP="00A03F92">
      <w:pPr>
        <w:spacing w:before="0" w:line="240" w:lineRule="auto"/>
        <w:jc w:val="left"/>
      </w:pPr>
      <w:r>
        <w:rPr>
          <w:rFonts w:ascii="David" w:eastAsia="David" w:hAnsi="David" w:cs="David" w:hint="cs"/>
          <w:sz w:val="26"/>
          <w:szCs w:val="26"/>
          <w:rtl/>
        </w:rPr>
        <w:t>והונחה על שולחן הכנסת ביום</w:t>
      </w:r>
    </w:p>
    <w:p w14:paraId="354A962C" w14:textId="77777777" w:rsidR="00691ACF" w:rsidRDefault="00A03F92" w:rsidP="00A03F92">
      <w:pPr>
        <w:spacing w:before="0" w:line="240" w:lineRule="auto"/>
        <w:jc w:val="left"/>
      </w:pPr>
      <w:r>
        <w:rPr>
          <w:rFonts w:ascii="David" w:eastAsia="David" w:hAnsi="David" w:cs="David" w:hint="cs"/>
          <w:sz w:val="26"/>
          <w:szCs w:val="26"/>
          <w:rtl/>
        </w:rPr>
        <w:t xml:space="preserve">י"א בתמוז </w:t>
      </w:r>
      <w:proofErr w:type="spellStart"/>
      <w:r>
        <w:rPr>
          <w:rFonts w:ascii="David" w:eastAsia="David" w:hAnsi="David" w:cs="David" w:hint="cs"/>
          <w:sz w:val="26"/>
          <w:szCs w:val="26"/>
          <w:rtl/>
        </w:rPr>
        <w:t>התשפ"א</w:t>
      </w:r>
      <w:proofErr w:type="spellEnd"/>
      <w:r>
        <w:rPr>
          <w:rFonts w:ascii="David" w:eastAsia="David" w:hAnsi="David" w:cs="David" w:hint="cs"/>
          <w:sz w:val="26"/>
          <w:szCs w:val="26"/>
          <w:rtl/>
        </w:rPr>
        <w:t xml:space="preserve"> (21.06.2021) </w:t>
      </w:r>
    </w:p>
    <w:p w14:paraId="3D5A8FC0" w14:textId="77777777" w:rsidR="00691ACF" w:rsidRDefault="00691ACF">
      <w:pPr>
        <w:spacing w:before="0" w:line="276" w:lineRule="auto"/>
        <w:jc w:val="left"/>
      </w:pPr>
    </w:p>
    <w:sectPr w:rsidR="00691ACF" w:rsidSect="00A03F92">
      <w:footerReference w:type="even" r:id="rId11"/>
      <w:footerReference w:type="default" r:id="rId12"/>
      <w:pgSz w:w="11907" w:h="16840" w:code="9"/>
      <w:pgMar w:top="1134" w:right="1134" w:bottom="567"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03F9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819D07F" w14:textId="77777777" w:rsidR="00764F8A" w:rsidRDefault="00764F8A" w:rsidP="00764F8A">
      <w:pPr>
        <w:pStyle w:val="a4"/>
      </w:pPr>
      <w:r>
        <w:rPr>
          <w:rStyle w:val="a6"/>
        </w:rPr>
        <w:footnoteRef/>
      </w:r>
      <w:r>
        <w:rPr>
          <w:rtl/>
        </w:rPr>
        <w:t xml:space="preserve"> </w:t>
      </w:r>
      <w:r w:rsidRPr="00C95EAC">
        <w:rPr>
          <w:rtl/>
        </w:rPr>
        <w:t>דיני מדינת ישראל</w:t>
      </w:r>
      <w:r w:rsidRPr="00C95EAC">
        <w:rPr>
          <w:rFonts w:hint="cs"/>
          <w:rtl/>
        </w:rPr>
        <w:t xml:space="preserve">, </w:t>
      </w:r>
      <w:r w:rsidRPr="00C95EAC">
        <w:rPr>
          <w:rtl/>
        </w:rPr>
        <w:t>נוסח חדש 7, עמ' 173.</w:t>
      </w:r>
    </w:p>
  </w:footnote>
  <w:footnote w:id="3">
    <w:p w14:paraId="41607400" w14:textId="77777777" w:rsidR="00764F8A" w:rsidRDefault="00764F8A" w:rsidP="00764F8A">
      <w:pPr>
        <w:pStyle w:val="a4"/>
        <w:rPr>
          <w:rtl/>
        </w:rPr>
      </w:pPr>
      <w:r>
        <w:rPr>
          <w:rStyle w:val="a6"/>
        </w:rPr>
        <w:footnoteRef/>
      </w:r>
      <w:r>
        <w:rPr>
          <w:rtl/>
        </w:rPr>
        <w:t xml:space="preserve"> </w:t>
      </w:r>
      <w:proofErr w:type="spellStart"/>
      <w:r w:rsidRPr="00C95EAC">
        <w:rPr>
          <w:rFonts w:hint="cs"/>
          <w:rtl/>
        </w:rPr>
        <w:t>ע"ר</w:t>
      </w:r>
      <w:proofErr w:type="spellEnd"/>
      <w:r w:rsidRPr="00C95EAC">
        <w:rPr>
          <w:rFonts w:hint="cs"/>
          <w:rtl/>
        </w:rPr>
        <w:t xml:space="preserve"> 1065, </w:t>
      </w:r>
      <w:proofErr w:type="spellStart"/>
      <w:r w:rsidRPr="00C95EAC">
        <w:rPr>
          <w:rFonts w:hint="cs"/>
          <w:rtl/>
        </w:rPr>
        <w:t>תוס</w:t>
      </w:r>
      <w:proofErr w:type="spellEnd"/>
      <w:r w:rsidRPr="00C95EAC">
        <w:rPr>
          <w:rFonts w:hint="cs"/>
          <w:rtl/>
        </w:rPr>
        <w:t>' 1, עמ' (ע) 191, (א) 239.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B4A06"/>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91ACF"/>
    <w:rsid w:val="006A2D81"/>
    <w:rsid w:val="006C1D0D"/>
    <w:rsid w:val="0070601E"/>
    <w:rsid w:val="00712C72"/>
    <w:rsid w:val="00735FE9"/>
    <w:rsid w:val="00763CAA"/>
    <w:rsid w:val="00764F8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03F92"/>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47E0D"/>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FAD386B-43C9-43BF-9C4D-61E745A9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semiHidden/>
    <w:rsid w:val="00764F8A"/>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512181A8-99C8-45D6-BBA4-A5356A42D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1E471-509D-4DFB-AD66-DC926563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274</Words>
  <Characters>1568</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8</cp:revision>
  <cp:lastPrinted>2013-07-04T08:25:00Z</cp:lastPrinted>
  <dcterms:created xsi:type="dcterms:W3CDTF">2015-04-20T09:58:00Z</dcterms:created>
  <dcterms:modified xsi:type="dcterms:W3CDTF">2021-06-17T12:24:00Z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2159023</vt:r8>
  </property>
</Properties>
</file>