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b/>
          <w:bCs/>
          <w:sz w:val="20"/>
          <w:szCs w:val="20"/>
        </w:rPr>
      </w:pPr>
      <w:r w:rsidRPr="00E635A2">
        <w:rPr>
          <w:rFonts w:hint="cs"/>
          <w:sz w:val="20"/>
          <w:szCs w:val="20"/>
          <w:rtl/>
        </w:rPr>
        <w:t xml:space="preserve">מספר פנימי: </w:t>
      </w:r>
      <w:bookmarkStart w:name="LGS_Internal_ID" w:id="0"/>
      <w:r>
        <w:rPr>
          <w:rFonts w:hint="cs"/>
          <w:sz w:val="20"/>
          <w:szCs w:val="20"/>
          <w:rtl/>
        </w:rPr>
        <w:t>2158671</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b/>
          <w:bCs/>
          <w:sz w:val="26"/>
          <w:szCs w:val="26"/>
          <w:rtl/>
        </w:rPr>
      </w:pPr>
    </w:p>
    <w:p w:rsidR="00E13C27" w:rsidP="00930EFE" w:rsidRDefault="008F6665" w14:paraId="7F6961A6" w14:textId="77777777">
      <w:pPr>
        <w:pStyle w:val="David"/>
        <w:ind w:left="3544"/>
        <w:rPr>
          <w:b/>
          <w:bCs/>
          <w:rtl/>
        </w:rPr>
      </w:pPr>
      <w:bookmarkStart w:name="LGS_Initiators_List" w:id="2"/>
      <w:r xmlns:w="http://schemas.openxmlformats.org/wordprocessingml/2006/main">
        <w:rPr xmlns:w="http://schemas.openxmlformats.org/wordprocessingml/2006/main">
          <w:b/>
          <w:bCs/>
          <w:rtl/>
        </w:rPr>
        <w:t xml:space="preserve">יוזמים:      חברי הכנסת</w:t>
      </w:r>
      <w:bookmarkEnd w:id="2"/>
      <w:r w:rsidRPr="00F67051" w:rsidR="00B35784">
        <w:rPr>
          <w:b/>
          <w:bCs/>
        </w:rPr>
        <w:tab/>
      </w:r>
      <w:bookmarkStart w:name="LGS_PM_Names" w:id="3"/>
      <w:r xmlns:w="http://schemas.openxmlformats.org/wordprocessingml/2006/main">
        <w:rPr xmlns:w="http://schemas.openxmlformats.org/wordprocessingml/2006/main">
          <w:rFonts w:hint="cs"/>
          <w:b/>
          <w:bCs/>
          <w:rtl/>
        </w:rPr>
        <w:t xml:space="preserve">אבי דיכטר</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מירב בן ארי</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שלמה קרעי</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ישראל אייכלר</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יעל רון בן משה</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יאיר גולן</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זאב בנימין בגין</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שרן מרים השכל</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יעקב מרגי</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ניר ברקת</w:t>
      </w:r>
      <w:r xmlns:w="http://schemas.openxmlformats.org/wordprocessingml/2006/main">
        <w:br/>
      </w:r>
      <w:r xmlns:w="http://schemas.openxmlformats.org/wordprocessingml/2006/main">
        <w:rPr xmlns:w="http://schemas.openxmlformats.org/wordprocessingml/2006/main">
          <w:rFonts w:hint="cs"/>
          <w:b/>
          <w:bCs/>
          <w:rtl/>
        </w:rPr>
        <w:t xml:space="preserve">
</w:t>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
      </w:r>
      <w:r xmlns:w="http://schemas.openxmlformats.org/wordprocessingml/2006/main">
        <w:tab/>
      </w:r>
      <w:r xmlns:w="http://schemas.openxmlformats.org/wordprocessingml/2006/main">
        <w:rPr xmlns:w="http://schemas.openxmlformats.org/wordprocessingml/2006/main">
          <w:rFonts w:hint="cs"/>
          <w:b/>
          <w:bCs/>
          <w:rtl/>
        </w:rPr>
        <w:t xml:space="preserve">ינון אזולאי</w:t>
      </w:r>
      <w:bookmarkEnd w:id="3"/>
    </w:p>
    <w:p w:rsidRPr="00904591" w:rsidR="00904591" w:rsidP="0036422C" w:rsidRDefault="00266D86" w14:paraId="34DB4103" w14:textId="77777777">
      <w:pPr>
        <w:pStyle w:val="David"/>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4A35BB" w:rsidRDefault="004A35BB" w14:paraId="7F6961AB" w14:textId="476DBC1D">
      <w:pPr>
        <w:pStyle w:val="David"/>
        <w:spacing w:line="240" w:lineRule="auto"/>
        <w:ind w:left="6424" w:firstLine="56"/>
        <w:rPr>
          <w:rtl/>
        </w:rPr>
      </w:pPr>
      <w:r>
        <w:rPr>
          <w:rFonts w:hint="cs"/>
          <w:rtl/>
        </w:rPr>
        <w:t>פ/1477/24</w:t>
      </w:r>
      <w:r w:rsidR="00904591">
        <w:t xml:space="preserve">     </w:t>
      </w:r>
      <w:r w:rsidR="008F1308">
        <w:t xml:space="preserve"> </w:t>
      </w:r>
    </w:p>
    <w:p w:rsidRPr="00F67051" w:rsidR="00E13C27" w:rsidP="002D07E5" w:rsidRDefault="00A443CF" w14:paraId="7F6961AD" w14:textId="1AB79AA9">
      <w:pPr>
        <w:pStyle w:val="HeadHatzaotHok"/>
        <w:rPr>
          <w:rtl/>
        </w:rPr>
      </w:pPr>
      <w:bookmarkStart w:name="LGS_Subject" w:id="4"/>
      <w:r>
        <w:rPr>
          <w:rFonts w:hint="cs"/>
          <w:rtl/>
        </w:rPr>
        <w:t>הצעת חוק לעידוד הקמת מרחבים מוגנים דירתיים, התשפ"א</w:t>
      </w:r>
      <w:r w:rsidR="002D07E5">
        <w:rPr>
          <w:rFonts w:hint="eastAsia"/>
          <w:rtl/>
        </w:rPr>
        <w:t>–</w:t>
      </w:r>
      <w:r>
        <w:rPr>
          <w:rFonts w:hint="cs"/>
          <w:rtl/>
        </w:rPr>
        <w:t>2021</w:t>
      </w:r>
      <w:bookmarkEnd w:id="4"/>
    </w:p>
    <w:p w:rsidR="00E13C27" w:rsidP="0021633A" w:rsidRDefault="00E13C27" w14:paraId="7F6961AE" w14:textId="77777777">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AB57EB" w:rsidTr="004A35BB" w14:paraId="2A794C74" w14:textId="77777777">
        <w:trPr>
          <w:cantSplit/>
        </w:trPr>
        <w:tc>
          <w:tcPr>
            <w:tcW w:w="1871" w:type="dxa"/>
            <w:hideMark/>
          </w:tcPr>
          <w:p w:rsidRPr="004A35BB" w:rsidR="00AB57EB" w:rsidP="004A35BB" w:rsidRDefault="00AB57EB" w14:paraId="6B054E12" w14:textId="0DCF82AC">
            <w:pPr>
              <w:pStyle w:val="TableSideHeading"/>
              <w:outlineLvl w:val="9"/>
            </w:pPr>
            <w:r w:rsidRPr="004A35BB">
              <w:rPr>
                <w:rtl/>
              </w:rPr>
              <w:t>הגדרות</w:t>
            </w:r>
          </w:p>
        </w:tc>
        <w:tc>
          <w:tcPr>
            <w:tcW w:w="624" w:type="dxa"/>
            <w:hideMark/>
          </w:tcPr>
          <w:p w:rsidRPr="004A35BB" w:rsidR="00AB57EB" w:rsidP="004A35BB" w:rsidRDefault="00AB57EB" w14:paraId="459102E6" w14:textId="77777777">
            <w:pPr>
              <w:pStyle w:val="TableText"/>
              <w:jc w:val="both"/>
            </w:pPr>
            <w:r w:rsidRPr="004A35BB">
              <w:rPr>
                <w:rtl/>
              </w:rPr>
              <w:t>1.</w:t>
            </w:r>
          </w:p>
        </w:tc>
        <w:tc>
          <w:tcPr>
            <w:tcW w:w="7143" w:type="dxa"/>
            <w:hideMark/>
          </w:tcPr>
          <w:p w:rsidRPr="004E55D2" w:rsidR="00AB57EB" w:rsidP="004A35BB" w:rsidRDefault="00AB57EB" w14:paraId="6728FCDB" w14:textId="77777777">
            <w:pPr>
              <w:pStyle w:val="TableBlock"/>
            </w:pPr>
            <w:r w:rsidRPr="004E55D2">
              <w:rPr>
                <w:rtl/>
              </w:rPr>
              <w:t xml:space="preserve">בחוק זה – </w:t>
            </w:r>
          </w:p>
        </w:tc>
      </w:tr>
      <w:tr w:rsidR="00AB57EB" w:rsidTr="004A35BB" w14:paraId="08E0F9AA" w14:textId="77777777">
        <w:trPr>
          <w:cantSplit/>
        </w:trPr>
        <w:tc>
          <w:tcPr>
            <w:tcW w:w="1871" w:type="dxa"/>
          </w:tcPr>
          <w:p w:rsidRPr="004A35BB" w:rsidR="00AB57EB" w:rsidP="004A35BB" w:rsidRDefault="00AB57EB" w14:paraId="0A76D164" w14:textId="77777777">
            <w:pPr>
              <w:pStyle w:val="TableSideHeading"/>
              <w:outlineLvl w:val="9"/>
            </w:pPr>
          </w:p>
        </w:tc>
        <w:tc>
          <w:tcPr>
            <w:tcW w:w="624" w:type="dxa"/>
          </w:tcPr>
          <w:p w:rsidRPr="004A35BB" w:rsidR="00AB57EB" w:rsidP="004A35BB" w:rsidRDefault="00AB57EB" w14:paraId="0B4B953D" w14:textId="77777777">
            <w:pPr>
              <w:pStyle w:val="TableText"/>
              <w:jc w:val="both"/>
            </w:pPr>
          </w:p>
        </w:tc>
        <w:tc>
          <w:tcPr>
            <w:tcW w:w="7143" w:type="dxa"/>
            <w:hideMark/>
          </w:tcPr>
          <w:p w:rsidRPr="002D07E5" w:rsidR="00AB57EB" w:rsidP="004A35BB" w:rsidRDefault="00AB57EB" w14:paraId="6DA90991" w14:textId="77777777">
            <w:pPr>
              <w:pStyle w:val="TableBlockOutdent"/>
            </w:pPr>
            <w:r w:rsidRPr="002D07E5">
              <w:rPr>
                <w:rtl/>
              </w:rPr>
              <w:t>"מרחב מוגן דירתי" – כהגדרתו בסעיף 71א לחוק המקרקעין, התשכ"ט–1969</w:t>
            </w:r>
            <w:r w:rsidRPr="004A35BB">
              <w:rPr>
                <w:rStyle w:val="a6"/>
                <w:rFonts w:ascii="David" w:hAnsi="David"/>
                <w:sz w:val="26"/>
                <w:rtl/>
              </w:rPr>
              <w:footnoteReference w:id="2"/>
            </w:r>
            <w:r w:rsidRPr="002D07E5">
              <w:rPr>
                <w:rtl/>
              </w:rPr>
              <w:t>;</w:t>
            </w:r>
          </w:p>
        </w:tc>
      </w:tr>
      <w:tr w:rsidR="00AB57EB" w:rsidTr="004A35BB" w14:paraId="4572E8D6" w14:textId="77777777">
        <w:trPr>
          <w:cantSplit/>
        </w:trPr>
        <w:tc>
          <w:tcPr>
            <w:tcW w:w="1871" w:type="dxa"/>
          </w:tcPr>
          <w:p w:rsidRPr="004A35BB" w:rsidR="00AB57EB" w:rsidP="004A35BB" w:rsidRDefault="00AB57EB" w14:paraId="39D69725" w14:textId="77777777">
            <w:pPr>
              <w:pStyle w:val="TableSideHeading"/>
              <w:outlineLvl w:val="9"/>
            </w:pPr>
          </w:p>
        </w:tc>
        <w:tc>
          <w:tcPr>
            <w:tcW w:w="624" w:type="dxa"/>
          </w:tcPr>
          <w:p w:rsidRPr="004A35BB" w:rsidR="00AB57EB" w:rsidP="004A35BB" w:rsidRDefault="00AB57EB" w14:paraId="78713C9B" w14:textId="77777777">
            <w:pPr>
              <w:pStyle w:val="TableText"/>
              <w:jc w:val="both"/>
            </w:pPr>
          </w:p>
        </w:tc>
        <w:tc>
          <w:tcPr>
            <w:tcW w:w="7143" w:type="dxa"/>
            <w:hideMark/>
          </w:tcPr>
          <w:p w:rsidRPr="002D07E5" w:rsidR="00AB57EB" w:rsidP="004A35BB" w:rsidRDefault="00AB57EB" w14:paraId="2B2F022B" w14:textId="77777777">
            <w:pPr>
              <w:pStyle w:val="TableBlock"/>
            </w:pPr>
            <w:r w:rsidRPr="002D07E5">
              <w:rPr>
                <w:rtl/>
              </w:rPr>
              <w:t xml:space="preserve">"השר" – שר הבינוי והשיכון; </w:t>
            </w:r>
          </w:p>
        </w:tc>
      </w:tr>
      <w:tr w:rsidR="00AB57EB" w:rsidTr="004A35BB" w14:paraId="302CDF14" w14:textId="77777777">
        <w:trPr>
          <w:cantSplit/>
        </w:trPr>
        <w:tc>
          <w:tcPr>
            <w:tcW w:w="1871" w:type="dxa"/>
            <w:hideMark/>
          </w:tcPr>
          <w:p w:rsidR="00AB57EB" w:rsidRDefault="00AB57EB" w14:paraId="645B42F1" w14:textId="77777777">
            <w:pPr>
              <w:pStyle w:val="TableSideHeading"/>
              <w:keepLines w:val="0"/>
              <w:rPr>
                <w:rtl/>
              </w:rPr>
            </w:pPr>
            <w:r>
              <w:rPr>
                <w:rtl/>
              </w:rPr>
              <w:t>מענק למימון ריבית על הלוואה להקמת מרחב מוגן דירתי</w:t>
            </w:r>
          </w:p>
        </w:tc>
        <w:tc>
          <w:tcPr>
            <w:tcW w:w="624" w:type="dxa"/>
            <w:hideMark/>
          </w:tcPr>
          <w:p w:rsidR="00AB57EB" w:rsidRDefault="00AB57EB" w14:paraId="1C23F24B" w14:textId="77777777">
            <w:pPr>
              <w:pStyle w:val="TableText"/>
              <w:keepLines w:val="0"/>
            </w:pPr>
            <w:r>
              <w:rPr>
                <w:rtl/>
              </w:rPr>
              <w:t>2.</w:t>
            </w:r>
          </w:p>
        </w:tc>
        <w:tc>
          <w:tcPr>
            <w:tcW w:w="7143" w:type="dxa"/>
            <w:hideMark/>
          </w:tcPr>
          <w:p w:rsidR="00AB57EB" w:rsidP="004A35BB" w:rsidRDefault="00AB57EB" w14:paraId="2A12D973" w14:textId="77777777">
            <w:pPr>
              <w:pStyle w:val="TableBlock"/>
              <w:tabs>
                <w:tab w:val="left" w:pos="624"/>
                <w:tab w:val="left" w:pos="1247"/>
              </w:tabs>
            </w:pPr>
            <w:r>
              <w:rPr>
                <w:rtl/>
              </w:rPr>
              <w:t>נטל אדם הלוואה לבניית מרחב מוגן דירתי בדירת מגורים שלא היה בה מרחב מוגן דירתי, יהיה זכאי לקבל מאוצר המדינה מענק למימון תשלום הריבית על אותה הלוואה.</w:t>
            </w:r>
          </w:p>
        </w:tc>
      </w:tr>
      <w:tr w:rsidR="00AB57EB" w:rsidTr="004A35BB" w14:paraId="7D63DCDC" w14:textId="77777777">
        <w:trPr>
          <w:cantSplit/>
        </w:trPr>
        <w:tc>
          <w:tcPr>
            <w:tcW w:w="1871" w:type="dxa"/>
            <w:hideMark/>
          </w:tcPr>
          <w:p w:rsidR="00AB57EB" w:rsidRDefault="00AB57EB" w14:paraId="4476D4FD" w14:textId="77777777">
            <w:pPr>
              <w:pStyle w:val="TableSideHeading"/>
              <w:keepLines w:val="0"/>
              <w:rPr>
                <w:rtl/>
              </w:rPr>
            </w:pPr>
            <w:r>
              <w:rPr>
                <w:rtl/>
              </w:rPr>
              <w:t>תיקון פקודת מסי העירייה ומסי הממשלה (פטורין)</w:t>
            </w:r>
          </w:p>
        </w:tc>
        <w:tc>
          <w:tcPr>
            <w:tcW w:w="624" w:type="dxa"/>
            <w:hideMark/>
          </w:tcPr>
          <w:p w:rsidR="00AB57EB" w:rsidRDefault="00AB57EB" w14:paraId="1DD5B5C5" w14:textId="77777777">
            <w:pPr>
              <w:pStyle w:val="TableText"/>
              <w:keepLines w:val="0"/>
              <w:rPr>
                <w:rtl/>
              </w:rPr>
            </w:pPr>
            <w:r>
              <w:rPr>
                <w:rtl/>
              </w:rPr>
              <w:t>3.</w:t>
            </w:r>
          </w:p>
        </w:tc>
        <w:tc>
          <w:tcPr>
            <w:tcW w:w="7143" w:type="dxa"/>
            <w:hideMark/>
          </w:tcPr>
          <w:p w:rsidR="00AB57EB" w:rsidP="004A35BB" w:rsidRDefault="00AB57EB" w14:paraId="2AAB0176" w14:textId="77777777">
            <w:pPr>
              <w:pStyle w:val="TableBlock"/>
              <w:rPr>
                <w:rtl/>
              </w:rPr>
            </w:pPr>
            <w:r>
              <w:rPr>
                <w:rtl/>
              </w:rPr>
              <w:t>בפקודת מסי העירייה ומסי הממשלה (פטורין), 1938</w:t>
            </w:r>
            <w:r w:rsidRPr="004A35BB">
              <w:rPr>
                <w:rStyle w:val="a6"/>
                <w:rFonts w:ascii="David" w:hAnsi="David"/>
                <w:sz w:val="26"/>
                <w:rtl/>
              </w:rPr>
              <w:footnoteReference w:id="3"/>
            </w:r>
            <w:r>
              <w:rPr>
                <w:rtl/>
              </w:rPr>
              <w:t>, בסעיף 5ג(ה), אחרי פסקה (14) יבוא:</w:t>
            </w:r>
          </w:p>
        </w:tc>
      </w:tr>
      <w:tr w:rsidR="00AB57EB" w:rsidTr="004A35BB" w14:paraId="2B4E44CC" w14:textId="77777777">
        <w:trPr>
          <w:cantSplit/>
        </w:trPr>
        <w:tc>
          <w:tcPr>
            <w:tcW w:w="1871" w:type="dxa"/>
          </w:tcPr>
          <w:p w:rsidR="00AB57EB" w:rsidRDefault="00AB57EB" w14:paraId="7B1CF1AF" w14:textId="77777777">
            <w:pPr>
              <w:pStyle w:val="TableSideHeading"/>
              <w:keepLines w:val="0"/>
              <w:rPr>
                <w:rtl/>
              </w:rPr>
            </w:pPr>
          </w:p>
        </w:tc>
        <w:tc>
          <w:tcPr>
            <w:tcW w:w="624" w:type="dxa"/>
          </w:tcPr>
          <w:p w:rsidR="00AB57EB" w:rsidRDefault="00AB57EB" w14:paraId="2070B9E4" w14:textId="77777777">
            <w:pPr>
              <w:pStyle w:val="TableText"/>
              <w:keepLines w:val="0"/>
              <w:rPr>
                <w:rtl/>
              </w:rPr>
            </w:pPr>
          </w:p>
        </w:tc>
        <w:tc>
          <w:tcPr>
            <w:tcW w:w="7143" w:type="dxa"/>
            <w:hideMark/>
          </w:tcPr>
          <w:p w:rsidR="00AB57EB" w:rsidP="004A35BB" w:rsidRDefault="00AB57EB" w14:paraId="1F982849" w14:textId="59B9414C">
            <w:pPr>
              <w:pStyle w:val="TableBlock"/>
              <w:rPr>
                <w:rtl/>
              </w:rPr>
            </w:pPr>
            <w:r>
              <w:rPr>
                <w:rtl/>
              </w:rPr>
              <w:t>"(15)</w:t>
            </w:r>
            <w:r>
              <w:rPr>
                <w:rtl/>
              </w:rPr>
              <w:tab/>
              <w:t xml:space="preserve">מרחב מוגן דירתי כהגדרתו בסעיף 71א לחוק המקרקעין, התשכ"ט–1969, ובלבד שנבנה לאחר תחילתו של חוק לעידוד הקמת מרחבים מוגנים </w:t>
            </w:r>
            <w:r w:rsidRPr="007651EF">
              <w:rPr>
                <w:rtl/>
              </w:rPr>
              <w:t>דירתיים, התש</w:t>
            </w:r>
            <w:r w:rsidR="007651EF">
              <w:rPr>
                <w:rFonts w:hint="cs"/>
                <w:rtl/>
              </w:rPr>
              <w:t>פ"א</w:t>
            </w:r>
            <w:r w:rsidR="004A35BB">
              <w:rPr>
                <w:rFonts w:hint="eastAsia"/>
                <w:rtl/>
              </w:rPr>
              <w:t>–</w:t>
            </w:r>
            <w:r w:rsidR="007651EF">
              <w:rPr>
                <w:rFonts w:hint="cs"/>
                <w:rtl/>
              </w:rPr>
              <w:t>2021</w:t>
            </w:r>
            <w:r w:rsidRPr="007651EF">
              <w:rPr>
                <w:rtl/>
              </w:rPr>
              <w:t>, בדירת</w:t>
            </w:r>
            <w:r>
              <w:rPr>
                <w:rtl/>
              </w:rPr>
              <w:t xml:space="preserve"> מגורים שלא היה בה מרחב מוגן דירתי ערב תחילתו של החוק האמור."</w:t>
            </w:r>
          </w:p>
        </w:tc>
      </w:tr>
      <w:tr w:rsidR="00AB57EB" w:rsidTr="004A35BB" w14:paraId="68304A17" w14:textId="77777777">
        <w:trPr>
          <w:cantSplit/>
        </w:trPr>
        <w:tc>
          <w:tcPr>
            <w:tcW w:w="1871" w:type="dxa"/>
            <w:hideMark/>
          </w:tcPr>
          <w:p w:rsidR="00AB57EB" w:rsidRDefault="00AB57EB" w14:paraId="74B21C80" w14:textId="77777777">
            <w:pPr>
              <w:pStyle w:val="TableSideHeading"/>
              <w:keepLines w:val="0"/>
              <w:rPr>
                <w:rtl/>
              </w:rPr>
            </w:pPr>
            <w:r>
              <w:rPr>
                <w:rtl/>
              </w:rPr>
              <w:t>ביצוע ותקנות</w:t>
            </w:r>
          </w:p>
        </w:tc>
        <w:tc>
          <w:tcPr>
            <w:tcW w:w="624" w:type="dxa"/>
            <w:hideMark/>
          </w:tcPr>
          <w:p w:rsidR="00AB57EB" w:rsidRDefault="00AB57EB" w14:paraId="6FFC44E5" w14:textId="77777777">
            <w:pPr>
              <w:pStyle w:val="TableText"/>
              <w:keepLines w:val="0"/>
              <w:rPr>
                <w:rtl/>
              </w:rPr>
            </w:pPr>
            <w:r>
              <w:rPr>
                <w:rtl/>
              </w:rPr>
              <w:t>4.</w:t>
            </w:r>
          </w:p>
        </w:tc>
        <w:tc>
          <w:tcPr>
            <w:tcW w:w="7143" w:type="dxa"/>
            <w:hideMark/>
          </w:tcPr>
          <w:p w:rsidR="00AB57EB" w:rsidP="004A35BB" w:rsidRDefault="00AB57EB" w14:paraId="3BEC02B2" w14:textId="7B1E62B8">
            <w:pPr>
              <w:pStyle w:val="TableBlock"/>
              <w:rPr>
                <w:rtl/>
              </w:rPr>
            </w:pPr>
            <w:r>
              <w:rPr>
                <w:rtl/>
              </w:rPr>
              <w:t>השר ממונה על ביצועו של חוק זה, והוא רשאי, בהסכמת שר האוצר להתקין תקנות לביצועו.</w:t>
            </w:r>
          </w:p>
        </w:tc>
      </w:tr>
    </w:tbl>
    <w:p w:rsidR="00AB57EB" w:rsidP="00AB57EB" w:rsidRDefault="00AB57EB" w14:paraId="1F9755FC" w14:textId="77777777">
      <w:pPr>
        <w:pStyle w:val="HeadDivreiHesber"/>
        <w:rPr>
          <w:rtl/>
        </w:rPr>
      </w:pPr>
      <w:r>
        <w:rPr>
          <w:rtl/>
        </w:rPr>
        <w:t>דברי הסבר</w:t>
      </w:r>
    </w:p>
    <w:p w:rsidRPr="004A35BB" w:rsidR="00AB57EB" w:rsidP="004A35BB" w:rsidRDefault="00AB57EB" w14:paraId="0BCA612B" w14:textId="77777777">
      <w:pPr>
        <w:pStyle w:val="Hesber"/>
        <w:rPr>
          <w:rtl/>
        </w:rPr>
      </w:pPr>
      <w:r w:rsidRPr="004A35BB">
        <w:rPr>
          <w:rtl/>
        </w:rPr>
        <w:t xml:space="preserve">המלחמות מאז הקמת המדינה שינו את אופיין, ולפיכך עולה הצורך בעדכון תפיסת הביטחון הישראלי, שעמדה על שלושה מרכיבים – הרתעה, התראה והכרעה, על ידי הוספת מרכיב רביעי של הגנה על העורף. </w:t>
      </w:r>
    </w:p>
    <w:p w:rsidRPr="004A35BB" w:rsidR="00AB57EB" w:rsidP="004A35BB" w:rsidRDefault="00AB57EB" w14:paraId="6DFE6012" w14:textId="77777777">
      <w:pPr>
        <w:pStyle w:val="Hesber"/>
        <w:rPr>
          <w:rtl/>
        </w:rPr>
      </w:pPr>
      <w:r w:rsidRPr="004A35BB">
        <w:rPr>
          <w:rtl/>
        </w:rPr>
        <w:t xml:space="preserve">כניסתם של טילים תלולי מסלול אל תוך זירת העימות וההשקעה הרבה בפיתוח טילים אלו על ידי אויבינו, מחייבת את מדינת ישראל להכיר באחריותה לחזק את הגנת העורף הפסיבית לצד ההגנה האקטיבית. המקלטים הציבוריים ששימשו את העורף בעבר אינם עונים על הצורך העתידי, במיוחד נוכח שדרוג הטילים שבהם מחזיק האויב שצפויים לכסות את כל שטחה של מדינת ישראל. </w:t>
      </w:r>
    </w:p>
    <w:p w:rsidRPr="004A35BB" w:rsidR="00AB57EB" w:rsidP="004A35BB" w:rsidRDefault="00AB57EB" w14:paraId="52B88E3F" w14:textId="57BE3789">
      <w:pPr>
        <w:pStyle w:val="Hesber"/>
        <w:rPr>
          <w:rtl/>
        </w:rPr>
      </w:pPr>
      <w:r w:rsidRPr="004A35BB">
        <w:rPr>
          <w:rtl/>
        </w:rPr>
        <w:t xml:space="preserve">לכן, יש צורך ביצירת תכנית המקלה עם כל אזרח להקים מרחב מוגן דירתי צמוד לביתו. כאשר בוחנים את הצרכים הביטחוניים, </w:t>
      </w:r>
      <w:r w:rsidRPr="004A35BB" w:rsidR="007651EF">
        <w:rPr>
          <w:rFonts w:hint="cs"/>
          <w:rtl/>
        </w:rPr>
        <w:t>עולה</w:t>
      </w:r>
      <w:r w:rsidRPr="004A35BB" w:rsidR="007651EF">
        <w:rPr>
          <w:rtl/>
        </w:rPr>
        <w:t xml:space="preserve"> </w:t>
      </w:r>
      <w:r w:rsidRPr="004A35BB">
        <w:rPr>
          <w:rtl/>
        </w:rPr>
        <w:t xml:space="preserve">כי דווקא השכונות הצפופות בערים ברחבי ישראל זקוקות לפתרון מידי. זאת, מאחר שהוקמו לפני שנת 1992 שבמהלכה נתקבלה ההחלטה שלפיה הקמתם של מבני מגורים חדשים חייבת לכלול מרחב מוגן מפני התקפות אוויר והתקפות טילים שזמן ההתרעה מפניהן קצר מכדי לאפשר גישה למקלט תת-קרקעי. </w:t>
      </w:r>
    </w:p>
    <w:p w:rsidRPr="004A35BB" w:rsidR="00AB57EB" w:rsidP="004A35BB" w:rsidRDefault="00AB57EB" w14:paraId="0D35DC88" w14:textId="77777777">
      <w:pPr>
        <w:pStyle w:val="Hesber"/>
        <w:rPr>
          <w:rtl/>
        </w:rPr>
      </w:pPr>
      <w:r w:rsidRPr="004A35BB">
        <w:rPr>
          <w:rtl/>
        </w:rPr>
        <w:t>לפיכך, מוצע לקבוע שהמדינה תסייע לאדם שנוטל הלוואה לצורך בניית מרחב מוגן דירתי בדירת מגורים שלא היה בה מרחב מוגן דירתי, באמצעות מימון הריבית המשתלמת על אותה הלוואה. עוד מוצע לקבוע פטור מארנונה על שטח בדירת מגורים המשמש למרחב מוגן דירתי שנבנה לאחר תחילתו של החוק המוצע, בדירת מגורים שלא היה בה מרחב מוגן דירתי ערב תחילתו של החוק המוצע.</w:t>
      </w:r>
    </w:p>
    <w:p w:rsidRPr="004A35BB" w:rsidR="00AB57EB" w:rsidP="004A35BB" w:rsidRDefault="00AB57EB" w14:paraId="64DF0C89" w14:textId="47E08FDC">
      <w:pPr>
        <w:pStyle w:val="Hesber"/>
        <w:rPr>
          <w:rtl/>
        </w:rPr>
      </w:pPr>
      <w:r w:rsidRPr="004A35BB">
        <w:rPr>
          <w:rFonts w:hint="eastAsia"/>
          <w:rtl/>
        </w:rPr>
        <w:t>הצעת</w:t>
      </w:r>
      <w:r w:rsidRPr="004A35BB">
        <w:rPr>
          <w:rtl/>
        </w:rPr>
        <w:t xml:space="preserve"> חוק זהה הונחה על שולחן הכנסת העשרים </w:t>
      </w:r>
      <w:r w:rsidRPr="004A35BB" w:rsidR="007651EF">
        <w:rPr>
          <w:rFonts w:hint="cs"/>
          <w:rtl/>
        </w:rPr>
        <w:t xml:space="preserve">על ידי </w:t>
      </w:r>
      <w:r w:rsidRPr="004A35BB">
        <w:rPr>
          <w:rFonts w:hint="eastAsia"/>
          <w:rtl/>
        </w:rPr>
        <w:t>חבר</w:t>
      </w:r>
      <w:r w:rsidRPr="004A35BB">
        <w:rPr>
          <w:rtl/>
        </w:rPr>
        <w:t xml:space="preserve"> הכנסת עמיר פרץ וקבוצת חברי </w:t>
      </w:r>
      <w:r w:rsidRPr="004A35BB" w:rsidR="007651EF">
        <w:rPr>
          <w:rFonts w:hint="cs"/>
          <w:rtl/>
        </w:rPr>
        <w:t>ה</w:t>
      </w:r>
      <w:r w:rsidRPr="004A35BB">
        <w:rPr>
          <w:rFonts w:hint="eastAsia"/>
          <w:rtl/>
        </w:rPr>
        <w:t>כנסת</w:t>
      </w:r>
      <w:r w:rsidRPr="004A35BB">
        <w:rPr>
          <w:rtl/>
        </w:rPr>
        <w:t xml:space="preserve"> (פ/5074/20).</w:t>
      </w:r>
    </w:p>
    <w:p w:rsidR="004A35BB" w:rsidRDefault="004A35BB" w14:paraId="330AE264" w14:textId="77777777">
      <w:pPr>
        <w:jc w:val="left"/>
        <w:rPr>
          <w:rFonts w:eastAsia="David"/>
          <w:sz w:val="26"/>
          <w:szCs w:val="26"/>
          <w:rtl/>
        </w:rPr>
      </w:pPr>
      <w:bookmarkStart w:name="selectedDocDateB" w:id="5"/>
      <w:bookmarkEnd w:id="5"/>
    </w:p>
    <w:p w:rsidR="00485A73" w:rsidRDefault="004A35BB" w14:paraId="09DAC017" w14:textId="77777777">
      <w:pPr>
        <w:jc w:val="left"/>
      </w:pPr>
      <w:r>
        <w:rPr>
          <w:rFonts w:hint="cs" w:eastAsia="David"/>
          <w:sz w:val="26"/>
          <w:szCs w:val="26"/>
          <w:rtl/>
        </w:rPr>
        <w:t>--------------------------------</w:t>
      </w:r>
    </w:p>
    <w:p w:rsidR="00485A73" w:rsidRDefault="004A35BB" w14:paraId="2807FA5D" w14:textId="77777777">
      <w:pPr>
        <w:jc w:val="left"/>
      </w:pPr>
      <w:r>
        <w:rPr>
          <w:rFonts w:hint="cs" w:eastAsia="David"/>
          <w:sz w:val="26"/>
          <w:szCs w:val="26"/>
          <w:rtl/>
        </w:rPr>
        <w:t>הוגשה ליו"ר הכנסת והסגנים</w:t>
      </w:r>
      <w:bookmarkStart w:name="_GoBack" w:id="6"/>
      <w:bookmarkEnd w:id="6"/>
    </w:p>
    <w:p w:rsidR="00485A73" w:rsidRDefault="004A35BB" w14:paraId="551C8A9D" w14:textId="77777777">
      <w:pPr>
        <w:jc w:val="left"/>
      </w:pPr>
      <w:r>
        <w:rPr>
          <w:rFonts w:hint="cs" w:eastAsia="David"/>
          <w:sz w:val="26"/>
          <w:szCs w:val="26"/>
          <w:rtl/>
        </w:rPr>
        <w:t>והונחה על שולחן הכנסת ביום</w:t>
      </w:r>
    </w:p>
    <w:p w:rsidR="00485A73" w:rsidRDefault="004A35BB" w14:paraId="42FE9827" w14:textId="77777777">
      <w:pPr>
        <w:jc w:val="left"/>
      </w:pPr>
      <w:r>
        <w:rPr>
          <w:rFonts w:hint="cs" w:eastAsia="David"/>
          <w:sz w:val="26"/>
          <w:szCs w:val="26"/>
          <w:rtl/>
        </w:rPr>
        <w:t xml:space="preserve">ד' בתמוז התשפ"א (14.06.2021) </w:t>
      </w:r>
    </w:p>
    <w:p w:rsidR="00485A73" w:rsidRDefault="00485A73" w14:paraId="30F032D4" w14:textId="77777777">
      <w:pPr>
        <w:spacing w:line="276" w:lineRule="auto"/>
        <w:jc w:val="left"/>
      </w:pPr>
    </w:p>
    <w:sectPr w:rsidR="00485A73" w:rsidSect="004A35BB">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A35BB">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4A35BB">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65A187B" w14:textId="77777777" w:rsidR="00AB57EB" w:rsidRDefault="00AB57EB" w:rsidP="00AB57EB">
      <w:pPr>
        <w:pStyle w:val="a4"/>
        <w:rPr>
          <w:rtl/>
        </w:rPr>
      </w:pPr>
      <w:r>
        <w:rPr>
          <w:rStyle w:val="a6"/>
        </w:rPr>
        <w:footnoteRef/>
      </w:r>
      <w:r>
        <w:rPr>
          <w:rtl/>
        </w:rPr>
        <w:t xml:space="preserve"> </w:t>
      </w:r>
      <w:r>
        <w:rPr>
          <w:rFonts w:hint="cs"/>
          <w:rtl/>
        </w:rPr>
        <w:t>ס"ח התשכ"ט, עמ' 259.</w:t>
      </w:r>
    </w:p>
  </w:footnote>
  <w:footnote w:id="3">
    <w:p w14:paraId="296A270A" w14:textId="77777777" w:rsidR="00AB57EB" w:rsidRDefault="00AB57EB" w:rsidP="00AB57EB">
      <w:pPr>
        <w:pStyle w:val="a4"/>
      </w:pPr>
      <w:r>
        <w:rPr>
          <w:rStyle w:val="a6"/>
        </w:rPr>
        <w:footnoteRef/>
      </w:r>
      <w:r>
        <w:rPr>
          <w:rtl/>
        </w:rPr>
        <w:t xml:space="preserve"> </w:t>
      </w:r>
      <w:r>
        <w:rPr>
          <w:rFonts w:hint="cs"/>
          <w:rtl/>
        </w:rPr>
        <w:t>ע"ר 1938, תוס' 1, עמ' (ע) 27, (א)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41A5"/>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07E5"/>
    <w:rsid w:val="002D1EE3"/>
    <w:rsid w:val="002F1D80"/>
    <w:rsid w:val="003232A2"/>
    <w:rsid w:val="00325C14"/>
    <w:rsid w:val="003550F9"/>
    <w:rsid w:val="0036422C"/>
    <w:rsid w:val="003710F6"/>
    <w:rsid w:val="00386E88"/>
    <w:rsid w:val="00396585"/>
    <w:rsid w:val="003D6E38"/>
    <w:rsid w:val="003D74A0"/>
    <w:rsid w:val="004033D8"/>
    <w:rsid w:val="004073F0"/>
    <w:rsid w:val="00412A7D"/>
    <w:rsid w:val="00416B4D"/>
    <w:rsid w:val="00417CFC"/>
    <w:rsid w:val="00485A73"/>
    <w:rsid w:val="004A06DC"/>
    <w:rsid w:val="004A35BB"/>
    <w:rsid w:val="004B24ED"/>
    <w:rsid w:val="004B6625"/>
    <w:rsid w:val="004D2D82"/>
    <w:rsid w:val="004D3876"/>
    <w:rsid w:val="004E4552"/>
    <w:rsid w:val="004E55D2"/>
    <w:rsid w:val="004E6CDF"/>
    <w:rsid w:val="00553C9D"/>
    <w:rsid w:val="00562A66"/>
    <w:rsid w:val="005B064E"/>
    <w:rsid w:val="005D51AE"/>
    <w:rsid w:val="0062674B"/>
    <w:rsid w:val="006363B2"/>
    <w:rsid w:val="00644940"/>
    <w:rsid w:val="006818A9"/>
    <w:rsid w:val="006A2D81"/>
    <w:rsid w:val="006C1D0D"/>
    <w:rsid w:val="006E4ACF"/>
    <w:rsid w:val="0070601E"/>
    <w:rsid w:val="00712C72"/>
    <w:rsid w:val="00735FE9"/>
    <w:rsid w:val="00763CAA"/>
    <w:rsid w:val="007651EF"/>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B57EB"/>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9E0F448-DAC3-4009-A0AE-81C468B9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5B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4A35B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4A35B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A35B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A35BB"/>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A35BB"/>
    <w:pPr>
      <w:spacing w:line="259" w:lineRule="auto"/>
      <w:outlineLvl w:val="4"/>
    </w:pPr>
    <w:rPr>
      <w:color w:val="000000" w:themeColor="text1"/>
    </w:rPr>
  </w:style>
  <w:style w:type="character" w:default="1" w:styleId="a0">
    <w:name w:val="Default Paragraph Font"/>
    <w:uiPriority w:val="1"/>
    <w:semiHidden/>
    <w:unhideWhenUsed/>
    <w:rsid w:val="004A35B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A35BB"/>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A35B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A35BB"/>
    <w:rPr>
      <w:sz w:val="36"/>
      <w:szCs w:val="52"/>
    </w:rPr>
  </w:style>
  <w:style w:type="paragraph" w:customStyle="1" w:styleId="Cover3-Haknesset">
    <w:name w:val="Cover 3-Haknesset"/>
    <w:basedOn w:val="Cover1-Reshumot"/>
    <w:rsid w:val="004A35BB"/>
    <w:rPr>
      <w:b/>
      <w:bCs/>
      <w:spacing w:val="60"/>
    </w:rPr>
  </w:style>
  <w:style w:type="paragraph" w:customStyle="1" w:styleId="Cover4-Date">
    <w:name w:val="Cover 4-Date"/>
    <w:basedOn w:val="a"/>
    <w:rsid w:val="004A35B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A35B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4A35B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4A35BB"/>
    <w:pPr>
      <w:spacing w:before="120" w:after="120"/>
    </w:pPr>
    <w:rPr>
      <w:color w:val="FF0000"/>
      <w:w w:val="80"/>
    </w:rPr>
  </w:style>
  <w:style w:type="paragraph" w:styleId="a3">
    <w:name w:val="endnote text"/>
    <w:basedOn w:val="a"/>
    <w:semiHidden/>
    <w:rsid w:val="004A35BB"/>
    <w:pPr>
      <w:ind w:left="227" w:hanging="227"/>
    </w:pPr>
    <w:rPr>
      <w:sz w:val="14"/>
      <w:szCs w:val="22"/>
    </w:rPr>
  </w:style>
  <w:style w:type="paragraph" w:customStyle="1" w:styleId="TableText">
    <w:name w:val="Table Text"/>
    <w:basedOn w:val="a"/>
    <w:rsid w:val="004A35B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4A35BB"/>
    <w:pPr>
      <w:outlineLvl w:val="2"/>
    </w:pPr>
  </w:style>
  <w:style w:type="paragraph" w:customStyle="1" w:styleId="TableBlock">
    <w:name w:val="Table Block"/>
    <w:basedOn w:val="TableText"/>
    <w:rsid w:val="004A35BB"/>
    <w:pPr>
      <w:jc w:val="both"/>
    </w:pPr>
  </w:style>
  <w:style w:type="paragraph" w:customStyle="1" w:styleId="TableHead">
    <w:name w:val="Table Head"/>
    <w:basedOn w:val="TableText"/>
    <w:rsid w:val="004A35B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A35BB"/>
    <w:pPr>
      <w:outlineLvl w:val="9"/>
    </w:pPr>
  </w:style>
  <w:style w:type="paragraph" w:customStyle="1" w:styleId="Hesber">
    <w:name w:val="Hesber"/>
    <w:basedOn w:val="a"/>
    <w:rsid w:val="004A35BB"/>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4A35BB"/>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4A35BB"/>
    <w:rPr>
      <w:vertAlign w:val="superscript"/>
    </w:rPr>
  </w:style>
  <w:style w:type="paragraph" w:customStyle="1" w:styleId="HesberHeading">
    <w:name w:val="Hesber Heading"/>
    <w:basedOn w:val="Hesber"/>
    <w:rsid w:val="004A35BB"/>
    <w:pPr>
      <w:tabs>
        <w:tab w:val="left" w:pos="624"/>
        <w:tab w:val="left" w:pos="1247"/>
      </w:tabs>
    </w:pPr>
    <w:rPr>
      <w:b/>
      <w:bCs/>
    </w:rPr>
  </w:style>
  <w:style w:type="paragraph" w:customStyle="1" w:styleId="HesberWriters">
    <w:name w:val="Hesber Writers"/>
    <w:basedOn w:val="Hesber"/>
    <w:rsid w:val="004A35BB"/>
    <w:pPr>
      <w:spacing w:before="120" w:after="120"/>
      <w:ind w:left="1418"/>
      <w:jc w:val="right"/>
    </w:pPr>
    <w:rPr>
      <w:b/>
      <w:bCs/>
    </w:rPr>
  </w:style>
  <w:style w:type="paragraph" w:customStyle="1" w:styleId="Hesber1st">
    <w:name w:val="Hesber 1st"/>
    <w:basedOn w:val="Hesber"/>
    <w:rsid w:val="004A35BB"/>
    <w:pPr>
      <w:tabs>
        <w:tab w:val="left" w:pos="680"/>
        <w:tab w:val="left" w:pos="1020"/>
      </w:tabs>
      <w:ind w:firstLine="0"/>
    </w:pPr>
  </w:style>
  <w:style w:type="character" w:styleId="a7">
    <w:name w:val="endnote reference"/>
    <w:basedOn w:val="a0"/>
    <w:semiHidden/>
    <w:rsid w:val="004A35BB"/>
    <w:rPr>
      <w:vertAlign w:val="superscript"/>
    </w:rPr>
  </w:style>
  <w:style w:type="paragraph" w:customStyle="1" w:styleId="TableBlockOutdent">
    <w:name w:val="Table BlockOutdent"/>
    <w:basedOn w:val="TableBlock"/>
    <w:rsid w:val="004A35BB"/>
    <w:pPr>
      <w:ind w:left="624" w:hanging="624"/>
    </w:pPr>
  </w:style>
  <w:style w:type="paragraph" w:styleId="a8">
    <w:name w:val="header"/>
    <w:basedOn w:val="a"/>
    <w:rsid w:val="004A35BB"/>
    <w:pPr>
      <w:tabs>
        <w:tab w:val="center" w:pos="4153"/>
        <w:tab w:val="right" w:pos="8306"/>
      </w:tabs>
    </w:pPr>
  </w:style>
  <w:style w:type="paragraph" w:styleId="a9">
    <w:name w:val="footer"/>
    <w:basedOn w:val="a"/>
    <w:rsid w:val="004A35BB"/>
    <w:pPr>
      <w:tabs>
        <w:tab w:val="center" w:pos="4153"/>
        <w:tab w:val="right" w:pos="8306"/>
      </w:tabs>
    </w:pPr>
  </w:style>
  <w:style w:type="paragraph" w:customStyle="1" w:styleId="HeadDivreiHesber">
    <w:name w:val="Head DivreiHesber"/>
    <w:basedOn w:val="a"/>
    <w:rsid w:val="004A35B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4A35BB"/>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4A35B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AB57EB"/>
    <w:rPr>
      <w:rFonts w:ascii="Arial" w:eastAsia="Arial Unicode MS" w:hAnsi="Arial" w:cs="David"/>
      <w:snapToGrid w:val="0"/>
      <w:sz w:val="14"/>
    </w:rPr>
  </w:style>
  <w:style w:type="character" w:customStyle="1" w:styleId="10">
    <w:name w:val="כותרת 1 תו"/>
    <w:basedOn w:val="a0"/>
    <w:link w:val="1"/>
    <w:uiPriority w:val="9"/>
    <w:rsid w:val="004A35BB"/>
    <w:rPr>
      <w:rFonts w:asciiTheme="majorHAnsi" w:eastAsiaTheme="majorEastAsia" w:hAnsiTheme="majorHAnsi" w:cs="David"/>
      <w:bCs/>
      <w:sz w:val="32"/>
      <w:szCs w:val="36"/>
    </w:rPr>
  </w:style>
  <w:style w:type="character" w:customStyle="1" w:styleId="20">
    <w:name w:val="כותרת 2 תו"/>
    <w:basedOn w:val="a0"/>
    <w:link w:val="2"/>
    <w:rsid w:val="004A35BB"/>
    <w:rPr>
      <w:rFonts w:asciiTheme="majorHAnsi" w:eastAsiaTheme="majorEastAsia" w:hAnsiTheme="majorHAnsi" w:cs="David"/>
      <w:bCs/>
      <w:sz w:val="26"/>
      <w:szCs w:val="36"/>
      <w:u w:val="single"/>
    </w:rPr>
  </w:style>
  <w:style w:type="character" w:customStyle="1" w:styleId="30">
    <w:name w:val="כותרת 3 תו"/>
    <w:basedOn w:val="a0"/>
    <w:link w:val="3"/>
    <w:rsid w:val="004A35BB"/>
    <w:rPr>
      <w:rFonts w:asciiTheme="majorHAnsi" w:eastAsiaTheme="majorEastAsia" w:hAnsiTheme="majorHAnsi" w:cs="David"/>
      <w:sz w:val="24"/>
      <w:szCs w:val="28"/>
      <w:u w:val="double"/>
    </w:rPr>
  </w:style>
  <w:style w:type="character" w:customStyle="1" w:styleId="40">
    <w:name w:val="כותרת 4 תו"/>
    <w:basedOn w:val="a0"/>
    <w:link w:val="4"/>
    <w:uiPriority w:val="9"/>
    <w:rsid w:val="004A35B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4A35BB"/>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4A35BB"/>
    <w:pPr>
      <w:widowControl/>
      <w:spacing w:before="120" w:after="120"/>
      <w:outlineLvl w:val="9"/>
    </w:pPr>
    <w:rPr>
      <w:rtl/>
      <w:cs/>
    </w:rPr>
  </w:style>
  <w:style w:type="paragraph" w:styleId="TOC1">
    <w:name w:val="toc 1"/>
    <w:basedOn w:val="a"/>
    <w:next w:val="a"/>
    <w:autoRedefine/>
    <w:uiPriority w:val="39"/>
    <w:unhideWhenUsed/>
    <w:rsid w:val="004A35BB"/>
    <w:pPr>
      <w:tabs>
        <w:tab w:val="right" w:leader="dot" w:pos="9629"/>
      </w:tabs>
      <w:spacing w:after="100"/>
    </w:pPr>
    <w:rPr>
      <w:bCs/>
      <w:szCs w:val="22"/>
    </w:rPr>
  </w:style>
  <w:style w:type="paragraph" w:styleId="TOC2">
    <w:name w:val="toc 2"/>
    <w:basedOn w:val="a"/>
    <w:next w:val="a"/>
    <w:uiPriority w:val="39"/>
    <w:unhideWhenUsed/>
    <w:rsid w:val="004A35BB"/>
    <w:pPr>
      <w:tabs>
        <w:tab w:val="right" w:leader="dot" w:pos="9628"/>
      </w:tabs>
      <w:spacing w:after="100"/>
    </w:pPr>
    <w:rPr>
      <w:szCs w:val="22"/>
    </w:rPr>
  </w:style>
  <w:style w:type="character" w:styleId="Hyperlink">
    <w:name w:val="Hyperlink"/>
    <w:basedOn w:val="a0"/>
    <w:uiPriority w:val="99"/>
    <w:unhideWhenUsed/>
    <w:rsid w:val="004A35BB"/>
    <w:rPr>
      <w:color w:val="0000FF" w:themeColor="hyperlink"/>
      <w:u w:val="single"/>
    </w:rPr>
  </w:style>
  <w:style w:type="paragraph" w:styleId="TOC3">
    <w:name w:val="toc 3"/>
    <w:basedOn w:val="a"/>
    <w:next w:val="a"/>
    <w:uiPriority w:val="39"/>
    <w:unhideWhenUsed/>
    <w:rsid w:val="004A35BB"/>
    <w:pPr>
      <w:tabs>
        <w:tab w:val="right" w:leader="dot" w:pos="9629"/>
      </w:tabs>
      <w:spacing w:after="100"/>
      <w:ind w:left="567"/>
    </w:pPr>
    <w:rPr>
      <w:szCs w:val="22"/>
    </w:rPr>
  </w:style>
  <w:style w:type="paragraph" w:styleId="TOC4">
    <w:name w:val="toc 4"/>
    <w:basedOn w:val="a"/>
    <w:next w:val="a"/>
    <w:autoRedefine/>
    <w:unhideWhenUsed/>
    <w:qFormat/>
    <w:rsid w:val="004A35B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A35BB"/>
    <w:pPr>
      <w:tabs>
        <w:tab w:val="right" w:leader="dot" w:pos="9628"/>
      </w:tabs>
      <w:spacing w:after="100"/>
      <w:ind w:left="567"/>
    </w:pPr>
    <w:rPr>
      <w:szCs w:val="22"/>
    </w:rPr>
  </w:style>
  <w:style w:type="paragraph" w:styleId="TOC6">
    <w:name w:val="toc 6"/>
    <w:basedOn w:val="a"/>
    <w:next w:val="a"/>
    <w:autoRedefine/>
    <w:semiHidden/>
    <w:unhideWhenUsed/>
    <w:rsid w:val="004A35BB"/>
    <w:pPr>
      <w:spacing w:after="100"/>
      <w:ind w:left="850"/>
    </w:pPr>
  </w:style>
  <w:style w:type="paragraph" w:styleId="TOC7">
    <w:name w:val="toc 7"/>
    <w:basedOn w:val="a"/>
    <w:next w:val="a"/>
    <w:autoRedefine/>
    <w:semiHidden/>
    <w:unhideWhenUsed/>
    <w:rsid w:val="004A35BB"/>
    <w:pPr>
      <w:spacing w:after="100"/>
      <w:ind w:left="1020"/>
    </w:pPr>
  </w:style>
  <w:style w:type="paragraph" w:styleId="TOC8">
    <w:name w:val="toc 8"/>
    <w:basedOn w:val="a"/>
    <w:next w:val="a"/>
    <w:autoRedefine/>
    <w:semiHidden/>
    <w:unhideWhenUsed/>
    <w:rsid w:val="004A35BB"/>
    <w:pPr>
      <w:spacing w:after="100"/>
      <w:ind w:left="1190"/>
    </w:pPr>
  </w:style>
  <w:style w:type="paragraph" w:styleId="TOC9">
    <w:name w:val="toc 9"/>
    <w:basedOn w:val="a"/>
    <w:next w:val="a"/>
    <w:autoRedefine/>
    <w:semiHidden/>
    <w:unhideWhenUsed/>
    <w:rsid w:val="004A35BB"/>
    <w:pPr>
      <w:spacing w:after="100"/>
      <w:ind w:left="1360"/>
    </w:pPr>
  </w:style>
  <w:style w:type="paragraph" w:customStyle="1" w:styleId="TableHead2">
    <w:name w:val="Table Head2"/>
    <w:basedOn w:val="TableHead"/>
    <w:qFormat/>
    <w:rsid w:val="004A35BB"/>
    <w:pPr>
      <w:outlineLvl w:val="9"/>
    </w:pPr>
  </w:style>
  <w:style w:type="paragraph" w:customStyle="1" w:styleId="TableSideHeading2">
    <w:name w:val="Table SideHeading2"/>
    <w:basedOn w:val="TableSideHeading"/>
    <w:autoRedefine/>
    <w:qFormat/>
    <w:rsid w:val="004A35BB"/>
    <w:pPr>
      <w:keepLines w:val="0"/>
      <w:outlineLvl w:val="9"/>
    </w:pPr>
  </w:style>
  <w:style w:type="paragraph" w:customStyle="1" w:styleId="0">
    <w:name w:val="סגנון שורה ראשונה:  0  ס''מ"/>
    <w:basedOn w:val="2"/>
    <w:rsid w:val="004A35BB"/>
    <w:rPr>
      <w:rFonts w:eastAsia="Times New Roman"/>
    </w:rPr>
  </w:style>
  <w:style w:type="paragraph" w:styleId="af">
    <w:name w:val="List Paragraph"/>
    <w:basedOn w:val="a"/>
    <w:uiPriority w:val="34"/>
    <w:qFormat/>
    <w:rsid w:val="004A35BB"/>
    <w:pPr>
      <w:widowControl/>
      <w:spacing w:line="259" w:lineRule="auto"/>
    </w:pPr>
    <w:rPr>
      <w:rFonts w:asciiTheme="minorHAnsi" w:hAnsiTheme="minorHAnsi"/>
      <w:sz w:val="22"/>
    </w:rPr>
  </w:style>
  <w:style w:type="table" w:styleId="af0">
    <w:name w:val="Table Grid"/>
    <w:basedOn w:val="a1"/>
    <w:rsid w:val="004A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4A35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4A35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4A35B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4A35B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659634">
      <w:bodyDiv w:val="1"/>
      <w:marLeft w:val="0"/>
      <w:marRight w:val="0"/>
      <w:marTop w:val="0"/>
      <w:marBottom w:val="0"/>
      <w:divBdr>
        <w:top w:val="none" w:sz="0" w:space="0" w:color="auto"/>
        <w:left w:val="none" w:sz="0" w:space="0" w:color="auto"/>
        <w:bottom w:val="none" w:sz="0" w:space="0" w:color="auto"/>
        <w:right w:val="none" w:sz="0" w:space="0" w:color="auto"/>
      </w:divBdr>
    </w:div>
    <w:div w:id="1033848431">
      <w:bodyDiv w:val="1"/>
      <w:marLeft w:val="0"/>
      <w:marRight w:val="0"/>
      <w:marTop w:val="0"/>
      <w:marBottom w:val="0"/>
      <w:divBdr>
        <w:top w:val="none" w:sz="0" w:space="0" w:color="auto"/>
        <w:left w:val="none" w:sz="0" w:space="0" w:color="auto"/>
        <w:bottom w:val="none" w:sz="0" w:space="0" w:color="auto"/>
        <w:right w:val="none" w:sz="0" w:space="0" w:color="auto"/>
      </w:divBdr>
    </w:div>
    <w:div w:id="1061171983">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6A6D-6BFC-491A-9ABD-DCDD8F04E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7F69DA8-D8C6-4A22-91D3-24193023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388</Words>
  <Characters>2218</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10</cp:revision>
  <cp:lastPrinted>2013-07-04T08:25:00Z</cp:lastPrinted>
  <dcterms:created xsi:type="dcterms:W3CDTF">2015-04-20T09:58:00Z</dcterms:created>
  <dcterms:modified xsi:type="dcterms:W3CDTF">2021-06-09T05:50:00Z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2158671</vt:r8>
  </property>
</Properties>
</file>