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2158962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אופיר כץ</w:t>
      </w:r>
      <w:bookmarkEnd w:id="3"/>
    </w:p>
    <w:p w14:paraId="34DB4103" w14:textId="77777777" w:rsidR="00904591" w:rsidRPr="00904591" w:rsidRDefault="00266D86" w:rsidP="0036422C">
      <w:pPr>
        <w:pStyle w:val="David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4DC199A9" w:rsidR="00E13C27" w:rsidRPr="00E06736" w:rsidRDefault="00904591" w:rsidP="008619A0">
      <w:pPr>
        <w:pStyle w:val="David"/>
        <w:spacing w:line="240" w:lineRule="auto"/>
        <w:ind w:left="6424" w:firstLine="56"/>
        <w:rPr>
          <w:rtl/>
        </w:rPr>
      </w:pPr>
      <w:bookmarkStart w:id="4" w:name="Private_Number"/>
      <w:r>
        <w:rPr>
          <w:rFonts w:hint="cs"/>
          <w:rtl/>
        </w:rPr>
        <w:t>פ/1481/24</w:t>
      </w:r>
      <w:bookmarkEnd w:id="4"/>
    </w:p>
    <w:p w14:paraId="3F2ED922" w14:textId="7B42A286" w:rsidR="00BE4DE8" w:rsidRPr="00F67051" w:rsidRDefault="00A443CF" w:rsidP="00BE4DE8">
      <w:pPr>
        <w:pStyle w:val="HeadHatzaotHok"/>
        <w:rPr>
          <w:rtl/>
        </w:rPr>
      </w:pPr>
      <w:bookmarkStart w:id="5" w:name="LGS_Subject"/>
      <w:r>
        <w:rPr>
          <w:rFonts w:hint="cs"/>
          <w:rtl/>
        </w:rPr>
        <w:t>הצעת חוק-יסוד: הממשלה (תיקון – הגבלת מספר שרים וסגני שרים)</w:t>
      </w:r>
      <w:bookmarkEnd w:id="5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3"/>
      </w:tblGrid>
      <w:tr w:rsidR="000F2455" w14:paraId="249DC735" w14:textId="77777777" w:rsidTr="008619A0">
        <w:trPr>
          <w:cantSplit/>
        </w:trPr>
        <w:tc>
          <w:tcPr>
            <w:tcW w:w="1871" w:type="dxa"/>
          </w:tcPr>
          <w:p w14:paraId="551C4103" w14:textId="77777777" w:rsidR="000F2455" w:rsidRDefault="000F2455" w:rsidP="003D67DF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5</w:t>
            </w:r>
          </w:p>
        </w:tc>
        <w:tc>
          <w:tcPr>
            <w:tcW w:w="624" w:type="dxa"/>
          </w:tcPr>
          <w:p w14:paraId="37F6E163" w14:textId="77777777" w:rsidR="000F2455" w:rsidRDefault="000F2455" w:rsidP="003D67DF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</w:tcPr>
          <w:p w14:paraId="15316FE1" w14:textId="77777777" w:rsidR="000F2455" w:rsidRPr="0075397D" w:rsidRDefault="000F2455" w:rsidP="008619A0">
            <w:pPr>
              <w:pStyle w:val="TableBlock"/>
            </w:pPr>
            <w:r w:rsidRPr="0075397D">
              <w:rPr>
                <w:rFonts w:hint="eastAsia"/>
                <w:rtl/>
              </w:rPr>
              <w:t>בחוק</w:t>
            </w:r>
            <w:r w:rsidRPr="0075397D">
              <w:rPr>
                <w:rtl/>
              </w:rPr>
              <w:t xml:space="preserve">-יסוד: </w:t>
            </w:r>
            <w:r w:rsidRPr="0075397D">
              <w:rPr>
                <w:rFonts w:hint="eastAsia"/>
                <w:rtl/>
              </w:rPr>
              <w:t>הממשלה</w:t>
            </w:r>
            <w:r w:rsidRPr="008619A0">
              <w:rPr>
                <w:rFonts w:ascii="David" w:hAnsi="David"/>
                <w:sz w:val="26"/>
                <w:vertAlign w:val="superscript"/>
                <w:rtl/>
              </w:rPr>
              <w:footnoteReference w:id="2"/>
            </w:r>
            <w:r w:rsidRPr="0075397D">
              <w:rPr>
                <w:rtl/>
              </w:rPr>
              <w:t xml:space="preserve"> (להלן – החוק העיקרי), </w:t>
            </w:r>
            <w:r w:rsidRPr="0075397D">
              <w:rPr>
                <w:rFonts w:hint="eastAsia"/>
                <w:rtl/>
              </w:rPr>
              <w:t>בסעיף</w:t>
            </w:r>
            <w:r w:rsidRPr="0075397D">
              <w:rPr>
                <w:rtl/>
              </w:rPr>
              <w:t xml:space="preserve"> 5, </w:t>
            </w:r>
            <w:r w:rsidRPr="0075397D">
              <w:rPr>
                <w:rFonts w:hint="eastAsia"/>
                <w:rtl/>
              </w:rPr>
              <w:t>בסופו</w:t>
            </w:r>
            <w:r w:rsidRPr="0075397D">
              <w:rPr>
                <w:rtl/>
              </w:rPr>
              <w:t xml:space="preserve"> יבוא: </w:t>
            </w:r>
          </w:p>
        </w:tc>
      </w:tr>
      <w:tr w:rsidR="000F2455" w14:paraId="2269AEE2" w14:textId="77777777" w:rsidTr="008619A0">
        <w:trPr>
          <w:cantSplit/>
        </w:trPr>
        <w:tc>
          <w:tcPr>
            <w:tcW w:w="1871" w:type="dxa"/>
          </w:tcPr>
          <w:p w14:paraId="53F00622" w14:textId="77777777" w:rsidR="000F2455" w:rsidRDefault="000F2455" w:rsidP="003D67DF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3A2823F0" w14:textId="77777777" w:rsidR="000F2455" w:rsidRDefault="000F2455" w:rsidP="003D67DF">
            <w:pPr>
              <w:pStyle w:val="TableText"/>
              <w:keepLines w:val="0"/>
            </w:pPr>
          </w:p>
        </w:tc>
        <w:tc>
          <w:tcPr>
            <w:tcW w:w="7143" w:type="dxa"/>
          </w:tcPr>
          <w:p w14:paraId="30F78302" w14:textId="77777777" w:rsidR="000F2455" w:rsidRPr="00C34DE2" w:rsidRDefault="000F2455" w:rsidP="008619A0">
            <w:pPr>
              <w:pStyle w:val="TableBlock"/>
            </w:pPr>
            <w:r>
              <w:rPr>
                <w:rFonts w:hint="cs"/>
                <w:rtl/>
              </w:rPr>
              <w:t>"(ז)</w:t>
            </w:r>
            <w:r>
              <w:rPr>
                <w:rtl/>
              </w:rPr>
              <w:tab/>
            </w:r>
            <w:r w:rsidRPr="0075397D">
              <w:rPr>
                <w:rtl/>
              </w:rPr>
              <w:t>מספר חברי הממשלה, ובכלל זה ראש הממשלה, לא יעלה על 19."</w:t>
            </w:r>
          </w:p>
        </w:tc>
      </w:tr>
      <w:tr w:rsidR="000F2455" w14:paraId="436884C1" w14:textId="77777777" w:rsidTr="008619A0">
        <w:trPr>
          <w:cantSplit/>
        </w:trPr>
        <w:tc>
          <w:tcPr>
            <w:tcW w:w="1871" w:type="dxa"/>
          </w:tcPr>
          <w:p w14:paraId="4B66CEB2" w14:textId="77777777" w:rsidR="000F2455" w:rsidRDefault="000F2455" w:rsidP="003D67DF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25</w:t>
            </w:r>
          </w:p>
        </w:tc>
        <w:tc>
          <w:tcPr>
            <w:tcW w:w="624" w:type="dxa"/>
          </w:tcPr>
          <w:p w14:paraId="42145E27" w14:textId="77777777" w:rsidR="000F2455" w:rsidRDefault="000F2455" w:rsidP="000F2455">
            <w:pPr>
              <w:pStyle w:val="TableText"/>
              <w:keepLines w:val="0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3" w:type="dxa"/>
          </w:tcPr>
          <w:p w14:paraId="226CCFB1" w14:textId="77777777" w:rsidR="000F2455" w:rsidRPr="0075397D" w:rsidRDefault="000F2455" w:rsidP="008619A0">
            <w:pPr>
              <w:pStyle w:val="TableBlock"/>
              <w:rPr>
                <w:rtl/>
              </w:rPr>
            </w:pPr>
            <w:r w:rsidRPr="0075397D">
              <w:rPr>
                <w:rFonts w:hint="eastAsia"/>
                <w:rtl/>
              </w:rPr>
              <w:t>בסעיף</w:t>
            </w:r>
            <w:r w:rsidRPr="0075397D">
              <w:rPr>
                <w:rtl/>
              </w:rPr>
              <w:t xml:space="preserve"> 25 </w:t>
            </w:r>
            <w:r w:rsidRPr="0075397D">
              <w:rPr>
                <w:rFonts w:hint="eastAsia"/>
                <w:rtl/>
              </w:rPr>
              <w:t>לחוק</w:t>
            </w:r>
            <w:r w:rsidRPr="0075397D">
              <w:rPr>
                <w:rtl/>
              </w:rPr>
              <w:t xml:space="preserve"> </w:t>
            </w:r>
            <w:r w:rsidRPr="0075397D">
              <w:rPr>
                <w:rFonts w:hint="eastAsia"/>
                <w:rtl/>
              </w:rPr>
              <w:t>העיקרי</w:t>
            </w:r>
            <w:r w:rsidRPr="0075397D">
              <w:rPr>
                <w:rtl/>
              </w:rPr>
              <w:t xml:space="preserve">, </w:t>
            </w:r>
            <w:r w:rsidRPr="0075397D">
              <w:rPr>
                <w:rFonts w:hint="eastAsia"/>
                <w:rtl/>
              </w:rPr>
              <w:t>בסופו</w:t>
            </w:r>
            <w:r w:rsidRPr="0075397D">
              <w:rPr>
                <w:rtl/>
              </w:rPr>
              <w:t xml:space="preserve"> </w:t>
            </w:r>
            <w:r w:rsidRPr="0075397D">
              <w:rPr>
                <w:rFonts w:hint="eastAsia"/>
                <w:rtl/>
              </w:rPr>
              <w:t>יבוא</w:t>
            </w:r>
            <w:r w:rsidRPr="0075397D">
              <w:rPr>
                <w:rtl/>
              </w:rPr>
              <w:t>:</w:t>
            </w:r>
            <w:r w:rsidRPr="0075397D" w:rsidDel="00876B7F">
              <w:rPr>
                <w:rtl/>
              </w:rPr>
              <w:t xml:space="preserve"> </w:t>
            </w:r>
          </w:p>
        </w:tc>
      </w:tr>
      <w:tr w:rsidR="000F2455" w14:paraId="19C6643E" w14:textId="77777777" w:rsidTr="008619A0">
        <w:trPr>
          <w:cantSplit/>
        </w:trPr>
        <w:tc>
          <w:tcPr>
            <w:tcW w:w="1871" w:type="dxa"/>
          </w:tcPr>
          <w:p w14:paraId="1BB9B695" w14:textId="77777777" w:rsidR="000F2455" w:rsidRDefault="000F2455" w:rsidP="003D67DF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3E9E3D22" w14:textId="77777777" w:rsidR="000F2455" w:rsidRDefault="000F2455" w:rsidP="000F2455">
            <w:pPr>
              <w:pStyle w:val="TableText"/>
              <w:keepLines w:val="0"/>
              <w:rPr>
                <w:rtl/>
              </w:rPr>
            </w:pPr>
          </w:p>
        </w:tc>
        <w:tc>
          <w:tcPr>
            <w:tcW w:w="7143" w:type="dxa"/>
          </w:tcPr>
          <w:p w14:paraId="579C145F" w14:textId="77777777" w:rsidR="000F2455" w:rsidRDefault="000F2455" w:rsidP="008619A0">
            <w:pPr>
              <w:pStyle w:val="TableBlock"/>
            </w:pPr>
            <w:r>
              <w:rPr>
                <w:rFonts w:hint="cs"/>
                <w:rtl/>
              </w:rPr>
              <w:t>"(ה)</w:t>
            </w:r>
            <w:r>
              <w:rPr>
                <w:rtl/>
              </w:rPr>
              <w:tab/>
            </w:r>
            <w:r w:rsidRPr="0075397D">
              <w:rPr>
                <w:rFonts w:hint="eastAsia"/>
                <w:rtl/>
              </w:rPr>
              <w:t>מספר</w:t>
            </w:r>
            <w:r w:rsidRPr="0075397D">
              <w:rPr>
                <w:rtl/>
              </w:rPr>
              <w:t xml:space="preserve"> </w:t>
            </w:r>
            <w:r w:rsidRPr="0075397D">
              <w:rPr>
                <w:rFonts w:hint="eastAsia"/>
                <w:rtl/>
              </w:rPr>
              <w:t>סגני</w:t>
            </w:r>
            <w:r w:rsidRPr="0075397D">
              <w:rPr>
                <w:rtl/>
              </w:rPr>
              <w:t xml:space="preserve"> </w:t>
            </w:r>
            <w:r w:rsidRPr="0075397D">
              <w:rPr>
                <w:rFonts w:hint="eastAsia"/>
                <w:rtl/>
              </w:rPr>
              <w:t>השרים</w:t>
            </w:r>
            <w:r w:rsidRPr="0075397D">
              <w:rPr>
                <w:rtl/>
              </w:rPr>
              <w:t xml:space="preserve"> </w:t>
            </w:r>
            <w:r w:rsidRPr="0075397D">
              <w:rPr>
                <w:rFonts w:hint="eastAsia"/>
                <w:rtl/>
              </w:rPr>
              <w:t>לא</w:t>
            </w:r>
            <w:r w:rsidRPr="0075397D">
              <w:rPr>
                <w:rtl/>
              </w:rPr>
              <w:t xml:space="preserve"> </w:t>
            </w:r>
            <w:r w:rsidRPr="0075397D">
              <w:rPr>
                <w:rFonts w:hint="eastAsia"/>
                <w:rtl/>
              </w:rPr>
              <w:t>יעלה</w:t>
            </w:r>
            <w:r w:rsidRPr="0075397D">
              <w:rPr>
                <w:rtl/>
              </w:rPr>
              <w:t xml:space="preserve"> </w:t>
            </w:r>
            <w:r w:rsidRPr="0075397D">
              <w:rPr>
                <w:rFonts w:hint="eastAsia"/>
                <w:rtl/>
              </w:rPr>
              <w:t>על</w:t>
            </w:r>
            <w:r w:rsidRPr="0075397D">
              <w:rPr>
                <w:rtl/>
              </w:rPr>
              <w:t xml:space="preserve"> </w:t>
            </w:r>
            <w:r w:rsidRPr="0075397D">
              <w:rPr>
                <w:rFonts w:hint="eastAsia"/>
                <w:rtl/>
              </w:rPr>
              <w:t>ארבעה</w:t>
            </w:r>
            <w:r w:rsidRPr="0075397D">
              <w:rPr>
                <w:rtl/>
              </w:rPr>
              <w:t>."</w:t>
            </w:r>
          </w:p>
        </w:tc>
      </w:tr>
    </w:tbl>
    <w:p w14:paraId="35E2FEB7" w14:textId="77777777" w:rsidR="00BE4DE8" w:rsidRPr="000F2455" w:rsidRDefault="00BE4DE8" w:rsidP="000F2455">
      <w:pPr>
        <w:pStyle w:val="HeadDivreiHesber"/>
        <w:rPr>
          <w:rtl/>
        </w:rPr>
      </w:pPr>
      <w:r w:rsidRPr="000F2455">
        <w:rPr>
          <w:rFonts w:hint="cs"/>
          <w:rtl/>
        </w:rPr>
        <w:t>דברי הסבר</w:t>
      </w:r>
    </w:p>
    <w:p w14:paraId="605286A0" w14:textId="77777777" w:rsidR="00BE4DE8" w:rsidRPr="008619A0" w:rsidRDefault="00BE4DE8" w:rsidP="008619A0">
      <w:pPr>
        <w:pStyle w:val="Hesber"/>
        <w:rPr>
          <w:rtl/>
        </w:rPr>
      </w:pPr>
      <w:r w:rsidRPr="008619A0">
        <w:rPr>
          <w:rFonts w:hint="cs"/>
          <w:rtl/>
        </w:rPr>
        <w:t>מטרתה של הצעת חוק זו היא לבטל את הוראת החוק שמאפשרת לראש הממשלה למנות שרים ללא הגבלה בשל צרכים פוליטיים. ההצעה תחסוך</w:t>
      </w:r>
      <w:r w:rsidRPr="008619A0">
        <w:rPr>
          <w:rtl/>
        </w:rPr>
        <w:t xml:space="preserve"> מאות מיליוני שקלים לקופה הציבורית ותביא לייעול עבודת הממשלה והכנסת. </w:t>
      </w:r>
    </w:p>
    <w:p w14:paraId="5903814A" w14:textId="2A30295E" w:rsidR="00BE4DE8" w:rsidRPr="008619A0" w:rsidRDefault="00BE4DE8" w:rsidP="008619A0">
      <w:pPr>
        <w:pStyle w:val="Hesber"/>
      </w:pPr>
      <w:r w:rsidRPr="008619A0">
        <w:rPr>
          <w:rFonts w:hint="eastAsia"/>
          <w:rtl/>
        </w:rPr>
        <w:t>מצב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ריבוי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שרים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יוצר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בעיית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משילות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הבאה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לידי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ביטוי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בפגיעה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בעבודת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הממשלה</w:t>
      </w:r>
      <w:r w:rsidRPr="008619A0">
        <w:rPr>
          <w:rtl/>
        </w:rPr>
        <w:t xml:space="preserve">, </w:t>
      </w:r>
      <w:r w:rsidRPr="008619A0">
        <w:rPr>
          <w:rFonts w:hint="eastAsia"/>
          <w:rtl/>
        </w:rPr>
        <w:t>שאינה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יכולה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להתנהל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ביעילות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עם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מספר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שרים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וסגני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שרים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כה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גדול</w:t>
      </w:r>
      <w:r w:rsidRPr="008619A0">
        <w:rPr>
          <w:rtl/>
        </w:rPr>
        <w:t xml:space="preserve">, </w:t>
      </w:r>
      <w:r w:rsidRPr="008619A0">
        <w:rPr>
          <w:rFonts w:hint="eastAsia"/>
          <w:rtl/>
        </w:rPr>
        <w:t>מכבידה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על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האזרחים</w:t>
      </w:r>
      <w:r w:rsidRPr="008619A0">
        <w:rPr>
          <w:rtl/>
        </w:rPr>
        <w:t xml:space="preserve">, </w:t>
      </w:r>
      <w:r w:rsidRPr="008619A0">
        <w:rPr>
          <w:rFonts w:hint="eastAsia"/>
          <w:rtl/>
        </w:rPr>
        <w:t>יוצרת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עודף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בירוקרטיה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ורגולציה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ואינה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מסוגלת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לקבל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החלטות</w:t>
      </w:r>
      <w:r w:rsidRPr="008619A0">
        <w:rPr>
          <w:rtl/>
        </w:rPr>
        <w:t>.</w:t>
      </w:r>
    </w:p>
    <w:p w14:paraId="7683D390" w14:textId="77777777" w:rsidR="00BE4DE8" w:rsidRPr="008619A0" w:rsidRDefault="00BE4DE8" w:rsidP="008619A0">
      <w:pPr>
        <w:pStyle w:val="Hesber"/>
        <w:rPr>
          <w:rtl/>
        </w:rPr>
      </w:pPr>
      <w:r w:rsidRPr="008619A0">
        <w:rPr>
          <w:rFonts w:hint="eastAsia"/>
          <w:rtl/>
        </w:rPr>
        <w:t>כמו</w:t>
      </w:r>
      <w:r w:rsidRPr="008619A0">
        <w:rPr>
          <w:rtl/>
        </w:rPr>
        <w:t xml:space="preserve"> כן, הרחבת הממשלה רק לשם צרכים פוליטיים היא בזבוז של כספי ציבור שיכול להיות מופנה לצרכים אחרים לטובת הציבור. </w:t>
      </w:r>
    </w:p>
    <w:p w14:paraId="3A5839CB" w14:textId="14AFD6B7" w:rsidR="00BE4DE8" w:rsidRPr="008619A0" w:rsidRDefault="00BE4DE8" w:rsidP="008619A0">
      <w:pPr>
        <w:pStyle w:val="Hesber"/>
        <w:rPr>
          <w:rtl/>
        </w:rPr>
      </w:pPr>
      <w:r w:rsidRPr="008619A0">
        <w:rPr>
          <w:rFonts w:hint="eastAsia"/>
          <w:rtl/>
        </w:rPr>
        <w:t>לכן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מוצע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להגביל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את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חברי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הממשלה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ל</w:t>
      </w:r>
      <w:r w:rsidRPr="008619A0">
        <w:rPr>
          <w:rtl/>
        </w:rPr>
        <w:t xml:space="preserve">-19 </w:t>
      </w:r>
      <w:r w:rsidRPr="008619A0">
        <w:rPr>
          <w:rFonts w:hint="eastAsia"/>
          <w:rtl/>
        </w:rPr>
        <w:t>שרים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כולל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ראש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הממשלה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ועוד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ארבעה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סגני</w:t>
      </w:r>
      <w:r w:rsidRPr="008619A0">
        <w:rPr>
          <w:rtl/>
        </w:rPr>
        <w:t xml:space="preserve"> </w:t>
      </w:r>
      <w:r w:rsidRPr="008619A0">
        <w:rPr>
          <w:rFonts w:hint="eastAsia"/>
          <w:rtl/>
        </w:rPr>
        <w:t>שרים</w:t>
      </w:r>
      <w:r w:rsidRPr="008619A0">
        <w:rPr>
          <w:rtl/>
        </w:rPr>
        <w:t>.</w:t>
      </w:r>
    </w:p>
    <w:p w14:paraId="65ADEB99" w14:textId="136FD149" w:rsidR="00BE4DE8" w:rsidRPr="008619A0" w:rsidRDefault="00BE4DE8" w:rsidP="008619A0">
      <w:pPr>
        <w:pStyle w:val="Hesber"/>
        <w:rPr>
          <w:rtl/>
        </w:rPr>
      </w:pPr>
      <w:bookmarkStart w:id="6" w:name="_GoBack"/>
      <w:r w:rsidRPr="008619A0">
        <w:rPr>
          <w:rFonts w:hint="eastAsia"/>
          <w:rtl/>
        </w:rPr>
        <w:t>הצעת</w:t>
      </w:r>
      <w:r w:rsidRPr="008619A0">
        <w:rPr>
          <w:rtl/>
        </w:rPr>
        <w:t xml:space="preserve"> החוק </w:t>
      </w:r>
      <w:r w:rsidR="00AB5BF7" w:rsidRPr="008619A0">
        <w:rPr>
          <w:rFonts w:hint="cs"/>
          <w:rtl/>
        </w:rPr>
        <w:t xml:space="preserve">זהה הונחה </w:t>
      </w:r>
      <w:bookmarkEnd w:id="6"/>
      <w:r w:rsidR="00AB5BF7" w:rsidRPr="008619A0">
        <w:rPr>
          <w:rFonts w:hint="cs"/>
          <w:rtl/>
        </w:rPr>
        <w:t>על שולחן הכנסת העשרים ושלוש על ידי חבר הכנסת יאיר לפיד וקבוצת חברי הכנסת (פ/2371/23).</w:t>
      </w:r>
    </w:p>
    <w:p w14:paraId="7F6961CB" w14:textId="77777777" w:rsidR="00E13C27" w:rsidRPr="000F2455" w:rsidRDefault="00E13C27" w:rsidP="000F2455">
      <w:pPr>
        <w:pStyle w:val="Hesber"/>
        <w:rPr>
          <w:rtl/>
        </w:rPr>
      </w:pPr>
    </w:p>
    <w:p w14:paraId="0CFE4221" w14:textId="77777777" w:rsidR="00FD1E4C" w:rsidRDefault="008619A0">
      <w:pPr>
        <w:jc w:val="left"/>
      </w:pPr>
      <w:bookmarkStart w:id="7" w:name="selectedDocDateB"/>
      <w:bookmarkEnd w:id="7"/>
      <w:r>
        <w:rPr>
          <w:rFonts w:eastAsia="David" w:hint="cs"/>
          <w:sz w:val="26"/>
          <w:szCs w:val="26"/>
          <w:rtl/>
        </w:rPr>
        <w:t>--------------------------------</w:t>
      </w:r>
    </w:p>
    <w:p w14:paraId="113BA96F" w14:textId="77777777" w:rsidR="00FD1E4C" w:rsidRDefault="008619A0">
      <w:pPr>
        <w:jc w:val="left"/>
      </w:pPr>
      <w:r>
        <w:rPr>
          <w:rFonts w:eastAsia="David" w:hint="cs"/>
          <w:sz w:val="26"/>
          <w:szCs w:val="26"/>
          <w:rtl/>
        </w:rPr>
        <w:t>הוגשה ליו"ר הכנסת והסגנים</w:t>
      </w:r>
    </w:p>
    <w:p w14:paraId="38DFB8B4" w14:textId="77777777" w:rsidR="00FD1E4C" w:rsidRDefault="008619A0">
      <w:pPr>
        <w:jc w:val="left"/>
      </w:pPr>
      <w:r>
        <w:rPr>
          <w:rFonts w:eastAsia="David" w:hint="cs"/>
          <w:sz w:val="26"/>
          <w:szCs w:val="26"/>
          <w:rtl/>
        </w:rPr>
        <w:t xml:space="preserve">והונחה על </w:t>
      </w:r>
      <w:r>
        <w:rPr>
          <w:rFonts w:eastAsia="David" w:hint="cs"/>
          <w:sz w:val="26"/>
          <w:szCs w:val="26"/>
          <w:rtl/>
        </w:rPr>
        <w:t>שולחן הכנסת ביום</w:t>
      </w:r>
    </w:p>
    <w:p w14:paraId="79BD9FC3" w14:textId="77777777" w:rsidR="00FD1E4C" w:rsidRDefault="008619A0">
      <w:pPr>
        <w:jc w:val="left"/>
      </w:pPr>
      <w:r>
        <w:rPr>
          <w:rFonts w:eastAsia="David" w:hint="cs"/>
          <w:sz w:val="26"/>
          <w:szCs w:val="26"/>
          <w:rtl/>
        </w:rPr>
        <w:t xml:space="preserve">ד' בתמוז התשפ"א (14.06.2021) </w:t>
      </w:r>
    </w:p>
    <w:p w14:paraId="03DE94C7" w14:textId="77777777" w:rsidR="00FD1E4C" w:rsidRDefault="00FD1E4C">
      <w:pPr>
        <w:spacing w:line="276" w:lineRule="auto"/>
        <w:jc w:val="left"/>
      </w:pPr>
    </w:p>
    <w:sectPr w:rsidR="00FD1E4C" w:rsidSect="008619A0">
      <w:footerReference w:type="even" r:id="rId11"/>
      <w:footerReference w:type="default" r:id="rId12"/>
      <w:pgSz w:w="11907" w:h="16840" w:code="9"/>
      <w:pgMar w:top="1701" w:right="1134" w:bottom="1417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8619A0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 w:rsidP="008619A0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6B006F4B" w14:textId="77777777" w:rsidR="000F2455" w:rsidRDefault="000F2455" w:rsidP="00F83EF4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התשס"א</w:t>
      </w:r>
      <w:proofErr w:type="spellEnd"/>
      <w:r>
        <w:rPr>
          <w:rFonts w:hint="cs"/>
          <w:rtl/>
        </w:rPr>
        <w:t>, עמ' 158.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145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A1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907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128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AEA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60E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033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546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303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5A7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0F2455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19A0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B5BF7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E4DE8"/>
    <w:rsid w:val="00BF148D"/>
    <w:rsid w:val="00C23B1A"/>
    <w:rsid w:val="00C310EB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3EF4"/>
    <w:rsid w:val="00F86A1E"/>
    <w:rsid w:val="00FA5E88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4536FF19-0558-4A9F-97AB-71EFF60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A0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19A0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8619A0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8619A0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8619A0"/>
    <w:pPr>
      <w:numPr>
        <w:numId w:val="18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619A0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  <w:rsid w:val="008619A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619A0"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8619A0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8619A0"/>
    <w:rPr>
      <w:sz w:val="36"/>
      <w:szCs w:val="52"/>
    </w:rPr>
  </w:style>
  <w:style w:type="paragraph" w:customStyle="1" w:styleId="Cover3-Haknesset">
    <w:name w:val="Cover 3-Haknesset"/>
    <w:basedOn w:val="Cover1-Reshumot"/>
    <w:rsid w:val="008619A0"/>
    <w:rPr>
      <w:b/>
      <w:bCs/>
      <w:spacing w:val="60"/>
    </w:rPr>
  </w:style>
  <w:style w:type="paragraph" w:customStyle="1" w:styleId="Cover4-Date">
    <w:name w:val="Cover 4-Date"/>
    <w:basedOn w:val="a"/>
    <w:rsid w:val="008619A0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8619A0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8619A0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8619A0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8619A0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8619A0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8619A0"/>
    <w:pPr>
      <w:outlineLvl w:val="2"/>
    </w:pPr>
  </w:style>
  <w:style w:type="paragraph" w:customStyle="1" w:styleId="TableBlock">
    <w:name w:val="Table Block"/>
    <w:basedOn w:val="TableText"/>
    <w:rsid w:val="008619A0"/>
    <w:pPr>
      <w:jc w:val="both"/>
    </w:pPr>
  </w:style>
  <w:style w:type="paragraph" w:customStyle="1" w:styleId="TableHead">
    <w:name w:val="Table Head"/>
    <w:basedOn w:val="TableText"/>
    <w:rsid w:val="008619A0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8619A0"/>
    <w:pPr>
      <w:outlineLvl w:val="9"/>
    </w:pPr>
  </w:style>
  <w:style w:type="paragraph" w:customStyle="1" w:styleId="Hesber">
    <w:name w:val="Hesber"/>
    <w:basedOn w:val="a"/>
    <w:rsid w:val="008619A0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autoRedefine/>
    <w:semiHidden/>
    <w:rsid w:val="008619A0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8619A0"/>
    <w:rPr>
      <w:vertAlign w:val="superscript"/>
    </w:rPr>
  </w:style>
  <w:style w:type="paragraph" w:customStyle="1" w:styleId="HesberHeading">
    <w:name w:val="Hesber Heading"/>
    <w:basedOn w:val="Hesber"/>
    <w:rsid w:val="008619A0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8619A0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8619A0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8619A0"/>
    <w:rPr>
      <w:vertAlign w:val="superscript"/>
    </w:rPr>
  </w:style>
  <w:style w:type="paragraph" w:customStyle="1" w:styleId="TableBlockOutdent">
    <w:name w:val="Table BlockOutdent"/>
    <w:basedOn w:val="TableBlock"/>
    <w:rsid w:val="008619A0"/>
    <w:pPr>
      <w:ind w:left="624" w:hanging="624"/>
    </w:pPr>
  </w:style>
  <w:style w:type="paragraph" w:styleId="a7">
    <w:name w:val="header"/>
    <w:basedOn w:val="a"/>
    <w:rsid w:val="008619A0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8619A0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8619A0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8619A0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a">
    <w:name w:val="page number"/>
    <w:basedOn w:val="a0"/>
    <w:rsid w:val="008619A0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10">
    <w:name w:val="כותרת 1 תו"/>
    <w:basedOn w:val="a0"/>
    <w:link w:val="1"/>
    <w:uiPriority w:val="9"/>
    <w:rsid w:val="008619A0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8619A0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8619A0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8619A0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8619A0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8619A0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619A0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8619A0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8619A0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8619A0"/>
    <w:pPr>
      <w:tabs>
        <w:tab w:val="right" w:leader="dot" w:pos="9629"/>
      </w:tabs>
      <w:spacing w:after="100"/>
      <w:ind w:left="56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8619A0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8619A0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8619A0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8619A0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8619A0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8619A0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8619A0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8619A0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8619A0"/>
    <w:rPr>
      <w:rFonts w:eastAsia="Times New Roman"/>
    </w:rPr>
  </w:style>
  <w:style w:type="paragraph" w:styleId="ae">
    <w:name w:val="List Paragraph"/>
    <w:basedOn w:val="a"/>
    <w:uiPriority w:val="34"/>
    <w:qFormat/>
    <w:rsid w:val="008619A0"/>
    <w:pPr>
      <w:widowControl/>
      <w:spacing w:line="259" w:lineRule="auto"/>
    </w:pPr>
    <w:rPr>
      <w:rFonts w:asciiTheme="minorHAnsi" w:hAnsiTheme="minorHAnsi"/>
      <w:sz w:val="22"/>
    </w:rPr>
  </w:style>
  <w:style w:type="table" w:styleId="af">
    <w:name w:val="Table Grid"/>
    <w:basedOn w:val="a1"/>
    <w:rsid w:val="0086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8619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8619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0">
    <w:name w:val="טבלת חקיקה"/>
    <w:basedOn w:val="a1"/>
    <w:uiPriority w:val="99"/>
    <w:rsid w:val="008619A0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8619A0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  <w:style w:type="paragraph" w:styleId="af1">
    <w:name w:val="Revision"/>
    <w:hidden/>
    <w:uiPriority w:val="99"/>
    <w:semiHidden/>
    <w:rsid w:val="00F83EF4"/>
    <w:rPr>
      <w:rFonts w:ascii="David" w:eastAsiaTheme="minorHAnsi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13442BF316646AF5951F2A6F4E844" ma:contentTypeVersion="" ma:contentTypeDescription="צור מסמך חדש." ma:contentTypeScope="" ma:versionID="3e09f08e861ef8c9ca8a66bc33319a22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d7dd2f529bbe50785394ddfd47ca1ac1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0d5b49-c690-4c6f-bbb9-1e50dab33e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45E2B3-E2D2-47A9-9903-9B88AE437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C481D-BCEF-4793-A461-F85A6EB7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טליה דניאלה ווייס עמר</cp:lastModifiedBy>
  <cp:revision>9</cp:revision>
  <cp:lastPrinted>2021-06-06T13:11:00Z</cp:lastPrinted>
  <dcterms:created xsi:type="dcterms:W3CDTF">2015-04-20T09:58:00Z</dcterms:created>
  <dcterms:modified xsi:type="dcterms:W3CDTF">2021-06-10T05:29:00Z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0x010100ABE13442BF316646AF5951F2A6F4E844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2158962</vt:r8>
  </property>
</Properties>
</file>