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2157960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Pr="00C8403B" w:rsidRDefault="008F6665" w:rsidP="00930EFE">
      <w:pPr>
        <w:pStyle w:val="David"/>
        <w:spacing w:line="360" w:lineRule="auto"/>
        <w:ind w:left="3544"/>
        <w:rPr>
          <w:b/>
          <w:bCs/>
          <w:sz w:val="28"/>
          <w:szCs w:val="28"/>
          <w:rtl/>
        </w:rPr>
      </w:pPr>
      <w:bookmarkStart w:id="2" w:name="LGS_Initiators_List"/>
      <w:r w:rsidRPr="00C8403B">
        <w:rPr>
          <w:b/>
          <w:bCs/>
          <w:sz w:val="28"/>
          <w:szCs w:val="28"/>
          <w:rtl/>
        </w:rPr>
        <w:t>יוזמת:</w:t>
      </w:r>
      <w:r w:rsidRPr="00C8403B">
        <w:rPr>
          <w:sz w:val="28"/>
          <w:szCs w:val="28"/>
        </w:rPr>
        <w:tab/>
      </w:r>
      <w:r w:rsidRPr="00C8403B">
        <w:rPr>
          <w:b/>
          <w:bCs/>
          <w:sz w:val="28"/>
          <w:szCs w:val="28"/>
          <w:rtl/>
        </w:rPr>
        <w:t xml:space="preserve">      חברת הכנסת</w:t>
      </w:r>
      <w:bookmarkEnd w:id="2"/>
      <w:r w:rsidR="00B35784" w:rsidRPr="00C8403B">
        <w:rPr>
          <w:b/>
          <w:bCs/>
          <w:sz w:val="28"/>
          <w:szCs w:val="28"/>
        </w:rPr>
        <w:tab/>
      </w:r>
      <w:bookmarkStart w:id="3" w:name="LGS_PM_Names"/>
      <w:r w:rsidRPr="00C8403B">
        <w:rPr>
          <w:rFonts w:hint="cs"/>
          <w:b/>
          <w:bCs/>
          <w:sz w:val="28"/>
          <w:szCs w:val="28"/>
          <w:rtl/>
        </w:rPr>
        <w:t>מרב מיכאלי</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4" w:name="Private_Number"/>
      <w:r>
        <w:rPr>
          <w:rFonts w:hint="cs"/>
          <w:rtl/>
        </w:rPr>
        <w:t>פ/1354/24</w:t>
      </w:r>
      <w:bookmarkEnd w:id="4"/>
    </w:p>
    <w:p w14:paraId="6EF8F912" w14:textId="6012016D" w:rsidR="00C8403B" w:rsidRPr="00C8403B" w:rsidRDefault="00A443CF" w:rsidP="000E4DAE">
      <w:pPr>
        <w:pStyle w:val="HeadHatzaotHok"/>
        <w:rPr>
          <w:rtl/>
        </w:rPr>
      </w:pPr>
      <w:bookmarkStart w:id="5" w:name="LGS_Subject"/>
      <w:bookmarkStart w:id="6" w:name="_GoBack"/>
      <w:bookmarkEnd w:id="6"/>
      <w:r>
        <w:rPr>
          <w:rFonts w:hint="cs"/>
          <w:rtl/>
        </w:rPr>
        <w:t xml:space="preserve">הצעת חוק איסור הפליה במוצרים, בשירותים ובכניסה למקומות בידור ולמקומות ציבוריים (תיקון </w:t>
      </w:r>
      <w:r w:rsidR="000E4DAE">
        <w:rPr>
          <w:rFonts w:hint="eastAsia"/>
          <w:rtl/>
        </w:rPr>
        <w:t>–</w:t>
      </w:r>
      <w:r>
        <w:rPr>
          <w:rFonts w:hint="cs"/>
          <w:rtl/>
        </w:rPr>
        <w:t xml:space="preserve"> הגדלת סכום הפיצוי בלא הוכחת נזק), התשפ"א</w:t>
      </w:r>
      <w:bookmarkEnd w:id="5"/>
      <w:r w:rsidR="000E4DAE">
        <w:rPr>
          <w:rFonts w:hint="eastAsia"/>
          <w:rtl/>
        </w:rPr>
        <w:t>–</w:t>
      </w:r>
      <w:r w:rsidR="00C8403B">
        <w:rPr>
          <w:rFonts w:hint="cs"/>
          <w:rtl/>
        </w:rPr>
        <w:t>2021</w:t>
      </w:r>
    </w:p>
    <w:tbl>
      <w:tblPr>
        <w:bidiVisual/>
        <w:tblW w:w="0"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C8403B" w:rsidRPr="00C8403B" w14:paraId="69EAEC3B" w14:textId="77777777" w:rsidTr="00B14AC9">
        <w:trPr>
          <w:cantSplit/>
        </w:trPr>
        <w:tc>
          <w:tcPr>
            <w:tcW w:w="1871" w:type="dxa"/>
            <w:hideMark/>
          </w:tcPr>
          <w:p w14:paraId="60780C64" w14:textId="77777777" w:rsidR="00C8403B" w:rsidRPr="00C8403B" w:rsidRDefault="00C8403B" w:rsidP="00C8403B">
            <w:pPr>
              <w:tabs>
                <w:tab w:val="left" w:pos="624"/>
                <w:tab w:val="left" w:pos="1247"/>
              </w:tabs>
              <w:snapToGrid w:val="0"/>
              <w:spacing w:before="0" w:line="360" w:lineRule="auto"/>
              <w:ind w:right="57" w:firstLine="0"/>
              <w:jc w:val="left"/>
              <w:rPr>
                <w:rFonts w:ascii="Arial" w:eastAsia="Arial Unicode MS" w:hAnsi="Arial" w:cs="David"/>
                <w:spacing w:val="0"/>
                <w:sz w:val="20"/>
                <w:szCs w:val="26"/>
              </w:rPr>
            </w:pPr>
            <w:r w:rsidRPr="00C8403B">
              <w:rPr>
                <w:rFonts w:ascii="Arial" w:eastAsia="Arial Unicode MS" w:hAnsi="Arial" w:cs="David"/>
                <w:spacing w:val="0"/>
                <w:sz w:val="20"/>
                <w:szCs w:val="26"/>
                <w:rtl/>
              </w:rPr>
              <w:t>תיקון סעיף 5</w:t>
            </w:r>
          </w:p>
        </w:tc>
        <w:tc>
          <w:tcPr>
            <w:tcW w:w="624" w:type="dxa"/>
            <w:hideMark/>
          </w:tcPr>
          <w:p w14:paraId="7880450C" w14:textId="77777777" w:rsidR="00C8403B" w:rsidRPr="00C8403B" w:rsidRDefault="00C8403B" w:rsidP="00C8403B">
            <w:pPr>
              <w:tabs>
                <w:tab w:val="left" w:pos="624"/>
                <w:tab w:val="left" w:pos="1247"/>
              </w:tabs>
              <w:snapToGrid w:val="0"/>
              <w:spacing w:before="0" w:line="360" w:lineRule="auto"/>
              <w:ind w:right="57" w:firstLine="0"/>
              <w:jc w:val="left"/>
              <w:rPr>
                <w:rFonts w:ascii="Arial" w:eastAsia="Arial Unicode MS" w:hAnsi="Arial" w:cs="David"/>
                <w:spacing w:val="0"/>
                <w:sz w:val="20"/>
                <w:szCs w:val="26"/>
              </w:rPr>
            </w:pPr>
            <w:r w:rsidRPr="00C8403B">
              <w:rPr>
                <w:rFonts w:ascii="Arial" w:eastAsia="Arial Unicode MS" w:hAnsi="Arial" w:cs="David"/>
                <w:spacing w:val="0"/>
                <w:sz w:val="20"/>
                <w:szCs w:val="26"/>
                <w:rtl/>
              </w:rPr>
              <w:t>1.</w:t>
            </w:r>
          </w:p>
        </w:tc>
        <w:tc>
          <w:tcPr>
            <w:tcW w:w="7146" w:type="dxa"/>
            <w:hideMark/>
          </w:tcPr>
          <w:p w14:paraId="6BE5CCB3" w14:textId="77777777" w:rsidR="00C8403B" w:rsidRPr="00C8403B" w:rsidRDefault="00C8403B" w:rsidP="00C8403B">
            <w:pPr>
              <w:keepLines/>
              <w:tabs>
                <w:tab w:val="left" w:pos="624"/>
                <w:tab w:val="left" w:pos="1247"/>
              </w:tabs>
              <w:snapToGrid w:val="0"/>
              <w:spacing w:before="0" w:line="360" w:lineRule="auto"/>
              <w:ind w:firstLine="0"/>
              <w:rPr>
                <w:rFonts w:ascii="Arial" w:eastAsia="Arial Unicode MS" w:hAnsi="Arial" w:cs="David"/>
                <w:b/>
                <w:bCs/>
                <w:spacing w:val="0"/>
                <w:sz w:val="20"/>
                <w:szCs w:val="26"/>
              </w:rPr>
            </w:pPr>
            <w:r w:rsidRPr="00C8403B">
              <w:rPr>
                <w:rFonts w:ascii="Arial" w:eastAsia="Arial Unicode MS" w:hAnsi="Arial" w:cs="David"/>
                <w:spacing w:val="0"/>
                <w:sz w:val="20"/>
                <w:szCs w:val="26"/>
                <w:rtl/>
              </w:rPr>
              <w:t>בחוק איסור הפליה במוצרים, בשירותים ובכניסה למקומות בידור ולמקומות</w:t>
            </w:r>
            <w:r w:rsidRPr="00C8403B">
              <w:rPr>
                <w:rFonts w:ascii="Arial" w:eastAsia="Arial Unicode MS" w:hAnsi="Arial" w:cs="David"/>
                <w:b/>
                <w:bCs/>
                <w:spacing w:val="0"/>
                <w:sz w:val="20"/>
                <w:szCs w:val="26"/>
                <w:rtl/>
              </w:rPr>
              <w:t xml:space="preserve"> </w:t>
            </w:r>
            <w:r w:rsidRPr="00C8403B">
              <w:rPr>
                <w:rFonts w:ascii="Arial" w:eastAsia="Arial Unicode MS" w:hAnsi="Arial" w:cs="David"/>
                <w:spacing w:val="0"/>
                <w:sz w:val="20"/>
                <w:szCs w:val="26"/>
                <w:rtl/>
              </w:rPr>
              <w:t>ציבוריים, התשס"א–2000</w:t>
            </w:r>
            <w:r w:rsidRPr="00C8403B">
              <w:rPr>
                <w:rFonts w:ascii="Times New Roman" w:eastAsia="Arial Unicode MS" w:hAnsi="Times New Roman" w:cs="Times New Roman"/>
                <w:spacing w:val="0"/>
                <w:sz w:val="20"/>
                <w:szCs w:val="26"/>
                <w:rtl/>
              </w:rPr>
              <w:t>‏</w:t>
            </w:r>
            <w:r w:rsidRPr="00C8403B">
              <w:rPr>
                <w:rFonts w:ascii="Arial" w:eastAsia="Arial Unicode MS" w:hAnsi="Arial" w:cs="David"/>
                <w:spacing w:val="0"/>
                <w:sz w:val="20"/>
                <w:szCs w:val="26"/>
                <w:vertAlign w:val="superscript"/>
                <w:rtl/>
              </w:rPr>
              <w:footnoteReference w:id="2"/>
            </w:r>
            <w:r w:rsidRPr="00C8403B">
              <w:rPr>
                <w:rFonts w:ascii="Arial" w:eastAsia="Arial Unicode MS" w:hAnsi="Arial" w:cs="David"/>
                <w:spacing w:val="0"/>
                <w:sz w:val="20"/>
                <w:szCs w:val="26"/>
                <w:rtl/>
              </w:rPr>
              <w:t>, בסעיף 5(ב), במקום הסכום הנקוב בו יבוא "120,000".</w:t>
            </w:r>
          </w:p>
        </w:tc>
      </w:tr>
    </w:tbl>
    <w:p w14:paraId="7475815A" w14:textId="77777777" w:rsidR="00C8403B" w:rsidRPr="00C8403B" w:rsidRDefault="00C8403B" w:rsidP="00C8403B">
      <w:pPr>
        <w:snapToGrid w:val="0"/>
        <w:spacing w:before="360" w:after="120" w:line="360" w:lineRule="auto"/>
        <w:ind w:firstLine="0"/>
        <w:jc w:val="center"/>
        <w:rPr>
          <w:rFonts w:ascii="Arial" w:eastAsia="Arial Unicode MS" w:hAnsi="Arial" w:cs="David"/>
          <w:b/>
          <w:spacing w:val="40"/>
          <w:sz w:val="20"/>
          <w:szCs w:val="26"/>
          <w:rtl/>
        </w:rPr>
      </w:pPr>
      <w:r w:rsidRPr="00C8403B">
        <w:rPr>
          <w:rFonts w:ascii="Arial" w:eastAsia="Arial Unicode MS" w:hAnsi="Arial" w:cs="David"/>
          <w:b/>
          <w:spacing w:val="40"/>
          <w:sz w:val="20"/>
          <w:szCs w:val="26"/>
          <w:rtl/>
        </w:rPr>
        <w:t>דברי הסבר</w:t>
      </w:r>
    </w:p>
    <w:p w14:paraId="5AF04571" w14:textId="77777777" w:rsidR="00C8403B" w:rsidRPr="00C8403B" w:rsidRDefault="00C8403B" w:rsidP="00C8403B">
      <w:pPr>
        <w:snapToGrid w:val="0"/>
        <w:spacing w:before="0" w:line="360" w:lineRule="auto"/>
        <w:rPr>
          <w:rFonts w:ascii="Arial" w:eastAsia="Arial Unicode MS" w:hAnsi="Arial" w:cs="David"/>
          <w:spacing w:val="0"/>
          <w:sz w:val="20"/>
          <w:szCs w:val="26"/>
        </w:rPr>
      </w:pPr>
      <w:r w:rsidRPr="00C8403B">
        <w:rPr>
          <w:rFonts w:ascii="Arial" w:eastAsia="Arial Unicode MS" w:hAnsi="Arial" w:cs="David"/>
          <w:spacing w:val="0"/>
          <w:sz w:val="20"/>
          <w:szCs w:val="26"/>
          <w:rtl/>
        </w:rPr>
        <w:t xml:space="preserve">חוק איסור הפליה במוצרים, בשירותים ובכניסה למקומות בידור ולמקומות ציבוריים, התשס"א–2000 (להלן – החוק), קובע שהפליה בהספקת מוצרים ושירותים ובכניסה למקומות בידור ולמקומות ציבוריים היא עוולה אזרחית שאפשר להגיש בשלה תביעה אזרחית. סעיף 5(ב) לחוק מסמיך את בית המשפט לפסוק פיצויים ללא הוכחת נזק עד סכום של 50 אלף שקלים חדשים בשל הפליה כאמור. בבסיס האפשרות לפסוק פיצויים ללא הוכחת נזק עומדים כמה טעמים, ביניהם הכרה בכך שעצם ההפליה פוגעת בכבוד, בביטחון העצמי ובשוויון, וכן הכרה בקושי להוכיח ולכמת את הנזקים הטבועים בהפליה. </w:t>
      </w:r>
    </w:p>
    <w:p w14:paraId="4EA4E1AF" w14:textId="77777777" w:rsidR="00C8403B" w:rsidRPr="00C8403B" w:rsidRDefault="00C8403B" w:rsidP="00C8403B">
      <w:pPr>
        <w:snapToGrid w:val="0"/>
        <w:spacing w:before="0" w:line="360" w:lineRule="auto"/>
        <w:rPr>
          <w:rFonts w:ascii="Arial" w:eastAsia="Arial Unicode MS" w:hAnsi="Arial" w:cs="David"/>
          <w:spacing w:val="0"/>
          <w:sz w:val="20"/>
          <w:szCs w:val="26"/>
          <w:rtl/>
        </w:rPr>
      </w:pPr>
      <w:r w:rsidRPr="00C8403B">
        <w:rPr>
          <w:rFonts w:ascii="Arial" w:eastAsia="Arial Unicode MS" w:hAnsi="Arial" w:cs="David"/>
          <w:spacing w:val="0"/>
          <w:sz w:val="20"/>
          <w:szCs w:val="26"/>
          <w:rtl/>
        </w:rPr>
        <w:t xml:space="preserve">תיקון זה מוצע בהמשך לתיקוני חקיקה דומים, בעיקרם משנת 2013, דוגמת התיקון משנת 2013 שנערך בחוק למניעת הטרדה מינית, התשנ"ח–1998, במסגרתו הועלה הסכום המרבי של הפיצוי ללא הוכחת נזק שבית המשפט רשאי לפסוק במקרה של הטרדה מינית ל-120,000 שקלים חדשים. תיקון רלוונטי נוסף לעניין זה הוא תיקון שנערך בשנת 2013 בחוק שוויון ההזדמנויות בעבודה, התשמ"ח–1988, המעלה אף הוא את הפיצוי מכוח עילות מסוימות הקבועות באותו חוק ל-120,000 שקלים חדשים. לתיקון זה רציונל זהה לתיקון המוצע, כיוון ששניהם עוסקים בהפליה. </w:t>
      </w:r>
    </w:p>
    <w:p w14:paraId="2672C40D" w14:textId="77777777" w:rsidR="00C8403B" w:rsidRPr="00C8403B" w:rsidRDefault="00C8403B" w:rsidP="00C8403B">
      <w:pPr>
        <w:snapToGrid w:val="0"/>
        <w:spacing w:before="0" w:line="360" w:lineRule="auto"/>
        <w:rPr>
          <w:rFonts w:ascii="Arial" w:eastAsia="Arial Unicode MS" w:hAnsi="Arial" w:cs="David"/>
          <w:spacing w:val="0"/>
          <w:sz w:val="20"/>
          <w:szCs w:val="26"/>
          <w:rtl/>
        </w:rPr>
      </w:pPr>
      <w:r w:rsidRPr="00C8403B">
        <w:rPr>
          <w:rFonts w:ascii="Arial" w:eastAsia="Arial Unicode MS" w:hAnsi="Arial" w:cs="David"/>
          <w:spacing w:val="0"/>
          <w:sz w:val="20"/>
          <w:szCs w:val="26"/>
          <w:rtl/>
        </w:rPr>
        <w:t>בהמשך לתיקונים אלה, ובשל הרציונלים הזהים שעומדים בבסיסם, מוצע להעלות את סכום הפיצוי ללא הוכחת נזק שבית המשפט רשאי לפסוק לפי החוק, מ-50,000 שקלים חדשים ל-120,000 שקלים חדשים. שינוי זה מתבקש גם לאור העובדה שסכום של 50,000 שקלים חדשים הוא נמוך, ובהתחשב בזמן הארוך הנדרש לניהול הליך משפטי, בעלות הכספית שלו ובקושי הנפשי הכרוך בניהולו –  הגשת התביעה הופכת להיות חסרת כדאיות כלכלית.</w:t>
      </w:r>
    </w:p>
    <w:p w14:paraId="1BD7F985" w14:textId="422965B7" w:rsidR="00C8403B" w:rsidRDefault="00C8403B" w:rsidP="000E4DAE">
      <w:pPr>
        <w:snapToGrid w:val="0"/>
        <w:spacing w:before="0" w:line="360" w:lineRule="auto"/>
        <w:rPr>
          <w:rFonts w:ascii="Arial" w:eastAsia="Arial Unicode MS" w:hAnsi="Arial" w:cs="David"/>
          <w:spacing w:val="0"/>
          <w:sz w:val="20"/>
          <w:szCs w:val="26"/>
          <w:rtl/>
        </w:rPr>
      </w:pPr>
      <w:r w:rsidRPr="00C8403B">
        <w:rPr>
          <w:rFonts w:ascii="Arial" w:eastAsia="Arial Unicode MS" w:hAnsi="Arial" w:cs="David"/>
          <w:spacing w:val="0"/>
          <w:sz w:val="20"/>
          <w:szCs w:val="26"/>
          <w:rtl/>
        </w:rPr>
        <w:t xml:space="preserve">הצעות חוק זהות הונחו על שולחן הכנסת התשע-עשרה על ידי חברת הכנסת פנינה תמנו-שטה וקבוצת חברי הכנסת (פ/2032/19), על שולחן הכנסת העשרים על ידי חברת הכנסת מרב מיכאלי (פ/390/20), על ידי חברת הכנסת קארין אלהרר וקבוצת חברי הכנסת (פ/2247/20; הוסרה מסדר היום </w:t>
      </w:r>
      <w:r w:rsidRPr="00C8403B">
        <w:rPr>
          <w:rFonts w:ascii="Arial" w:eastAsia="Arial Unicode MS" w:hAnsi="Arial" w:cs="David"/>
          <w:spacing w:val="0"/>
          <w:sz w:val="20"/>
          <w:szCs w:val="26"/>
          <w:rtl/>
        </w:rPr>
        <w:lastRenderedPageBreak/>
        <w:t xml:space="preserve">ביום כ"ב באדר א' התשע"ו (2 במרס 2016)) ועל ידי חברת הכנסת פנינה תמנו וקבוצת חברי הכנסת (פ/5235/20), על שולחן הכנסת העשרים ושתיים על ידי חברת הכנסת מרב מיכאלי (פ/1361/22), ועל שולחן הכנסת העשרים ושלוש </w:t>
      </w:r>
      <w:r w:rsidRPr="002456CC">
        <w:rPr>
          <w:rFonts w:ascii="Arial" w:eastAsia="Arial Unicode MS" w:hAnsi="Arial" w:cs="David"/>
          <w:spacing w:val="0"/>
          <w:sz w:val="20"/>
          <w:szCs w:val="26"/>
          <w:rtl/>
        </w:rPr>
        <w:t xml:space="preserve">על ידי </w:t>
      </w:r>
      <w:r w:rsidR="000E4DAE" w:rsidRPr="002456CC">
        <w:rPr>
          <w:rFonts w:ascii="Arial" w:eastAsia="Arial Unicode MS" w:hAnsi="Arial" w:cs="David" w:hint="cs"/>
          <w:spacing w:val="0"/>
          <w:sz w:val="20"/>
          <w:szCs w:val="26"/>
          <w:rtl/>
        </w:rPr>
        <w:t xml:space="preserve">חברת הכנסת מיכל שיר סגמן (פ/1/23) ועל ידי </w:t>
      </w:r>
      <w:r w:rsidRPr="002456CC">
        <w:rPr>
          <w:rFonts w:ascii="Arial" w:eastAsia="Arial Unicode MS" w:hAnsi="Arial" w:cs="David"/>
          <w:spacing w:val="0"/>
          <w:sz w:val="20"/>
          <w:szCs w:val="26"/>
          <w:rtl/>
        </w:rPr>
        <w:t>ח</w:t>
      </w:r>
      <w:r w:rsidR="000E4DAE" w:rsidRPr="002456CC">
        <w:rPr>
          <w:rFonts w:ascii="Arial" w:eastAsia="Arial Unicode MS" w:hAnsi="Arial" w:cs="David"/>
          <w:spacing w:val="0"/>
          <w:sz w:val="20"/>
          <w:szCs w:val="26"/>
          <w:rtl/>
        </w:rPr>
        <w:t>ברת</w:t>
      </w:r>
      <w:r w:rsidR="000E4DAE">
        <w:rPr>
          <w:rFonts w:ascii="Arial" w:eastAsia="Arial Unicode MS" w:hAnsi="Arial" w:cs="David"/>
          <w:spacing w:val="0"/>
          <w:sz w:val="20"/>
          <w:szCs w:val="26"/>
          <w:rtl/>
        </w:rPr>
        <w:t xml:space="preserve"> הכנסת מרב מיכאלי (פ/354/23)</w:t>
      </w:r>
      <w:r w:rsidR="000E4DAE">
        <w:rPr>
          <w:rFonts w:ascii="Arial" w:eastAsia="Arial Unicode MS" w:hAnsi="Arial" w:cs="David" w:hint="cs"/>
          <w:spacing w:val="0"/>
          <w:sz w:val="20"/>
          <w:szCs w:val="26"/>
          <w:rtl/>
        </w:rPr>
        <w:t>.</w:t>
      </w:r>
    </w:p>
    <w:p w14:paraId="7117A677" w14:textId="44869DF8" w:rsidR="000E4DAE" w:rsidRPr="00C8403B" w:rsidRDefault="000E4DAE" w:rsidP="000E4DAE">
      <w:pPr>
        <w:snapToGrid w:val="0"/>
        <w:spacing w:before="0" w:line="360" w:lineRule="auto"/>
        <w:rPr>
          <w:rFonts w:ascii="Arial" w:eastAsia="Arial Unicode MS" w:hAnsi="Arial" w:cs="David"/>
          <w:spacing w:val="0"/>
          <w:sz w:val="20"/>
          <w:szCs w:val="26"/>
          <w:rtl/>
        </w:rPr>
      </w:pPr>
      <w:r>
        <w:rPr>
          <w:rFonts w:ascii="Arial" w:eastAsia="Arial Unicode MS" w:hAnsi="Arial" w:cs="David" w:hint="cs"/>
          <w:spacing w:val="0"/>
          <w:sz w:val="20"/>
          <w:szCs w:val="26"/>
          <w:rtl/>
        </w:rPr>
        <w:t>הצעת החוק זהה לפ/354/23 ולפיכך לא נבדקה מחדש על ידי הלשכה המשפטית של הכנסת.</w:t>
      </w:r>
    </w:p>
    <w:p w14:paraId="478C3224" w14:textId="77777777" w:rsidR="00C8403B" w:rsidRPr="00C8403B" w:rsidRDefault="00C8403B" w:rsidP="00C8403B">
      <w:pPr>
        <w:snapToGrid w:val="0"/>
        <w:spacing w:before="0" w:line="360" w:lineRule="auto"/>
        <w:rPr>
          <w:rFonts w:ascii="Arial" w:eastAsia="Arial Unicode MS" w:hAnsi="Arial" w:cs="David"/>
          <w:spacing w:val="0"/>
          <w:sz w:val="20"/>
          <w:szCs w:val="26"/>
          <w:rtl/>
        </w:rPr>
      </w:pPr>
    </w:p>
    <w:p w14:paraId="7F6961CB" w14:textId="77777777" w:rsidR="00E13C27" w:rsidRDefault="00E13C27" w:rsidP="00E13C27">
      <w:pPr>
        <w:pStyle w:val="Hesber"/>
        <w:rPr>
          <w:rtl/>
        </w:rPr>
      </w:pPr>
    </w:p>
    <w:p w14:paraId="527945A5" w14:textId="77777777" w:rsidR="00DB0D16" w:rsidRDefault="00E83AE1">
      <w:pPr>
        <w:spacing w:before="0" w:line="360" w:lineRule="auto"/>
        <w:jc w:val="left"/>
      </w:pPr>
      <w:bookmarkStart w:id="7" w:name="selectedDocDateB"/>
      <w:bookmarkEnd w:id="7"/>
      <w:r>
        <w:rPr>
          <w:rFonts w:ascii="David" w:eastAsia="David" w:hAnsi="David" w:cs="David" w:hint="cs"/>
          <w:sz w:val="26"/>
          <w:szCs w:val="26"/>
          <w:rtl/>
        </w:rPr>
        <w:t>--------------------------------</w:t>
      </w:r>
    </w:p>
    <w:p w14:paraId="11719C9E" w14:textId="77777777" w:rsidR="00DB0D16" w:rsidRDefault="00E83AE1">
      <w:pPr>
        <w:spacing w:before="0" w:line="360" w:lineRule="auto"/>
        <w:jc w:val="left"/>
      </w:pPr>
      <w:r>
        <w:rPr>
          <w:rFonts w:ascii="David" w:eastAsia="David" w:hAnsi="David" w:cs="David" w:hint="cs"/>
          <w:sz w:val="26"/>
          <w:szCs w:val="26"/>
          <w:rtl/>
        </w:rPr>
        <w:t>הוגשה ליו"ר הכנסת והסגנים</w:t>
      </w:r>
    </w:p>
    <w:p w14:paraId="4E920C6D" w14:textId="77777777" w:rsidR="00DB0D16" w:rsidRDefault="00E83AE1">
      <w:pPr>
        <w:spacing w:before="0" w:line="360" w:lineRule="auto"/>
        <w:jc w:val="left"/>
      </w:pPr>
      <w:r>
        <w:rPr>
          <w:rFonts w:ascii="David" w:eastAsia="David" w:hAnsi="David" w:cs="David" w:hint="cs"/>
          <w:sz w:val="26"/>
          <w:szCs w:val="26"/>
          <w:rtl/>
        </w:rPr>
        <w:t>והונחה על שולחן הכנסת ביום</w:t>
      </w:r>
    </w:p>
    <w:p w14:paraId="53F37FD2" w14:textId="77777777" w:rsidR="00DB0D16" w:rsidRDefault="00E83AE1">
      <w:pPr>
        <w:spacing w:before="0" w:line="360" w:lineRule="auto"/>
        <w:jc w:val="left"/>
      </w:pPr>
      <w:r>
        <w:rPr>
          <w:rFonts w:ascii="David" w:eastAsia="David" w:hAnsi="David" w:cs="David" w:hint="cs"/>
          <w:sz w:val="26"/>
          <w:szCs w:val="26"/>
          <w:rtl/>
        </w:rPr>
        <w:t xml:space="preserve">כ' בסיוון התשפ"א (31.05.2021) </w:t>
      </w:r>
    </w:p>
    <w:p w14:paraId="2DE20226" w14:textId="77777777" w:rsidR="00DB0D16" w:rsidRDefault="00DB0D16">
      <w:pPr>
        <w:spacing w:before="0" w:line="276" w:lineRule="auto"/>
        <w:jc w:val="left"/>
      </w:pPr>
    </w:p>
    <w:sectPr w:rsidR="00DB0D16"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20F9B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83AE1">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86C6C36" w14:textId="77777777" w:rsidR="00C8403B" w:rsidRDefault="00C8403B" w:rsidP="00C8403B">
      <w:pPr>
        <w:pStyle w:val="a4"/>
      </w:pPr>
      <w:r>
        <w:rPr>
          <w:rStyle w:val="a6"/>
        </w:rPr>
        <w:footnoteRef/>
      </w:r>
      <w:r>
        <w:rPr>
          <w:rtl/>
        </w:rPr>
        <w:t xml:space="preserve"> ס"ח התשס"א, עמ'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E4DA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56CC"/>
    <w:rsid w:val="00246756"/>
    <w:rsid w:val="00251E58"/>
    <w:rsid w:val="00254605"/>
    <w:rsid w:val="00266D86"/>
    <w:rsid w:val="002728B4"/>
    <w:rsid w:val="0027600C"/>
    <w:rsid w:val="00292712"/>
    <w:rsid w:val="002A4137"/>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8403B"/>
    <w:rsid w:val="00C9176A"/>
    <w:rsid w:val="00CF1AA2"/>
    <w:rsid w:val="00D142D3"/>
    <w:rsid w:val="00D17774"/>
    <w:rsid w:val="00D63620"/>
    <w:rsid w:val="00D8410D"/>
    <w:rsid w:val="00D867D7"/>
    <w:rsid w:val="00DB0D16"/>
    <w:rsid w:val="00DB7060"/>
    <w:rsid w:val="00DE3153"/>
    <w:rsid w:val="00E06736"/>
    <w:rsid w:val="00E13C27"/>
    <w:rsid w:val="00E33BBD"/>
    <w:rsid w:val="00E374F2"/>
    <w:rsid w:val="00E45103"/>
    <w:rsid w:val="00E55A60"/>
    <w:rsid w:val="00E62778"/>
    <w:rsid w:val="00E635A2"/>
    <w:rsid w:val="00E63D38"/>
    <w:rsid w:val="00E665B9"/>
    <w:rsid w:val="00E83AE1"/>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968B620-54B0-4DF2-8B68-76CD46BF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locked/>
    <w:rsid w:val="00C8403B"/>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8BAAF88-3BC0-4F92-B889-106F97695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1E89C-E27A-4B25-A360-936C0212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388</Words>
  <Characters>2212</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cp:lastModifiedBy>
  <cp:revision>8</cp:revision>
  <cp:lastPrinted>2013-07-04T08:25:00Z</cp:lastPrinted>
  <dcterms:created xsi:type="dcterms:W3CDTF">2015-04-20T09:58:00Z</dcterms:created>
  <dcterms:modified xsi:type="dcterms:W3CDTF">2021-05-26T06:20:00Z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2157960</vt:r8>
  </property>
</Properties>
</file>