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2157983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מרב מיכאלי</w:t>
      </w:r>
      <w:bookmarkEnd w:id="3"/>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B96B996" w:rsidR="00E13C27" w:rsidRPr="00E06736" w:rsidRDefault="00904591" w:rsidP="00EE2642">
      <w:pPr>
        <w:pStyle w:val="David"/>
        <w:spacing w:line="240" w:lineRule="auto"/>
        <w:ind w:left="6424" w:firstLine="56"/>
        <w:rPr>
          <w:rtl/>
        </w:rPr>
      </w:pPr>
      <w:bookmarkStart w:id="4" w:name="Private_Number"/>
      <w:r>
        <w:rPr>
          <w:rFonts w:hint="cs"/>
          <w:rtl/>
        </w:rPr>
        <w:t>פ/1296/24</w:t>
      </w:r>
      <w:bookmarkEnd w:id="4"/>
    </w:p>
    <w:p w14:paraId="7F6961AD" w14:textId="77777777" w:rsidR="00E13C27" w:rsidRPr="00F67051" w:rsidRDefault="00A443CF" w:rsidP="0021633A">
      <w:pPr>
        <w:pStyle w:val="HeadHatzaotHok"/>
        <w:rPr>
          <w:rtl/>
        </w:rPr>
      </w:pPr>
      <w:bookmarkStart w:id="5" w:name="LGS_Subject"/>
      <w:r>
        <w:rPr>
          <w:rFonts w:hint="cs"/>
          <w:rtl/>
        </w:rPr>
        <w:t>הצעת חוק הפיקוח על שירותים פיננסיים (קופות גמל) (תיקון – הגבלת דמי ניהול לעמית שסיים את עבודתו), התשפ"א–2021</w:t>
      </w:r>
      <w:bookmarkEnd w:id="5"/>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927ABF" w:rsidRPr="00927ABF" w14:paraId="72004CAA" w14:textId="77777777" w:rsidTr="00EE2642">
        <w:trPr>
          <w:cantSplit/>
        </w:trPr>
        <w:tc>
          <w:tcPr>
            <w:tcW w:w="1871" w:type="dxa"/>
            <w:hideMark/>
          </w:tcPr>
          <w:p w14:paraId="05295D00" w14:textId="77777777" w:rsidR="00927ABF" w:rsidRPr="00EE2642" w:rsidRDefault="00927ABF" w:rsidP="00EE2642">
            <w:pPr>
              <w:pStyle w:val="TableSideHeading"/>
              <w:outlineLvl w:val="9"/>
            </w:pPr>
            <w:r w:rsidRPr="00EE2642">
              <w:rPr>
                <w:rtl/>
              </w:rPr>
              <w:t>תיקון סעיף 32</w:t>
            </w:r>
          </w:p>
        </w:tc>
        <w:tc>
          <w:tcPr>
            <w:tcW w:w="624" w:type="dxa"/>
          </w:tcPr>
          <w:p w14:paraId="1EE18612" w14:textId="6C6A9E84" w:rsidR="00927ABF" w:rsidRPr="00EE2642" w:rsidRDefault="00EE2642" w:rsidP="00EE2642">
            <w:pPr>
              <w:pStyle w:val="TableText"/>
              <w:jc w:val="both"/>
            </w:pPr>
            <w:r w:rsidRPr="00EE2642">
              <w:rPr>
                <w:rFonts w:hint="cs"/>
                <w:rtl/>
              </w:rPr>
              <w:t>1.</w:t>
            </w:r>
          </w:p>
        </w:tc>
        <w:tc>
          <w:tcPr>
            <w:tcW w:w="7143" w:type="dxa"/>
            <w:hideMark/>
          </w:tcPr>
          <w:p w14:paraId="4CE11570" w14:textId="77777777" w:rsidR="00927ABF" w:rsidRPr="00EE2642" w:rsidRDefault="00927ABF" w:rsidP="00EE2642">
            <w:pPr>
              <w:pStyle w:val="TableBlock"/>
            </w:pPr>
            <w:r w:rsidRPr="00EE2642">
              <w:rPr>
                <w:rtl/>
              </w:rPr>
              <w:t>בחוק הפיקוח על שירותים פיננסיים (קופות גמל), התשס"ה–2005</w:t>
            </w:r>
            <w:r w:rsidRPr="00EE2642">
              <w:rPr>
                <w:rFonts w:ascii="David" w:hAnsi="David"/>
                <w:sz w:val="26"/>
                <w:vertAlign w:val="superscript"/>
                <w:rtl/>
              </w:rPr>
              <w:footnoteReference w:id="2"/>
            </w:r>
            <w:r w:rsidRPr="00EE2642">
              <w:rPr>
                <w:rtl/>
              </w:rPr>
              <w:t>, בסעיף 32(ב), בסופו יבוא "ובלבד שדמי הניהול בקרן חדשה מקיפה לעמית שסיים את עבודתו לא יעלו על שיעור דמי הניהול שהעמית ישלם בחודש שלפני סיום העבודה, במשך 12 חודשים מיום סיום העבודה או 3 חודשים לאחר יום תחילת עבודתו החדשה, לפי המוקדם."</w:t>
            </w:r>
          </w:p>
        </w:tc>
      </w:tr>
    </w:tbl>
    <w:p w14:paraId="108A13F1" w14:textId="77777777" w:rsidR="00927ABF" w:rsidRPr="00927ABF" w:rsidRDefault="00927ABF" w:rsidP="00927ABF">
      <w:pPr>
        <w:snapToGrid w:val="0"/>
        <w:jc w:val="center"/>
        <w:rPr>
          <w:rFonts w:ascii="Arial" w:eastAsia="Arial Unicode MS" w:hAnsi="Arial"/>
          <w:b/>
          <w:spacing w:val="40"/>
          <w:sz w:val="20"/>
          <w:szCs w:val="26"/>
          <w:rtl/>
        </w:rPr>
      </w:pPr>
    </w:p>
    <w:p w14:paraId="1C2BB389" w14:textId="77777777" w:rsidR="00927ABF" w:rsidRPr="00927ABF" w:rsidRDefault="00927ABF" w:rsidP="00927ABF">
      <w:pPr>
        <w:snapToGrid w:val="0"/>
        <w:spacing w:before="360" w:after="120"/>
        <w:jc w:val="center"/>
        <w:rPr>
          <w:rFonts w:ascii="Arial" w:eastAsia="Arial Unicode MS" w:hAnsi="Arial"/>
          <w:b/>
          <w:spacing w:val="40"/>
          <w:sz w:val="20"/>
          <w:szCs w:val="26"/>
          <w:rtl/>
        </w:rPr>
      </w:pPr>
      <w:r w:rsidRPr="00927ABF">
        <w:rPr>
          <w:rFonts w:ascii="Arial" w:eastAsia="Arial Unicode MS" w:hAnsi="Arial"/>
          <w:b/>
          <w:spacing w:val="40"/>
          <w:sz w:val="20"/>
          <w:szCs w:val="26"/>
          <w:rtl/>
        </w:rPr>
        <w:t>דברי הסבר</w:t>
      </w:r>
    </w:p>
    <w:p w14:paraId="53933DF9" w14:textId="77777777" w:rsidR="00927ABF" w:rsidRPr="00EE2642" w:rsidRDefault="00927ABF" w:rsidP="00EE2642">
      <w:pPr>
        <w:pStyle w:val="Hesber"/>
      </w:pPr>
      <w:r w:rsidRPr="00EE2642">
        <w:rPr>
          <w:rtl/>
        </w:rPr>
        <w:t>החוסכים באפיקי החיסכון ארוך הטווח נדרשים לשלם דמי ניהול לחברה המנהלת עבור ניהול הנכסים שבידיה במהלך שנות החיסכון. גובה דמי הניהול המרביים מעוגן בתקנות הפיקוח על שירותים פיננסיים (קופות גמל) (דמי ניהול), התשע"ב–2012. לגובה דמי הניהול שמשלם החוסך השפעה דרמטית על סך החיסכון המצטבר לטובת גיל הפרישה. ככל ששיעור זה נמוך יותר, החיסכון גדול יותר, ולהפך.</w:t>
      </w:r>
    </w:p>
    <w:p w14:paraId="52BD63EE" w14:textId="77777777" w:rsidR="00927ABF" w:rsidRPr="00EE2642" w:rsidRDefault="00927ABF" w:rsidP="00EE2642">
      <w:pPr>
        <w:pStyle w:val="Hesber"/>
        <w:rPr>
          <w:rtl/>
        </w:rPr>
      </w:pPr>
      <w:r w:rsidRPr="00EE2642">
        <w:rPr>
          <w:rtl/>
        </w:rPr>
        <w:t xml:space="preserve">בקרנות פנסיה רבות, עם עזיבת העמית את מקום עבודתו עולים דמי הניהול שהוא או היא משלמים לשיעור המרבי. כלומר, שדווקא עובדים ועובדות שנמצאים בשלב בו אין להם הכנסות מעבודה נאלצים לשלם את דמי הניהול המרביים, וכל עוד לא מצאו עבודה חדשה – אין להם חלופה אמיתית בקרן פנסיה חלופית. </w:t>
      </w:r>
    </w:p>
    <w:p w14:paraId="46AF7F92" w14:textId="77777777" w:rsidR="00927ABF" w:rsidRPr="00EE2642" w:rsidRDefault="00927ABF" w:rsidP="00EE2642">
      <w:pPr>
        <w:pStyle w:val="Hesber"/>
        <w:rPr>
          <w:rtl/>
        </w:rPr>
      </w:pPr>
      <w:r w:rsidRPr="00EE2642">
        <w:rPr>
          <w:rtl/>
        </w:rPr>
        <w:t xml:space="preserve">הצעת חוק זו נועדה להגביל את גובה דמי הניהול שגובה חברה מנהלת מחשבונו של עמית שאינו עובד, כך ששיעורם ייוותר כפי שהיה בזמן עזיבת העמית את מקום עבודתו, וזאת למשך 12 חודשים מיום עזיבתו או עד לאחר 3 חודשים מיום תחילת עבודתו החדשה, אז העובד יוכל להתמקח על דמי הניהול בחברה המנהלת, לפי המוקדם. </w:t>
      </w:r>
    </w:p>
    <w:p w14:paraId="55BDE346" w14:textId="77777777" w:rsidR="00927ABF" w:rsidRPr="00EE2642" w:rsidRDefault="00927ABF" w:rsidP="00EE2642">
      <w:pPr>
        <w:pStyle w:val="Hesber"/>
        <w:rPr>
          <w:rtl/>
        </w:rPr>
      </w:pPr>
      <w:r w:rsidRPr="00EE2642">
        <w:rPr>
          <w:rtl/>
        </w:rPr>
        <w:t>הצעת החוק מאזנת בין זכות החברה המנהלת לגבות דמי ניהול כרצונה ובין הגנה על עובדים בנקודת זמן שאין להם יכולת בחירה אמתית בין חברות מנהלות בכך שהיא תוחמת את תקופת ההגנה ב-12 חודשים לכל היותר. בכך, תבוצע גביית דמי ניהול שלא תפגע באפשרות החברה המנהלת לנהל את האפיקים השונים של החיסכון ארוך הטווח, לצד פגיעה מינימאלית בעמית לצורך הבטחת עתידו הכלכלי.</w:t>
      </w:r>
    </w:p>
    <w:p w14:paraId="70C4C919" w14:textId="2CA59D7B" w:rsidR="00927ABF" w:rsidRPr="00EE2642" w:rsidRDefault="00927ABF" w:rsidP="00EE2642">
      <w:pPr>
        <w:pStyle w:val="Hesber"/>
        <w:rPr>
          <w:rtl/>
        </w:rPr>
      </w:pPr>
      <w:r w:rsidRPr="00EE2642">
        <w:rPr>
          <w:rtl/>
        </w:rPr>
        <w:lastRenderedPageBreak/>
        <w:t xml:space="preserve"> הצע</w:t>
      </w:r>
      <w:r w:rsidR="00EE2642">
        <w:rPr>
          <w:rFonts w:hint="cs"/>
          <w:rtl/>
        </w:rPr>
        <w:t>ו</w:t>
      </w:r>
      <w:r w:rsidRPr="00EE2642">
        <w:rPr>
          <w:rtl/>
        </w:rPr>
        <w:t>ת חוק זה</w:t>
      </w:r>
      <w:r w:rsidR="00EE2642">
        <w:rPr>
          <w:rFonts w:hint="cs"/>
          <w:rtl/>
        </w:rPr>
        <w:t>ות</w:t>
      </w:r>
      <w:r w:rsidRPr="00EE2642">
        <w:rPr>
          <w:rtl/>
        </w:rPr>
        <w:t xml:space="preserve"> הונח</w:t>
      </w:r>
      <w:r w:rsidR="00EE2642">
        <w:rPr>
          <w:rFonts w:hint="cs"/>
          <w:rtl/>
        </w:rPr>
        <w:t>ו</w:t>
      </w:r>
      <w:r w:rsidRPr="00EE2642">
        <w:rPr>
          <w:rtl/>
        </w:rPr>
        <w:t xml:space="preserve"> על שולחן הכנסת העשרים</w:t>
      </w:r>
      <w:r w:rsidR="00EE2642">
        <w:rPr>
          <w:rFonts w:hint="cs"/>
          <w:rtl/>
        </w:rPr>
        <w:t>,</w:t>
      </w:r>
      <w:r w:rsidRPr="00EE2642">
        <w:rPr>
          <w:rtl/>
        </w:rPr>
        <w:t xml:space="preserve"> על שולחן הכנסת העשרים ושתיים ועל שולחן הכנסת העשרים ושלוש על ידי חברת הכנסת מרב מיכאלי וקבוצת חברי הכנסת (פ/1338/22 ; פ/2981/20</w:t>
      </w:r>
      <w:r w:rsidRPr="00EE2642">
        <w:t>;</w:t>
      </w:r>
      <w:r w:rsidRPr="00EE2642">
        <w:rPr>
          <w:rtl/>
        </w:rPr>
        <w:t xml:space="preserve"> פ/145/23). </w:t>
      </w:r>
    </w:p>
    <w:p w14:paraId="3A21FFDB" w14:textId="795A50DD" w:rsidR="0054500E" w:rsidRPr="00EE2642" w:rsidRDefault="0054500E" w:rsidP="00EE2642">
      <w:pPr>
        <w:pStyle w:val="Hesber"/>
        <w:rPr>
          <w:rtl/>
        </w:rPr>
      </w:pPr>
      <w:r w:rsidRPr="00EE2642">
        <w:rPr>
          <w:rFonts w:hint="cs"/>
          <w:rtl/>
        </w:rPr>
        <w:t>הצע</w:t>
      </w:r>
      <w:r w:rsidR="00EE2642">
        <w:rPr>
          <w:rFonts w:hint="cs"/>
          <w:rtl/>
        </w:rPr>
        <w:t>ת החוק</w:t>
      </w:r>
      <w:r w:rsidRPr="00EE2642">
        <w:rPr>
          <w:rFonts w:hint="cs"/>
          <w:rtl/>
        </w:rPr>
        <w:t xml:space="preserve"> זהה לפ/145/23 ולפיכך לא נבדקה מחדש על ידי הלשכה המשפטית של הכנסת.</w:t>
      </w:r>
    </w:p>
    <w:p w14:paraId="7F6961CB" w14:textId="77777777" w:rsidR="00E13C27" w:rsidRDefault="00E13C27" w:rsidP="00E13C27">
      <w:pPr>
        <w:pStyle w:val="Hesber"/>
        <w:rPr>
          <w:rtl/>
        </w:rPr>
      </w:pPr>
      <w:bookmarkStart w:id="6" w:name="_GoBack"/>
      <w:bookmarkEnd w:id="6"/>
    </w:p>
    <w:p w14:paraId="55C52864" w14:textId="77777777" w:rsidR="00B32152" w:rsidRDefault="00EE2642">
      <w:pPr>
        <w:jc w:val="left"/>
      </w:pPr>
      <w:bookmarkStart w:id="7" w:name="selectedDocDateB"/>
      <w:bookmarkEnd w:id="7"/>
      <w:r>
        <w:rPr>
          <w:rFonts w:eastAsia="David" w:hint="cs"/>
          <w:sz w:val="26"/>
          <w:szCs w:val="26"/>
          <w:rtl/>
        </w:rPr>
        <w:t>--------------------------------</w:t>
      </w:r>
    </w:p>
    <w:p w14:paraId="07AB7972" w14:textId="77777777" w:rsidR="00B32152" w:rsidRDefault="00EE2642">
      <w:pPr>
        <w:jc w:val="left"/>
      </w:pPr>
      <w:r>
        <w:rPr>
          <w:rFonts w:eastAsia="David" w:hint="cs"/>
          <w:sz w:val="26"/>
          <w:szCs w:val="26"/>
          <w:rtl/>
        </w:rPr>
        <w:t>הוגשה ליו"ר הכנסת והסגנים</w:t>
      </w:r>
    </w:p>
    <w:p w14:paraId="585EBA38" w14:textId="77777777" w:rsidR="00B32152" w:rsidRDefault="00EE2642">
      <w:pPr>
        <w:jc w:val="left"/>
      </w:pPr>
      <w:r>
        <w:rPr>
          <w:rFonts w:eastAsia="David" w:hint="cs"/>
          <w:sz w:val="26"/>
          <w:szCs w:val="26"/>
          <w:rtl/>
        </w:rPr>
        <w:t>והונחה על שולחן הכנסת ביום</w:t>
      </w:r>
    </w:p>
    <w:p w14:paraId="451ACBD6" w14:textId="77777777" w:rsidR="00B32152" w:rsidRDefault="00EE2642">
      <w:pPr>
        <w:jc w:val="left"/>
      </w:pPr>
      <w:r>
        <w:rPr>
          <w:rFonts w:eastAsia="David" w:hint="cs"/>
          <w:sz w:val="26"/>
          <w:szCs w:val="26"/>
          <w:rtl/>
        </w:rPr>
        <w:t xml:space="preserve">כ' בסיוון התשפ"א (31.05.2021) </w:t>
      </w:r>
    </w:p>
    <w:p w14:paraId="079E0F7F" w14:textId="77777777" w:rsidR="00B32152" w:rsidRDefault="00B32152">
      <w:pPr>
        <w:spacing w:line="276" w:lineRule="auto"/>
        <w:jc w:val="left"/>
      </w:pPr>
    </w:p>
    <w:sectPr w:rsidR="00B32152" w:rsidSect="00EE2642">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3D2EC1E1"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E2642">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EE2642">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223E7AC" w14:textId="77777777" w:rsidR="00927ABF" w:rsidRDefault="00927ABF" w:rsidP="00927ABF">
      <w:pPr>
        <w:pStyle w:val="a4"/>
      </w:pPr>
      <w:r>
        <w:rPr>
          <w:rStyle w:val="a6"/>
        </w:rPr>
        <w:footnoteRef/>
      </w:r>
      <w:r>
        <w:rPr>
          <w:rtl/>
        </w:rPr>
        <w:t xml:space="preserve"> ס"ח התשס"ה, עמ' 889.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num>
  <w:num w:numId="18">
    <w:abstractNumId w:val="1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4500E"/>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27ABF"/>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2152"/>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E2642"/>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65E1A402-036B-417A-ABC9-F206D507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642"/>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EE2642"/>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EE2642"/>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EE2642"/>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EE2642"/>
    <w:pPr>
      <w:numPr>
        <w:numId w:val="19"/>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EE2642"/>
    <w:pPr>
      <w:spacing w:line="259" w:lineRule="auto"/>
      <w:outlineLvl w:val="4"/>
    </w:pPr>
    <w:rPr>
      <w:color w:val="000000" w:themeColor="text1"/>
    </w:rPr>
  </w:style>
  <w:style w:type="character" w:default="1" w:styleId="a0">
    <w:name w:val="Default Paragraph Font"/>
    <w:uiPriority w:val="1"/>
    <w:semiHidden/>
    <w:unhideWhenUsed/>
    <w:rsid w:val="00EE264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E2642"/>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EE2642"/>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EE2642"/>
    <w:rPr>
      <w:sz w:val="36"/>
      <w:szCs w:val="52"/>
    </w:rPr>
  </w:style>
  <w:style w:type="paragraph" w:customStyle="1" w:styleId="Cover3-Haknesset">
    <w:name w:val="Cover 3-Haknesset"/>
    <w:basedOn w:val="Cover1-Reshumot"/>
    <w:rsid w:val="00EE2642"/>
    <w:rPr>
      <w:b/>
      <w:bCs/>
      <w:spacing w:val="60"/>
    </w:rPr>
  </w:style>
  <w:style w:type="paragraph" w:customStyle="1" w:styleId="Cover4-Date">
    <w:name w:val="Cover 4-Date"/>
    <w:basedOn w:val="a"/>
    <w:rsid w:val="00EE2642"/>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EE2642"/>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EE2642"/>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EE2642"/>
    <w:pPr>
      <w:spacing w:before="120" w:after="120"/>
    </w:pPr>
    <w:rPr>
      <w:color w:val="FF0000"/>
      <w:w w:val="80"/>
    </w:rPr>
  </w:style>
  <w:style w:type="paragraph" w:styleId="a3">
    <w:name w:val="endnote text"/>
    <w:basedOn w:val="a"/>
    <w:semiHidden/>
    <w:rsid w:val="00EE2642"/>
    <w:pPr>
      <w:ind w:left="227" w:hanging="227"/>
    </w:pPr>
    <w:rPr>
      <w:sz w:val="14"/>
      <w:szCs w:val="22"/>
    </w:rPr>
  </w:style>
  <w:style w:type="paragraph" w:customStyle="1" w:styleId="TableText">
    <w:name w:val="Table Text"/>
    <w:basedOn w:val="a"/>
    <w:rsid w:val="00EE2642"/>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EE2642"/>
    <w:pPr>
      <w:outlineLvl w:val="2"/>
    </w:pPr>
  </w:style>
  <w:style w:type="paragraph" w:customStyle="1" w:styleId="TableBlock">
    <w:name w:val="Table Block"/>
    <w:basedOn w:val="TableText"/>
    <w:rsid w:val="00EE2642"/>
    <w:pPr>
      <w:jc w:val="both"/>
    </w:pPr>
  </w:style>
  <w:style w:type="paragraph" w:customStyle="1" w:styleId="TableHead">
    <w:name w:val="Table Head"/>
    <w:basedOn w:val="TableText"/>
    <w:rsid w:val="00EE2642"/>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EE2642"/>
    <w:pPr>
      <w:outlineLvl w:val="9"/>
    </w:pPr>
  </w:style>
  <w:style w:type="paragraph" w:customStyle="1" w:styleId="Hesber">
    <w:name w:val="Hesber"/>
    <w:basedOn w:val="a"/>
    <w:rsid w:val="00EE2642"/>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EE2642"/>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EE2642"/>
    <w:rPr>
      <w:vertAlign w:val="superscript"/>
    </w:rPr>
  </w:style>
  <w:style w:type="paragraph" w:customStyle="1" w:styleId="HesberHeading">
    <w:name w:val="Hesber Heading"/>
    <w:basedOn w:val="Hesber"/>
    <w:rsid w:val="00EE2642"/>
    <w:pPr>
      <w:tabs>
        <w:tab w:val="left" w:pos="624"/>
        <w:tab w:val="left" w:pos="1247"/>
      </w:tabs>
    </w:pPr>
    <w:rPr>
      <w:b/>
      <w:bCs/>
    </w:rPr>
  </w:style>
  <w:style w:type="paragraph" w:customStyle="1" w:styleId="HesberWriters">
    <w:name w:val="Hesber Writers"/>
    <w:basedOn w:val="Hesber"/>
    <w:rsid w:val="00EE2642"/>
    <w:pPr>
      <w:spacing w:before="120" w:after="120"/>
      <w:ind w:left="1418"/>
      <w:jc w:val="right"/>
    </w:pPr>
    <w:rPr>
      <w:b/>
      <w:bCs/>
    </w:rPr>
  </w:style>
  <w:style w:type="paragraph" w:customStyle="1" w:styleId="Hesber1st">
    <w:name w:val="Hesber 1st"/>
    <w:basedOn w:val="Hesber"/>
    <w:rsid w:val="00EE2642"/>
    <w:pPr>
      <w:tabs>
        <w:tab w:val="left" w:pos="680"/>
        <w:tab w:val="left" w:pos="1020"/>
      </w:tabs>
      <w:ind w:firstLine="0"/>
    </w:pPr>
  </w:style>
  <w:style w:type="character" w:styleId="a7">
    <w:name w:val="endnote reference"/>
    <w:basedOn w:val="a0"/>
    <w:semiHidden/>
    <w:rsid w:val="00EE2642"/>
    <w:rPr>
      <w:vertAlign w:val="superscript"/>
    </w:rPr>
  </w:style>
  <w:style w:type="paragraph" w:customStyle="1" w:styleId="TableBlockOutdent">
    <w:name w:val="Table BlockOutdent"/>
    <w:basedOn w:val="TableBlock"/>
    <w:rsid w:val="00EE2642"/>
    <w:pPr>
      <w:ind w:left="624" w:hanging="624"/>
    </w:pPr>
  </w:style>
  <w:style w:type="paragraph" w:styleId="a8">
    <w:name w:val="header"/>
    <w:basedOn w:val="a"/>
    <w:rsid w:val="00EE2642"/>
    <w:pPr>
      <w:tabs>
        <w:tab w:val="center" w:pos="4153"/>
        <w:tab w:val="right" w:pos="8306"/>
      </w:tabs>
    </w:pPr>
  </w:style>
  <w:style w:type="paragraph" w:styleId="a9">
    <w:name w:val="footer"/>
    <w:basedOn w:val="a"/>
    <w:rsid w:val="00EE2642"/>
    <w:pPr>
      <w:tabs>
        <w:tab w:val="center" w:pos="4153"/>
        <w:tab w:val="right" w:pos="8306"/>
      </w:tabs>
    </w:pPr>
  </w:style>
  <w:style w:type="paragraph" w:customStyle="1" w:styleId="HeadDivreiHesber">
    <w:name w:val="Head DivreiHesber"/>
    <w:basedOn w:val="a"/>
    <w:rsid w:val="00EE2642"/>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EE2642"/>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EE2642"/>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locked/>
    <w:rsid w:val="00927ABF"/>
    <w:rPr>
      <w:rFonts w:ascii="Arial" w:eastAsia="Arial Unicode MS" w:hAnsi="Arial" w:cs="David"/>
      <w:snapToGrid w:val="0"/>
      <w:sz w:val="14"/>
    </w:rPr>
  </w:style>
  <w:style w:type="character" w:customStyle="1" w:styleId="10">
    <w:name w:val="כותרת 1 תו"/>
    <w:basedOn w:val="a0"/>
    <w:link w:val="1"/>
    <w:uiPriority w:val="9"/>
    <w:rsid w:val="00EE2642"/>
    <w:rPr>
      <w:rFonts w:asciiTheme="majorHAnsi" w:eastAsiaTheme="majorEastAsia" w:hAnsiTheme="majorHAnsi" w:cs="David"/>
      <w:bCs/>
      <w:sz w:val="32"/>
      <w:szCs w:val="36"/>
    </w:rPr>
  </w:style>
  <w:style w:type="character" w:customStyle="1" w:styleId="20">
    <w:name w:val="כותרת 2 תו"/>
    <w:basedOn w:val="a0"/>
    <w:link w:val="2"/>
    <w:rsid w:val="00EE2642"/>
    <w:rPr>
      <w:rFonts w:asciiTheme="majorHAnsi" w:eastAsiaTheme="majorEastAsia" w:hAnsiTheme="majorHAnsi" w:cs="David"/>
      <w:bCs/>
      <w:sz w:val="26"/>
      <w:szCs w:val="36"/>
      <w:u w:val="single"/>
    </w:rPr>
  </w:style>
  <w:style w:type="character" w:customStyle="1" w:styleId="30">
    <w:name w:val="כותרת 3 תו"/>
    <w:basedOn w:val="a0"/>
    <w:link w:val="3"/>
    <w:rsid w:val="00EE2642"/>
    <w:rPr>
      <w:rFonts w:asciiTheme="majorHAnsi" w:eastAsiaTheme="majorEastAsia" w:hAnsiTheme="majorHAnsi" w:cs="David"/>
      <w:sz w:val="24"/>
      <w:szCs w:val="28"/>
      <w:u w:val="double"/>
    </w:rPr>
  </w:style>
  <w:style w:type="character" w:customStyle="1" w:styleId="40">
    <w:name w:val="כותרת 4 תו"/>
    <w:basedOn w:val="a0"/>
    <w:link w:val="4"/>
    <w:uiPriority w:val="9"/>
    <w:rsid w:val="00EE2642"/>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EE2642"/>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EE2642"/>
    <w:pPr>
      <w:widowControl/>
      <w:spacing w:before="120" w:after="120"/>
      <w:outlineLvl w:val="9"/>
    </w:pPr>
    <w:rPr>
      <w:rtl/>
      <w:cs/>
    </w:rPr>
  </w:style>
  <w:style w:type="paragraph" w:styleId="TOC1">
    <w:name w:val="toc 1"/>
    <w:basedOn w:val="a"/>
    <w:next w:val="a"/>
    <w:autoRedefine/>
    <w:uiPriority w:val="39"/>
    <w:unhideWhenUsed/>
    <w:rsid w:val="00EE2642"/>
    <w:pPr>
      <w:tabs>
        <w:tab w:val="right" w:leader="dot" w:pos="9629"/>
      </w:tabs>
      <w:spacing w:after="100"/>
    </w:pPr>
    <w:rPr>
      <w:bCs/>
      <w:szCs w:val="22"/>
    </w:rPr>
  </w:style>
  <w:style w:type="paragraph" w:styleId="TOC2">
    <w:name w:val="toc 2"/>
    <w:basedOn w:val="a"/>
    <w:next w:val="a"/>
    <w:uiPriority w:val="39"/>
    <w:unhideWhenUsed/>
    <w:rsid w:val="00EE2642"/>
    <w:pPr>
      <w:tabs>
        <w:tab w:val="right" w:leader="dot" w:pos="9628"/>
      </w:tabs>
      <w:spacing w:after="100"/>
    </w:pPr>
    <w:rPr>
      <w:szCs w:val="22"/>
    </w:rPr>
  </w:style>
  <w:style w:type="character" w:styleId="Hyperlink">
    <w:name w:val="Hyperlink"/>
    <w:basedOn w:val="a0"/>
    <w:uiPriority w:val="99"/>
    <w:unhideWhenUsed/>
    <w:rsid w:val="00EE2642"/>
    <w:rPr>
      <w:color w:val="0000FF" w:themeColor="hyperlink"/>
      <w:u w:val="single"/>
    </w:rPr>
  </w:style>
  <w:style w:type="paragraph" w:styleId="TOC3">
    <w:name w:val="toc 3"/>
    <w:basedOn w:val="a"/>
    <w:next w:val="a"/>
    <w:uiPriority w:val="39"/>
    <w:unhideWhenUsed/>
    <w:rsid w:val="00EE2642"/>
    <w:pPr>
      <w:tabs>
        <w:tab w:val="right" w:leader="dot" w:pos="9629"/>
      </w:tabs>
      <w:spacing w:after="100"/>
      <w:ind w:left="567"/>
    </w:pPr>
    <w:rPr>
      <w:szCs w:val="22"/>
    </w:rPr>
  </w:style>
  <w:style w:type="paragraph" w:styleId="TOC4">
    <w:name w:val="toc 4"/>
    <w:basedOn w:val="a"/>
    <w:next w:val="a"/>
    <w:autoRedefine/>
    <w:unhideWhenUsed/>
    <w:qFormat/>
    <w:rsid w:val="00EE2642"/>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EE2642"/>
    <w:pPr>
      <w:tabs>
        <w:tab w:val="right" w:leader="dot" w:pos="9628"/>
      </w:tabs>
      <w:spacing w:after="100"/>
      <w:ind w:left="567"/>
    </w:pPr>
    <w:rPr>
      <w:szCs w:val="22"/>
    </w:rPr>
  </w:style>
  <w:style w:type="paragraph" w:styleId="TOC6">
    <w:name w:val="toc 6"/>
    <w:basedOn w:val="a"/>
    <w:next w:val="a"/>
    <w:autoRedefine/>
    <w:semiHidden/>
    <w:unhideWhenUsed/>
    <w:rsid w:val="00EE2642"/>
    <w:pPr>
      <w:spacing w:after="100"/>
      <w:ind w:left="850"/>
    </w:pPr>
  </w:style>
  <w:style w:type="paragraph" w:styleId="TOC7">
    <w:name w:val="toc 7"/>
    <w:basedOn w:val="a"/>
    <w:next w:val="a"/>
    <w:autoRedefine/>
    <w:semiHidden/>
    <w:unhideWhenUsed/>
    <w:rsid w:val="00EE2642"/>
    <w:pPr>
      <w:spacing w:after="100"/>
      <w:ind w:left="1020"/>
    </w:pPr>
  </w:style>
  <w:style w:type="paragraph" w:styleId="TOC8">
    <w:name w:val="toc 8"/>
    <w:basedOn w:val="a"/>
    <w:next w:val="a"/>
    <w:autoRedefine/>
    <w:semiHidden/>
    <w:unhideWhenUsed/>
    <w:rsid w:val="00EE2642"/>
    <w:pPr>
      <w:spacing w:after="100"/>
      <w:ind w:left="1190"/>
    </w:pPr>
  </w:style>
  <w:style w:type="paragraph" w:styleId="TOC9">
    <w:name w:val="toc 9"/>
    <w:basedOn w:val="a"/>
    <w:next w:val="a"/>
    <w:autoRedefine/>
    <w:semiHidden/>
    <w:unhideWhenUsed/>
    <w:rsid w:val="00EE2642"/>
    <w:pPr>
      <w:spacing w:after="100"/>
      <w:ind w:left="1360"/>
    </w:pPr>
  </w:style>
  <w:style w:type="paragraph" w:customStyle="1" w:styleId="TableHead2">
    <w:name w:val="Table Head2"/>
    <w:basedOn w:val="TableHead"/>
    <w:qFormat/>
    <w:rsid w:val="00EE2642"/>
    <w:pPr>
      <w:outlineLvl w:val="9"/>
    </w:pPr>
  </w:style>
  <w:style w:type="paragraph" w:customStyle="1" w:styleId="TableSideHeading2">
    <w:name w:val="Table SideHeading2"/>
    <w:basedOn w:val="TableSideHeading"/>
    <w:autoRedefine/>
    <w:qFormat/>
    <w:rsid w:val="00EE2642"/>
    <w:pPr>
      <w:keepLines w:val="0"/>
      <w:outlineLvl w:val="9"/>
    </w:pPr>
  </w:style>
  <w:style w:type="paragraph" w:customStyle="1" w:styleId="0">
    <w:name w:val="סגנון שורה ראשונה:  0  ס''מ"/>
    <w:basedOn w:val="2"/>
    <w:rsid w:val="00EE2642"/>
    <w:rPr>
      <w:rFonts w:eastAsia="Times New Roman"/>
    </w:rPr>
  </w:style>
  <w:style w:type="paragraph" w:styleId="af">
    <w:name w:val="List Paragraph"/>
    <w:basedOn w:val="a"/>
    <w:uiPriority w:val="34"/>
    <w:qFormat/>
    <w:rsid w:val="00EE2642"/>
    <w:pPr>
      <w:widowControl/>
      <w:spacing w:line="259" w:lineRule="auto"/>
    </w:pPr>
    <w:rPr>
      <w:rFonts w:asciiTheme="minorHAnsi" w:hAnsiTheme="minorHAnsi"/>
      <w:sz w:val="22"/>
    </w:rPr>
  </w:style>
  <w:style w:type="table" w:styleId="af0">
    <w:name w:val="Table Grid"/>
    <w:basedOn w:val="a1"/>
    <w:rsid w:val="00EE2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EE26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EE264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EE2642"/>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EE2642"/>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DC18EEED-5B5B-4E19-BA38-BC2EDE832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D8C5BF1-8718-4AC8-9D27-A477D0C10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329</Words>
  <Characters>1879</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6</cp:revision>
  <cp:lastPrinted>2013-07-04T08:25:00Z</cp:lastPrinted>
  <dcterms:created xsi:type="dcterms:W3CDTF">2015-04-20T09:58:00Z</dcterms:created>
  <dcterms:modified xsi:type="dcterms:W3CDTF">2021-05-25T06:35:00Z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2157983</vt:r8>
  </property>
</Properties>
</file>