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b/>
          <w:bCs/>
          <w:sz w:val="20"/>
          <w:szCs w:val="20"/>
        </w:rPr>
      </w:pPr>
      <w:r w:rsidRPr="00E635A2">
        <w:rPr>
          <w:rFonts w:hint="cs"/>
          <w:sz w:val="20"/>
          <w:szCs w:val="20"/>
          <w:rtl/>
        </w:rPr>
        <w:t xml:space="preserve">מספר פנימי: </w:t>
      </w:r>
      <w:bookmarkStart w:id="0" w:name="LGS_Internal_ID"/>
      <w:r>
        <w:rPr>
          <w:rFonts w:hint="cs"/>
          <w:sz w:val="20"/>
          <w:szCs w:val="20"/>
          <w:rtl/>
        </w:rPr>
        <w:t>2157851</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וארבע</w:t>
      </w:r>
      <w:bookmarkEnd w:id="1"/>
    </w:p>
    <w:p w14:paraId="7F6961A3" w14:textId="77777777" w:rsidR="00E13C27" w:rsidRPr="00F67051" w:rsidRDefault="00E13C27" w:rsidP="00E13C27">
      <w:pPr>
        <w:rPr>
          <w:b/>
          <w:bCs/>
          <w:sz w:val="26"/>
          <w:szCs w:val="26"/>
          <w:rtl/>
        </w:rPr>
      </w:pPr>
    </w:p>
    <w:p w14:paraId="7F6961A6" w14:textId="77777777" w:rsidR="00E13C27" w:rsidRDefault="008F6665" w:rsidP="00930EFE">
      <w:pPr>
        <w:pStyle w:val="David"/>
        <w:ind w:left="3544"/>
        <w:rPr>
          <w:b/>
          <w:bCs/>
          <w:rtl/>
        </w:rPr>
      </w:pPr>
      <w:bookmarkStart w:id="2" w:name="LGS_Initiators_List"/>
      <w:r>
        <w:rPr>
          <w:b/>
          <w:bCs/>
          <w:rtl/>
        </w:rPr>
        <w:t>יוזמים:      חברי הכנסת</w:t>
      </w:r>
      <w:bookmarkEnd w:id="2"/>
      <w:r w:rsidR="00B35784" w:rsidRPr="00F67051">
        <w:rPr>
          <w:b/>
          <w:bCs/>
        </w:rPr>
        <w:tab/>
      </w:r>
      <w:bookmarkStart w:id="3" w:name="LGS_PM_Names"/>
      <w:proofErr w:type="spellStart"/>
      <w:r>
        <w:rPr>
          <w:rFonts w:hint="cs"/>
          <w:b/>
          <w:bCs/>
          <w:rtl/>
        </w:rPr>
        <w:t>עיסאווי</w:t>
      </w:r>
      <w:proofErr w:type="spellEnd"/>
      <w:r>
        <w:rPr>
          <w:rFonts w:hint="cs"/>
          <w:b/>
          <w:bCs/>
          <w:rtl/>
        </w:rPr>
        <w:t xml:space="preserve"> </w:t>
      </w:r>
      <w:proofErr w:type="spellStart"/>
      <w:r>
        <w:rPr>
          <w:rFonts w:hint="cs"/>
          <w:b/>
          <w:bCs/>
          <w:rtl/>
        </w:rPr>
        <w:t>פריג</w:t>
      </w:r>
      <w:proofErr w:type="spellEnd"/>
      <w:r>
        <w:rPr>
          <w:rFonts w:hint="cs"/>
          <w:b/>
          <w:bCs/>
          <w:rtl/>
        </w:rPr>
        <w:t>'</w:t>
      </w:r>
      <w:r>
        <w:br/>
      </w:r>
      <w:r>
        <w:rPr>
          <w:rFonts w:hint="cs"/>
          <w:b/>
          <w:bCs/>
          <w:rtl/>
        </w:rPr>
        <w:t xml:space="preserve"> </w:t>
      </w:r>
      <w:r>
        <w:tab/>
      </w:r>
      <w:r>
        <w:tab/>
      </w:r>
      <w:r>
        <w:tab/>
      </w:r>
      <w:r>
        <w:tab/>
      </w:r>
      <w:r>
        <w:rPr>
          <w:rFonts w:hint="cs"/>
          <w:b/>
          <w:bCs/>
          <w:rtl/>
        </w:rPr>
        <w:t>ניצן הורוביץ</w:t>
      </w:r>
      <w:r>
        <w:br/>
      </w:r>
      <w:r>
        <w:rPr>
          <w:rFonts w:hint="cs"/>
          <w:b/>
          <w:bCs/>
          <w:rtl/>
        </w:rPr>
        <w:t xml:space="preserve"> </w:t>
      </w:r>
      <w:r>
        <w:tab/>
      </w:r>
      <w:r>
        <w:tab/>
      </w:r>
      <w:r>
        <w:tab/>
      </w:r>
      <w:r>
        <w:tab/>
      </w:r>
      <w:r>
        <w:rPr>
          <w:rFonts w:hint="cs"/>
          <w:b/>
          <w:bCs/>
          <w:rtl/>
        </w:rPr>
        <w:t>תמר זנדברג</w:t>
      </w:r>
      <w:r>
        <w:br/>
      </w:r>
      <w:r>
        <w:rPr>
          <w:rFonts w:hint="cs"/>
          <w:b/>
          <w:bCs/>
          <w:rtl/>
        </w:rPr>
        <w:t xml:space="preserve"> </w:t>
      </w:r>
      <w:r>
        <w:tab/>
      </w:r>
      <w:r>
        <w:tab/>
      </w:r>
      <w:r>
        <w:tab/>
      </w:r>
      <w:r>
        <w:tab/>
      </w:r>
      <w:r>
        <w:rPr>
          <w:rFonts w:hint="cs"/>
          <w:b/>
          <w:bCs/>
          <w:rtl/>
        </w:rPr>
        <w:t>יאיר גולן</w:t>
      </w:r>
      <w:r>
        <w:br/>
      </w:r>
      <w:r>
        <w:rPr>
          <w:rFonts w:hint="cs"/>
          <w:b/>
          <w:bCs/>
          <w:rtl/>
        </w:rPr>
        <w:t xml:space="preserve"> </w:t>
      </w:r>
      <w:r>
        <w:tab/>
      </w:r>
      <w:r>
        <w:tab/>
      </w:r>
      <w:r>
        <w:tab/>
      </w:r>
      <w:r>
        <w:tab/>
      </w:r>
      <w:proofErr w:type="spellStart"/>
      <w:r>
        <w:rPr>
          <w:rFonts w:hint="cs"/>
          <w:b/>
          <w:bCs/>
          <w:rtl/>
        </w:rPr>
        <w:t>ג'ידא</w:t>
      </w:r>
      <w:proofErr w:type="spellEnd"/>
      <w:r>
        <w:rPr>
          <w:rFonts w:hint="cs"/>
          <w:b/>
          <w:bCs/>
          <w:rtl/>
        </w:rPr>
        <w:t xml:space="preserve"> </w:t>
      </w:r>
      <w:proofErr w:type="spellStart"/>
      <w:r>
        <w:rPr>
          <w:rFonts w:hint="cs"/>
          <w:b/>
          <w:bCs/>
          <w:rtl/>
        </w:rPr>
        <w:t>רינאוי-זועבי</w:t>
      </w:r>
      <w:proofErr w:type="spellEnd"/>
      <w:r>
        <w:br/>
      </w:r>
      <w:r>
        <w:rPr>
          <w:rFonts w:hint="cs"/>
          <w:b/>
          <w:bCs/>
          <w:rtl/>
        </w:rPr>
        <w:t xml:space="preserve"> </w:t>
      </w:r>
      <w:r>
        <w:tab/>
      </w:r>
      <w:r>
        <w:tab/>
      </w:r>
      <w:r>
        <w:tab/>
      </w:r>
      <w:r>
        <w:tab/>
      </w:r>
      <w:proofErr w:type="spellStart"/>
      <w:r>
        <w:rPr>
          <w:rFonts w:hint="cs"/>
          <w:b/>
          <w:bCs/>
          <w:rtl/>
        </w:rPr>
        <w:t>מוסי</w:t>
      </w:r>
      <w:proofErr w:type="spellEnd"/>
      <w:r>
        <w:rPr>
          <w:rFonts w:hint="cs"/>
          <w:b/>
          <w:bCs/>
          <w:rtl/>
        </w:rPr>
        <w:t xml:space="preserve"> רז</w:t>
      </w:r>
      <w:bookmarkEnd w:id="3"/>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5B25E204" w:rsidR="00E13C27" w:rsidRPr="00E06736" w:rsidRDefault="00904591" w:rsidP="00D328C8">
      <w:pPr>
        <w:pStyle w:val="David"/>
        <w:spacing w:line="240" w:lineRule="auto"/>
        <w:ind w:left="3544"/>
        <w:rPr>
          <w:rtl/>
        </w:rPr>
      </w:pPr>
      <w:r>
        <w:t xml:space="preserve"> </w:t>
      </w:r>
      <w:bookmarkStart w:id="4" w:name="Private_Number"/>
      <w:r w:rsidR="00D328C8">
        <w:rPr>
          <w:rtl/>
        </w:rPr>
        <w:tab/>
      </w:r>
      <w:r w:rsidR="00D328C8">
        <w:rPr>
          <w:rtl/>
        </w:rPr>
        <w:tab/>
      </w:r>
      <w:r w:rsidR="00D328C8">
        <w:rPr>
          <w:rtl/>
        </w:rPr>
        <w:tab/>
      </w:r>
      <w:r w:rsidR="00D328C8">
        <w:rPr>
          <w:rtl/>
        </w:rPr>
        <w:tab/>
      </w:r>
      <w:r>
        <w:rPr>
          <w:rFonts w:hint="cs"/>
          <w:rtl/>
        </w:rPr>
        <w:t>פ/1303</w:t>
      </w:r>
      <w:bookmarkStart w:id="5" w:name="_GoBack"/>
      <w:bookmarkEnd w:id="5"/>
      <w:r>
        <w:rPr>
          <w:rFonts w:hint="cs"/>
          <w:rtl/>
        </w:rPr>
        <w:t>/24</w:t>
      </w:r>
      <w:bookmarkEnd w:id="4"/>
    </w:p>
    <w:p w14:paraId="1932EA93" w14:textId="77777777" w:rsidR="009B3C3A" w:rsidRPr="00F67051" w:rsidRDefault="009B3C3A" w:rsidP="009B3C3A">
      <w:pPr>
        <w:pStyle w:val="HeadHatzaotHok"/>
        <w:rPr>
          <w:rtl/>
        </w:rPr>
      </w:pPr>
      <w:bookmarkStart w:id="6" w:name="LGS_Subject"/>
      <w:r>
        <w:rPr>
          <w:rFonts w:hint="cs"/>
          <w:rtl/>
        </w:rPr>
        <w:t>הצעת חוק-יסוד: טוהר המידות במוסדות השלטון (תיקוני חקיקה)</w:t>
      </w:r>
    </w:p>
    <w:p w14:paraId="152C4984" w14:textId="77777777" w:rsidR="009B3C3A" w:rsidRDefault="009B3C3A" w:rsidP="009B3C3A">
      <w:pPr>
        <w:pStyle w:val="HeadDivreiHesber"/>
        <w:spacing w:before="0" w:after="0"/>
        <w:rPr>
          <w:rtl/>
        </w:rPr>
      </w:pPr>
    </w:p>
    <w:tbl>
      <w:tblPr>
        <w:bidiVisual/>
        <w:tblW w:w="9637"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24"/>
        <w:gridCol w:w="624"/>
        <w:gridCol w:w="624"/>
        <w:gridCol w:w="624"/>
        <w:gridCol w:w="624"/>
        <w:gridCol w:w="4024"/>
      </w:tblGrid>
      <w:tr w:rsidR="009B3C3A" w:rsidRPr="00C34DE2" w14:paraId="0E8718B4" w14:textId="77777777" w:rsidTr="00D328C8">
        <w:trPr>
          <w:cantSplit/>
        </w:trPr>
        <w:tc>
          <w:tcPr>
            <w:tcW w:w="1869" w:type="dxa"/>
          </w:tcPr>
          <w:p w14:paraId="5F0D0479" w14:textId="77777777" w:rsidR="009B3C3A" w:rsidRPr="00D6299A" w:rsidRDefault="009B3C3A" w:rsidP="00026288">
            <w:pPr>
              <w:pStyle w:val="TableSideHeading"/>
              <w:rPr>
                <w:rtl/>
              </w:rPr>
            </w:pPr>
            <w:r w:rsidRPr="00D6299A">
              <w:rPr>
                <w:rFonts w:hint="eastAsia"/>
                <w:rtl/>
              </w:rPr>
              <w:t>תיקון</w:t>
            </w:r>
            <w:r w:rsidRPr="00D6299A">
              <w:rPr>
                <w:rtl/>
              </w:rPr>
              <w:t xml:space="preserve"> </w:t>
            </w:r>
            <w:r w:rsidRPr="00D6299A">
              <w:rPr>
                <w:rFonts w:hint="eastAsia"/>
                <w:rtl/>
              </w:rPr>
              <w:t>סעיף</w:t>
            </w:r>
            <w:r w:rsidRPr="00D6299A">
              <w:rPr>
                <w:rtl/>
              </w:rPr>
              <w:t xml:space="preserve"> 6</w:t>
            </w:r>
          </w:p>
        </w:tc>
        <w:tc>
          <w:tcPr>
            <w:tcW w:w="624" w:type="dxa"/>
          </w:tcPr>
          <w:p w14:paraId="117186A7" w14:textId="77777777" w:rsidR="009B3C3A" w:rsidRDefault="009B3C3A" w:rsidP="00026288">
            <w:pPr>
              <w:pStyle w:val="TableText"/>
            </w:pPr>
            <w:r>
              <w:rPr>
                <w:rFonts w:hint="cs"/>
                <w:rtl/>
              </w:rPr>
              <w:t>1.</w:t>
            </w:r>
          </w:p>
        </w:tc>
        <w:tc>
          <w:tcPr>
            <w:tcW w:w="7144" w:type="dxa"/>
            <w:gridSpan w:val="6"/>
          </w:tcPr>
          <w:p w14:paraId="4B476F56" w14:textId="77777777" w:rsidR="009B3C3A" w:rsidRDefault="009B3C3A" w:rsidP="00D328C8">
            <w:pPr>
              <w:pStyle w:val="TableBlock"/>
              <w:rPr>
                <w:rtl/>
              </w:rPr>
            </w:pPr>
            <w:r>
              <w:rPr>
                <w:rFonts w:hint="cs"/>
                <w:rtl/>
              </w:rPr>
              <w:t>בחוק-יסוד: הממשלה</w:t>
            </w:r>
            <w:r w:rsidRPr="00D328C8">
              <w:rPr>
                <w:rStyle w:val="a6"/>
                <w:rFonts w:ascii="David" w:hAnsi="David"/>
                <w:sz w:val="26"/>
              </w:rPr>
              <w:footnoteReference w:id="2"/>
            </w:r>
            <w:r>
              <w:rPr>
                <w:rFonts w:hint="cs"/>
                <w:rtl/>
              </w:rPr>
              <w:t xml:space="preserve"> – </w:t>
            </w:r>
          </w:p>
        </w:tc>
      </w:tr>
      <w:tr w:rsidR="009B3C3A" w14:paraId="496B52B0" w14:textId="77777777" w:rsidTr="00D328C8">
        <w:trPr>
          <w:cantSplit/>
        </w:trPr>
        <w:tc>
          <w:tcPr>
            <w:tcW w:w="1869" w:type="dxa"/>
          </w:tcPr>
          <w:p w14:paraId="6FCB586D" w14:textId="77777777" w:rsidR="009B3C3A" w:rsidRDefault="009B3C3A" w:rsidP="00026288">
            <w:pPr>
              <w:pStyle w:val="TableSideHeading"/>
            </w:pPr>
          </w:p>
        </w:tc>
        <w:tc>
          <w:tcPr>
            <w:tcW w:w="624" w:type="dxa"/>
          </w:tcPr>
          <w:p w14:paraId="670C3FC9" w14:textId="77777777" w:rsidR="009B3C3A" w:rsidRDefault="009B3C3A" w:rsidP="00026288">
            <w:pPr>
              <w:pStyle w:val="TableText"/>
            </w:pPr>
          </w:p>
        </w:tc>
        <w:tc>
          <w:tcPr>
            <w:tcW w:w="624" w:type="dxa"/>
          </w:tcPr>
          <w:p w14:paraId="5BF7FB54" w14:textId="77777777" w:rsidR="009B3C3A" w:rsidRDefault="009B3C3A" w:rsidP="00026288">
            <w:pPr>
              <w:pStyle w:val="TableText"/>
            </w:pPr>
            <w:r>
              <w:rPr>
                <w:rFonts w:hint="cs"/>
                <w:rtl/>
              </w:rPr>
              <w:t>(1)</w:t>
            </w:r>
          </w:p>
        </w:tc>
        <w:tc>
          <w:tcPr>
            <w:tcW w:w="6520" w:type="dxa"/>
            <w:gridSpan w:val="5"/>
          </w:tcPr>
          <w:p w14:paraId="5371A247" w14:textId="77777777" w:rsidR="009B3C3A" w:rsidRPr="00B83993" w:rsidRDefault="009B3C3A" w:rsidP="00D328C8">
            <w:pPr>
              <w:pStyle w:val="TableBlock"/>
            </w:pPr>
            <w:r>
              <w:rPr>
                <w:rFonts w:hint="cs"/>
                <w:rtl/>
              </w:rPr>
              <w:t>בסעיף 6 אחרי סעיף קטן (ה) יבוא:</w:t>
            </w:r>
          </w:p>
        </w:tc>
      </w:tr>
      <w:tr w:rsidR="00D328C8" w14:paraId="7252ACDF" w14:textId="77777777" w:rsidTr="00D328C8">
        <w:trPr>
          <w:cantSplit/>
        </w:trPr>
        <w:tc>
          <w:tcPr>
            <w:tcW w:w="1869" w:type="dxa"/>
          </w:tcPr>
          <w:p w14:paraId="354FFC0F" w14:textId="77777777" w:rsidR="00D328C8" w:rsidRDefault="00D328C8" w:rsidP="00026288">
            <w:pPr>
              <w:pStyle w:val="TableSideHeading"/>
            </w:pPr>
          </w:p>
        </w:tc>
        <w:tc>
          <w:tcPr>
            <w:tcW w:w="624" w:type="dxa"/>
          </w:tcPr>
          <w:p w14:paraId="5885A849" w14:textId="77777777" w:rsidR="00D328C8" w:rsidRDefault="00D328C8" w:rsidP="00026288">
            <w:pPr>
              <w:pStyle w:val="TableText"/>
            </w:pPr>
          </w:p>
        </w:tc>
        <w:tc>
          <w:tcPr>
            <w:tcW w:w="624" w:type="dxa"/>
          </w:tcPr>
          <w:p w14:paraId="1A95D462" w14:textId="77777777" w:rsidR="00D328C8" w:rsidRDefault="00D328C8" w:rsidP="00026288">
            <w:pPr>
              <w:pStyle w:val="TableText"/>
            </w:pPr>
          </w:p>
        </w:tc>
        <w:tc>
          <w:tcPr>
            <w:tcW w:w="6520" w:type="dxa"/>
            <w:gridSpan w:val="5"/>
          </w:tcPr>
          <w:p w14:paraId="31D5CE28" w14:textId="77777777" w:rsidR="00D328C8" w:rsidRDefault="00D328C8" w:rsidP="00D328C8">
            <w:pPr>
              <w:pStyle w:val="TableBlock"/>
            </w:pPr>
            <w:r>
              <w:rPr>
                <w:rFonts w:hint="cs"/>
                <w:rtl/>
              </w:rPr>
              <w:t>"(ו)</w:t>
            </w:r>
            <w:r>
              <w:rPr>
                <w:rtl/>
              </w:rPr>
              <w:tab/>
            </w:r>
            <w:r>
              <w:rPr>
                <w:rFonts w:hint="cs"/>
                <w:rtl/>
              </w:rPr>
              <w:t>לא יתמנה לשר או לראש ממשלה חלופי מי שתלוי ועומד נגדו כתב אישום, בעבירה מסוג עוון או פשע.</w:t>
            </w:r>
          </w:p>
        </w:tc>
      </w:tr>
      <w:tr w:rsidR="009B3C3A" w14:paraId="22A13812" w14:textId="77777777" w:rsidTr="00D328C8">
        <w:trPr>
          <w:cantSplit/>
        </w:trPr>
        <w:tc>
          <w:tcPr>
            <w:tcW w:w="1869" w:type="dxa"/>
          </w:tcPr>
          <w:p w14:paraId="68BED245" w14:textId="77777777" w:rsidR="009B3C3A" w:rsidRDefault="009B3C3A" w:rsidP="00026288">
            <w:pPr>
              <w:pStyle w:val="TableSideHeading"/>
            </w:pPr>
          </w:p>
        </w:tc>
        <w:tc>
          <w:tcPr>
            <w:tcW w:w="624" w:type="dxa"/>
          </w:tcPr>
          <w:p w14:paraId="7B958ED5" w14:textId="77777777" w:rsidR="009B3C3A" w:rsidRDefault="009B3C3A" w:rsidP="00026288">
            <w:pPr>
              <w:pStyle w:val="TableText"/>
            </w:pPr>
          </w:p>
        </w:tc>
        <w:tc>
          <w:tcPr>
            <w:tcW w:w="624" w:type="dxa"/>
          </w:tcPr>
          <w:p w14:paraId="3395858E" w14:textId="77777777" w:rsidR="009B3C3A" w:rsidRDefault="009B3C3A" w:rsidP="00026288">
            <w:pPr>
              <w:pStyle w:val="TableText"/>
            </w:pPr>
            <w:r>
              <w:rPr>
                <w:rFonts w:hint="cs"/>
                <w:rtl/>
              </w:rPr>
              <w:t>(2)</w:t>
            </w:r>
          </w:p>
        </w:tc>
        <w:tc>
          <w:tcPr>
            <w:tcW w:w="6520" w:type="dxa"/>
            <w:gridSpan w:val="5"/>
          </w:tcPr>
          <w:p w14:paraId="0A315BF3" w14:textId="77777777" w:rsidR="009B3C3A" w:rsidRDefault="009B3C3A" w:rsidP="00D328C8">
            <w:pPr>
              <w:pStyle w:val="TableBlock"/>
            </w:pPr>
            <w:r>
              <w:rPr>
                <w:rFonts w:hint="cs"/>
                <w:rtl/>
              </w:rPr>
              <w:t>אחרי סעיף 7 יבוא:</w:t>
            </w:r>
          </w:p>
        </w:tc>
      </w:tr>
      <w:tr w:rsidR="00D328C8" w14:paraId="524C20A5" w14:textId="77777777" w:rsidTr="0089613A">
        <w:trPr>
          <w:cantSplit/>
          <w:trHeight w:val="60"/>
        </w:trPr>
        <w:tc>
          <w:tcPr>
            <w:tcW w:w="1869" w:type="dxa"/>
          </w:tcPr>
          <w:p w14:paraId="1A1E3C3E" w14:textId="77777777" w:rsidR="00D328C8" w:rsidRDefault="00D328C8">
            <w:pPr>
              <w:pStyle w:val="TableSideHeading"/>
            </w:pPr>
          </w:p>
        </w:tc>
        <w:tc>
          <w:tcPr>
            <w:tcW w:w="624" w:type="dxa"/>
          </w:tcPr>
          <w:p w14:paraId="14F9DE3C" w14:textId="77777777" w:rsidR="00D328C8" w:rsidRDefault="00D328C8">
            <w:pPr>
              <w:pStyle w:val="TableText"/>
            </w:pPr>
          </w:p>
        </w:tc>
        <w:tc>
          <w:tcPr>
            <w:tcW w:w="624" w:type="dxa"/>
          </w:tcPr>
          <w:p w14:paraId="50CF50C1" w14:textId="77777777" w:rsidR="00D328C8" w:rsidRDefault="00D328C8">
            <w:pPr>
              <w:pStyle w:val="TableText"/>
            </w:pPr>
          </w:p>
        </w:tc>
        <w:tc>
          <w:tcPr>
            <w:tcW w:w="1872" w:type="dxa"/>
            <w:gridSpan w:val="3"/>
          </w:tcPr>
          <w:p w14:paraId="7E2B5E53" w14:textId="6C60FAE9" w:rsidR="00D328C8" w:rsidRDefault="00D328C8">
            <w:pPr>
              <w:pStyle w:val="TableText"/>
            </w:pPr>
            <w:r>
              <w:rPr>
                <w:rFonts w:hint="cs"/>
                <w:rtl/>
              </w:rPr>
              <w:t>"סייג להטלת התפקיד להרכיב ממשלה</w:t>
            </w:r>
          </w:p>
        </w:tc>
        <w:tc>
          <w:tcPr>
            <w:tcW w:w="624" w:type="dxa"/>
          </w:tcPr>
          <w:p w14:paraId="60CE87BE" w14:textId="52969019" w:rsidR="00D328C8" w:rsidRDefault="00D328C8">
            <w:pPr>
              <w:pStyle w:val="TableText"/>
            </w:pPr>
            <w:r>
              <w:rPr>
                <w:rFonts w:hint="cs"/>
                <w:rtl/>
              </w:rPr>
              <w:t>7א.</w:t>
            </w:r>
          </w:p>
        </w:tc>
        <w:tc>
          <w:tcPr>
            <w:tcW w:w="4024" w:type="dxa"/>
          </w:tcPr>
          <w:p w14:paraId="6E3A6BF2" w14:textId="2FD1FD22" w:rsidR="00D328C8" w:rsidRDefault="00D328C8">
            <w:pPr>
              <w:pStyle w:val="TableBlock"/>
            </w:pPr>
            <w:r>
              <w:rPr>
                <w:rFonts w:hint="cs"/>
                <w:rtl/>
              </w:rPr>
              <w:t>נשיא המדינה לא יטיל את תפקיד הרכבת הממשלה לפי סעיפים 7(א), 9(א), 10(ב) או 29(ג), על חבר הכנסת שתלוי ועומד נגדו כתב אישום, באחת מעבירות אלה:</w:t>
            </w:r>
          </w:p>
        </w:tc>
      </w:tr>
      <w:tr w:rsidR="009B3C3A" w14:paraId="47533272" w14:textId="77777777" w:rsidTr="00D328C8">
        <w:trPr>
          <w:cantSplit/>
        </w:trPr>
        <w:tc>
          <w:tcPr>
            <w:tcW w:w="1869" w:type="dxa"/>
          </w:tcPr>
          <w:p w14:paraId="7DB7679F" w14:textId="77777777" w:rsidR="009B3C3A" w:rsidRDefault="009B3C3A" w:rsidP="00026288">
            <w:pPr>
              <w:pStyle w:val="TableSideHeading"/>
            </w:pPr>
          </w:p>
        </w:tc>
        <w:tc>
          <w:tcPr>
            <w:tcW w:w="624" w:type="dxa"/>
          </w:tcPr>
          <w:p w14:paraId="000F4D48" w14:textId="77777777" w:rsidR="009B3C3A" w:rsidRDefault="009B3C3A" w:rsidP="00026288">
            <w:pPr>
              <w:pStyle w:val="TableText"/>
            </w:pPr>
          </w:p>
        </w:tc>
        <w:tc>
          <w:tcPr>
            <w:tcW w:w="624" w:type="dxa"/>
          </w:tcPr>
          <w:p w14:paraId="661462D9" w14:textId="77777777" w:rsidR="009B3C3A" w:rsidRDefault="009B3C3A" w:rsidP="00026288">
            <w:pPr>
              <w:pStyle w:val="TableText"/>
            </w:pPr>
          </w:p>
        </w:tc>
        <w:tc>
          <w:tcPr>
            <w:tcW w:w="624" w:type="dxa"/>
          </w:tcPr>
          <w:p w14:paraId="372118AB" w14:textId="77777777" w:rsidR="009B3C3A" w:rsidRDefault="009B3C3A" w:rsidP="00026288">
            <w:pPr>
              <w:pStyle w:val="TableText"/>
            </w:pPr>
          </w:p>
        </w:tc>
        <w:tc>
          <w:tcPr>
            <w:tcW w:w="624" w:type="dxa"/>
          </w:tcPr>
          <w:p w14:paraId="0BBC2693" w14:textId="77777777" w:rsidR="009B3C3A" w:rsidRDefault="009B3C3A" w:rsidP="00026288">
            <w:pPr>
              <w:pStyle w:val="TableText"/>
            </w:pPr>
          </w:p>
        </w:tc>
        <w:tc>
          <w:tcPr>
            <w:tcW w:w="624" w:type="dxa"/>
          </w:tcPr>
          <w:p w14:paraId="4C208FB2" w14:textId="77777777" w:rsidR="009B3C3A" w:rsidRDefault="009B3C3A" w:rsidP="00026288">
            <w:pPr>
              <w:pStyle w:val="TableText"/>
            </w:pPr>
          </w:p>
        </w:tc>
        <w:tc>
          <w:tcPr>
            <w:tcW w:w="624" w:type="dxa"/>
          </w:tcPr>
          <w:p w14:paraId="183585A5" w14:textId="77777777" w:rsidR="009B3C3A" w:rsidRDefault="009B3C3A" w:rsidP="00026288">
            <w:pPr>
              <w:pStyle w:val="TableText"/>
            </w:pPr>
          </w:p>
        </w:tc>
        <w:tc>
          <w:tcPr>
            <w:tcW w:w="4024" w:type="dxa"/>
          </w:tcPr>
          <w:p w14:paraId="5854C695" w14:textId="77777777" w:rsidR="009B3C3A" w:rsidRPr="00525EC1" w:rsidRDefault="009B3C3A" w:rsidP="00D328C8">
            <w:pPr>
              <w:pStyle w:val="TableBlock"/>
            </w:pPr>
            <w:r w:rsidRPr="00525EC1">
              <w:rPr>
                <w:rtl/>
              </w:rPr>
              <w:t>(1</w:t>
            </w:r>
            <w:r>
              <w:rPr>
                <w:rtl/>
              </w:rPr>
              <w:t>)</w:t>
            </w:r>
            <w:r>
              <w:rPr>
                <w:rtl/>
              </w:rPr>
              <w:tab/>
            </w:r>
            <w:r>
              <w:rPr>
                <w:rFonts w:hint="cs"/>
                <w:rtl/>
              </w:rPr>
              <w:t>עבירה חמורה שבנסיבות העניין יש עמה משום קלון;</w:t>
            </w:r>
          </w:p>
        </w:tc>
      </w:tr>
      <w:tr w:rsidR="009B3C3A" w14:paraId="4589DB65" w14:textId="77777777" w:rsidTr="00D328C8">
        <w:trPr>
          <w:cantSplit/>
        </w:trPr>
        <w:tc>
          <w:tcPr>
            <w:tcW w:w="1869" w:type="dxa"/>
          </w:tcPr>
          <w:p w14:paraId="5DC323F7" w14:textId="77777777" w:rsidR="009B3C3A" w:rsidRDefault="009B3C3A" w:rsidP="00026288">
            <w:pPr>
              <w:pStyle w:val="TableSideHeading"/>
            </w:pPr>
          </w:p>
        </w:tc>
        <w:tc>
          <w:tcPr>
            <w:tcW w:w="624" w:type="dxa"/>
          </w:tcPr>
          <w:p w14:paraId="2247B1CB" w14:textId="77777777" w:rsidR="009B3C3A" w:rsidRDefault="009B3C3A" w:rsidP="00026288">
            <w:pPr>
              <w:pStyle w:val="TableText"/>
            </w:pPr>
          </w:p>
        </w:tc>
        <w:tc>
          <w:tcPr>
            <w:tcW w:w="624" w:type="dxa"/>
          </w:tcPr>
          <w:p w14:paraId="337C8446" w14:textId="77777777" w:rsidR="009B3C3A" w:rsidRDefault="009B3C3A" w:rsidP="00026288">
            <w:pPr>
              <w:pStyle w:val="TableText"/>
            </w:pPr>
          </w:p>
        </w:tc>
        <w:tc>
          <w:tcPr>
            <w:tcW w:w="624" w:type="dxa"/>
          </w:tcPr>
          <w:p w14:paraId="4AEB4EDD" w14:textId="77777777" w:rsidR="009B3C3A" w:rsidRDefault="009B3C3A" w:rsidP="00026288">
            <w:pPr>
              <w:pStyle w:val="TableText"/>
            </w:pPr>
          </w:p>
        </w:tc>
        <w:tc>
          <w:tcPr>
            <w:tcW w:w="624" w:type="dxa"/>
          </w:tcPr>
          <w:p w14:paraId="403D6188" w14:textId="77777777" w:rsidR="009B3C3A" w:rsidRDefault="009B3C3A" w:rsidP="00026288">
            <w:pPr>
              <w:pStyle w:val="TableText"/>
            </w:pPr>
          </w:p>
        </w:tc>
        <w:tc>
          <w:tcPr>
            <w:tcW w:w="624" w:type="dxa"/>
          </w:tcPr>
          <w:p w14:paraId="0DD371CE" w14:textId="77777777" w:rsidR="009B3C3A" w:rsidRDefault="009B3C3A" w:rsidP="00026288">
            <w:pPr>
              <w:pStyle w:val="TableText"/>
            </w:pPr>
          </w:p>
        </w:tc>
        <w:tc>
          <w:tcPr>
            <w:tcW w:w="624" w:type="dxa"/>
          </w:tcPr>
          <w:p w14:paraId="03C1A5AF" w14:textId="77777777" w:rsidR="009B3C3A" w:rsidRDefault="009B3C3A" w:rsidP="00026288">
            <w:pPr>
              <w:pStyle w:val="TableText"/>
            </w:pPr>
          </w:p>
        </w:tc>
        <w:tc>
          <w:tcPr>
            <w:tcW w:w="4024" w:type="dxa"/>
          </w:tcPr>
          <w:p w14:paraId="36FDE6BE" w14:textId="77777777" w:rsidR="009B3C3A" w:rsidRPr="00525EC1" w:rsidRDefault="009B3C3A" w:rsidP="00D328C8">
            <w:pPr>
              <w:pStyle w:val="TableBlock"/>
              <w:rPr>
                <w:rtl/>
              </w:rPr>
            </w:pPr>
            <w:r>
              <w:rPr>
                <w:rFonts w:hint="cs"/>
                <w:rtl/>
              </w:rPr>
              <w:t>(2)</w:t>
            </w:r>
            <w:r>
              <w:rPr>
                <w:rtl/>
              </w:rPr>
              <w:tab/>
            </w:r>
            <w:r>
              <w:rPr>
                <w:rFonts w:hint="cs"/>
                <w:rtl/>
              </w:rPr>
              <w:t xml:space="preserve">עבירה לפי סעיף 284 לחוק העונשין, </w:t>
            </w:r>
            <w:proofErr w:type="spellStart"/>
            <w:r>
              <w:rPr>
                <w:rFonts w:hint="cs"/>
                <w:rtl/>
              </w:rPr>
              <w:t>התשל"ז</w:t>
            </w:r>
            <w:proofErr w:type="spellEnd"/>
            <w:r>
              <w:rPr>
                <w:rFonts w:hint="cs"/>
                <w:rtl/>
              </w:rPr>
              <w:t>–1977</w:t>
            </w:r>
            <w:r w:rsidRPr="00D328C8">
              <w:rPr>
                <w:rStyle w:val="a6"/>
                <w:rFonts w:ascii="David" w:hAnsi="David"/>
                <w:sz w:val="26"/>
                <w:rtl/>
              </w:rPr>
              <w:footnoteReference w:id="3"/>
            </w:r>
            <w:r>
              <w:rPr>
                <w:rFonts w:hint="cs"/>
                <w:rtl/>
              </w:rPr>
              <w:t>;</w:t>
            </w:r>
          </w:p>
        </w:tc>
      </w:tr>
      <w:tr w:rsidR="009B3C3A" w14:paraId="4A8609E1" w14:textId="77777777" w:rsidTr="00D328C8">
        <w:trPr>
          <w:cantSplit/>
        </w:trPr>
        <w:tc>
          <w:tcPr>
            <w:tcW w:w="1869" w:type="dxa"/>
          </w:tcPr>
          <w:p w14:paraId="54B27966" w14:textId="77777777" w:rsidR="009B3C3A" w:rsidRDefault="009B3C3A" w:rsidP="00026288">
            <w:pPr>
              <w:pStyle w:val="TableSideHeading"/>
            </w:pPr>
          </w:p>
        </w:tc>
        <w:tc>
          <w:tcPr>
            <w:tcW w:w="624" w:type="dxa"/>
          </w:tcPr>
          <w:p w14:paraId="5DE81160" w14:textId="77777777" w:rsidR="009B3C3A" w:rsidRDefault="009B3C3A" w:rsidP="00026288">
            <w:pPr>
              <w:pStyle w:val="TableText"/>
            </w:pPr>
          </w:p>
        </w:tc>
        <w:tc>
          <w:tcPr>
            <w:tcW w:w="624" w:type="dxa"/>
          </w:tcPr>
          <w:p w14:paraId="2AEF691E" w14:textId="77777777" w:rsidR="009B3C3A" w:rsidRDefault="009B3C3A" w:rsidP="00026288">
            <w:pPr>
              <w:pStyle w:val="TableText"/>
            </w:pPr>
          </w:p>
        </w:tc>
        <w:tc>
          <w:tcPr>
            <w:tcW w:w="624" w:type="dxa"/>
          </w:tcPr>
          <w:p w14:paraId="3DA06430" w14:textId="77777777" w:rsidR="009B3C3A" w:rsidRDefault="009B3C3A" w:rsidP="00026288">
            <w:pPr>
              <w:pStyle w:val="TableText"/>
            </w:pPr>
          </w:p>
        </w:tc>
        <w:tc>
          <w:tcPr>
            <w:tcW w:w="624" w:type="dxa"/>
          </w:tcPr>
          <w:p w14:paraId="4D30596E" w14:textId="77777777" w:rsidR="009B3C3A" w:rsidRDefault="009B3C3A" w:rsidP="00026288">
            <w:pPr>
              <w:pStyle w:val="TableText"/>
            </w:pPr>
          </w:p>
        </w:tc>
        <w:tc>
          <w:tcPr>
            <w:tcW w:w="624" w:type="dxa"/>
          </w:tcPr>
          <w:p w14:paraId="52E3C28D" w14:textId="77777777" w:rsidR="009B3C3A" w:rsidRDefault="009B3C3A" w:rsidP="00026288">
            <w:pPr>
              <w:pStyle w:val="TableText"/>
            </w:pPr>
          </w:p>
        </w:tc>
        <w:tc>
          <w:tcPr>
            <w:tcW w:w="624" w:type="dxa"/>
          </w:tcPr>
          <w:p w14:paraId="06AB8327" w14:textId="77777777" w:rsidR="009B3C3A" w:rsidRDefault="009B3C3A" w:rsidP="00026288">
            <w:pPr>
              <w:pStyle w:val="TableText"/>
            </w:pPr>
          </w:p>
        </w:tc>
        <w:tc>
          <w:tcPr>
            <w:tcW w:w="4024" w:type="dxa"/>
          </w:tcPr>
          <w:p w14:paraId="7CD3202B" w14:textId="77777777" w:rsidR="009B3C3A" w:rsidRDefault="009B3C3A" w:rsidP="00D328C8">
            <w:pPr>
              <w:pStyle w:val="TableBlock"/>
              <w:rPr>
                <w:rtl/>
              </w:rPr>
            </w:pPr>
            <w:r>
              <w:rPr>
                <w:rFonts w:hint="cs"/>
                <w:rtl/>
              </w:rPr>
              <w:t>(3)</w:t>
            </w:r>
            <w:r>
              <w:rPr>
                <w:rtl/>
              </w:rPr>
              <w:tab/>
            </w:r>
            <w:r>
              <w:rPr>
                <w:rFonts w:hint="cs"/>
                <w:rtl/>
              </w:rPr>
              <w:t>עבירה מסוג פשע."</w:t>
            </w:r>
          </w:p>
        </w:tc>
      </w:tr>
      <w:tr w:rsidR="009B3C3A" w14:paraId="0D448CA2" w14:textId="77777777" w:rsidTr="00D328C8">
        <w:trPr>
          <w:cantSplit/>
        </w:trPr>
        <w:tc>
          <w:tcPr>
            <w:tcW w:w="1869" w:type="dxa"/>
          </w:tcPr>
          <w:p w14:paraId="1335EB1C" w14:textId="77777777" w:rsidR="009B3C3A" w:rsidRDefault="009B3C3A" w:rsidP="00026288">
            <w:pPr>
              <w:pStyle w:val="TableSideHeading"/>
            </w:pPr>
          </w:p>
        </w:tc>
        <w:tc>
          <w:tcPr>
            <w:tcW w:w="624" w:type="dxa"/>
          </w:tcPr>
          <w:p w14:paraId="16895A01" w14:textId="77777777" w:rsidR="009B3C3A" w:rsidRDefault="009B3C3A" w:rsidP="00026288">
            <w:pPr>
              <w:pStyle w:val="TableText"/>
            </w:pPr>
          </w:p>
        </w:tc>
        <w:tc>
          <w:tcPr>
            <w:tcW w:w="624" w:type="dxa"/>
          </w:tcPr>
          <w:p w14:paraId="2E4EA11F" w14:textId="77777777" w:rsidR="009B3C3A" w:rsidRDefault="009B3C3A" w:rsidP="00026288">
            <w:pPr>
              <w:pStyle w:val="TableText"/>
            </w:pPr>
            <w:r>
              <w:rPr>
                <w:rFonts w:hint="cs"/>
                <w:rtl/>
              </w:rPr>
              <w:t>(3)</w:t>
            </w:r>
          </w:p>
        </w:tc>
        <w:tc>
          <w:tcPr>
            <w:tcW w:w="6520" w:type="dxa"/>
            <w:gridSpan w:val="5"/>
          </w:tcPr>
          <w:p w14:paraId="1987E40D" w14:textId="77777777" w:rsidR="009B3C3A" w:rsidRDefault="009B3C3A" w:rsidP="00D328C8">
            <w:pPr>
              <w:pStyle w:val="TableBlock"/>
            </w:pPr>
            <w:r>
              <w:rPr>
                <w:rFonts w:hint="cs"/>
                <w:rtl/>
              </w:rPr>
              <w:t>בסעיף 23 אחרי סעיף קטן (ב) יבוא:</w:t>
            </w:r>
          </w:p>
        </w:tc>
      </w:tr>
      <w:tr w:rsidR="009B3C3A" w14:paraId="5DC8E101" w14:textId="77777777" w:rsidTr="00D328C8">
        <w:trPr>
          <w:cantSplit/>
        </w:trPr>
        <w:tc>
          <w:tcPr>
            <w:tcW w:w="1869" w:type="dxa"/>
          </w:tcPr>
          <w:p w14:paraId="19D3E863" w14:textId="77777777" w:rsidR="009B3C3A" w:rsidRDefault="009B3C3A" w:rsidP="00026288">
            <w:pPr>
              <w:pStyle w:val="TableSideHeading"/>
            </w:pPr>
          </w:p>
        </w:tc>
        <w:tc>
          <w:tcPr>
            <w:tcW w:w="624" w:type="dxa"/>
          </w:tcPr>
          <w:p w14:paraId="7186E704" w14:textId="77777777" w:rsidR="009B3C3A" w:rsidRDefault="009B3C3A" w:rsidP="00026288">
            <w:pPr>
              <w:pStyle w:val="TableText"/>
            </w:pPr>
          </w:p>
        </w:tc>
        <w:tc>
          <w:tcPr>
            <w:tcW w:w="624" w:type="dxa"/>
          </w:tcPr>
          <w:p w14:paraId="5F59887A" w14:textId="77777777" w:rsidR="009B3C3A" w:rsidRDefault="009B3C3A" w:rsidP="00026288">
            <w:pPr>
              <w:pStyle w:val="TableText"/>
            </w:pPr>
          </w:p>
        </w:tc>
        <w:tc>
          <w:tcPr>
            <w:tcW w:w="624" w:type="dxa"/>
          </w:tcPr>
          <w:p w14:paraId="08D58C43" w14:textId="77777777" w:rsidR="009B3C3A" w:rsidRDefault="009B3C3A" w:rsidP="00026288">
            <w:pPr>
              <w:pStyle w:val="TableText"/>
            </w:pPr>
          </w:p>
        </w:tc>
        <w:tc>
          <w:tcPr>
            <w:tcW w:w="5896" w:type="dxa"/>
            <w:gridSpan w:val="4"/>
          </w:tcPr>
          <w:p w14:paraId="037294F3" w14:textId="77777777" w:rsidR="009B3C3A" w:rsidRDefault="009B3C3A" w:rsidP="00D328C8">
            <w:pPr>
              <w:pStyle w:val="TableBlock"/>
            </w:pPr>
            <w:r>
              <w:rPr>
                <w:rFonts w:hint="cs"/>
                <w:rtl/>
              </w:rPr>
              <w:t>"(ב1)</w:t>
            </w:r>
            <w:r>
              <w:rPr>
                <w:rtl/>
              </w:rPr>
              <w:tab/>
            </w:r>
            <w:r>
              <w:rPr>
                <w:rFonts w:hint="cs"/>
                <w:rtl/>
              </w:rPr>
              <w:t>הוגש לבית משפט כתב אישום נגד שר בעבירה מסוג עוון או פשע תיפסק כהונתו ביום הגשת כתב האישום כאמור."</w:t>
            </w:r>
          </w:p>
        </w:tc>
      </w:tr>
      <w:tr w:rsidR="009B3C3A" w14:paraId="42947D82" w14:textId="77777777" w:rsidTr="00D328C8">
        <w:trPr>
          <w:cantSplit/>
        </w:trPr>
        <w:tc>
          <w:tcPr>
            <w:tcW w:w="1869" w:type="dxa"/>
          </w:tcPr>
          <w:p w14:paraId="7E6CBC13" w14:textId="77777777" w:rsidR="009B3C3A" w:rsidRDefault="009B3C3A" w:rsidP="00026288">
            <w:pPr>
              <w:pStyle w:val="TableSideHeading"/>
            </w:pPr>
          </w:p>
        </w:tc>
        <w:tc>
          <w:tcPr>
            <w:tcW w:w="624" w:type="dxa"/>
          </w:tcPr>
          <w:p w14:paraId="2C782781" w14:textId="77777777" w:rsidR="009B3C3A" w:rsidRDefault="009B3C3A" w:rsidP="00026288">
            <w:pPr>
              <w:pStyle w:val="TableText"/>
            </w:pPr>
          </w:p>
        </w:tc>
        <w:tc>
          <w:tcPr>
            <w:tcW w:w="624" w:type="dxa"/>
          </w:tcPr>
          <w:p w14:paraId="18904A6B" w14:textId="77777777" w:rsidR="009B3C3A" w:rsidRDefault="009B3C3A" w:rsidP="00026288">
            <w:pPr>
              <w:pStyle w:val="TableText"/>
            </w:pPr>
            <w:r>
              <w:rPr>
                <w:rFonts w:hint="cs"/>
                <w:rtl/>
              </w:rPr>
              <w:t>(4)</w:t>
            </w:r>
          </w:p>
        </w:tc>
        <w:tc>
          <w:tcPr>
            <w:tcW w:w="6520" w:type="dxa"/>
            <w:gridSpan w:val="5"/>
          </w:tcPr>
          <w:p w14:paraId="7283BA71" w14:textId="77777777" w:rsidR="009B3C3A" w:rsidRDefault="009B3C3A" w:rsidP="00D328C8">
            <w:pPr>
              <w:pStyle w:val="TableBlock"/>
            </w:pPr>
            <w:r>
              <w:rPr>
                <w:rFonts w:hint="cs"/>
                <w:rtl/>
              </w:rPr>
              <w:t>בסעיף 25 אחרי סעיף קטן (ג) יבוא:</w:t>
            </w:r>
          </w:p>
        </w:tc>
      </w:tr>
      <w:tr w:rsidR="007A5249" w14:paraId="067632C8" w14:textId="77777777" w:rsidTr="008D1A8A">
        <w:trPr>
          <w:cantSplit/>
        </w:trPr>
        <w:tc>
          <w:tcPr>
            <w:tcW w:w="1869" w:type="dxa"/>
          </w:tcPr>
          <w:p w14:paraId="559FB2D3" w14:textId="77777777" w:rsidR="007A5249" w:rsidRDefault="007A5249" w:rsidP="00026288">
            <w:pPr>
              <w:pStyle w:val="TableSideHeading"/>
            </w:pPr>
          </w:p>
        </w:tc>
        <w:tc>
          <w:tcPr>
            <w:tcW w:w="624" w:type="dxa"/>
          </w:tcPr>
          <w:p w14:paraId="6A9C373F" w14:textId="77777777" w:rsidR="007A5249" w:rsidRDefault="007A5249" w:rsidP="00026288">
            <w:pPr>
              <w:pStyle w:val="TableText"/>
            </w:pPr>
          </w:p>
        </w:tc>
        <w:tc>
          <w:tcPr>
            <w:tcW w:w="624" w:type="dxa"/>
          </w:tcPr>
          <w:p w14:paraId="060049A0" w14:textId="77777777" w:rsidR="007A5249" w:rsidRDefault="007A5249" w:rsidP="00026288">
            <w:pPr>
              <w:pStyle w:val="TableText"/>
            </w:pPr>
          </w:p>
        </w:tc>
        <w:tc>
          <w:tcPr>
            <w:tcW w:w="6520" w:type="dxa"/>
            <w:gridSpan w:val="5"/>
          </w:tcPr>
          <w:p w14:paraId="4D99203A" w14:textId="77777777" w:rsidR="007A5249" w:rsidRDefault="007A5249" w:rsidP="00D328C8">
            <w:pPr>
              <w:pStyle w:val="TableBlock"/>
            </w:pPr>
            <w:r>
              <w:rPr>
                <w:rFonts w:hint="cs"/>
                <w:rtl/>
              </w:rPr>
              <w:t>"(ג1)</w:t>
            </w:r>
            <w:r>
              <w:rPr>
                <w:rtl/>
              </w:rPr>
              <w:tab/>
            </w:r>
            <w:r>
              <w:rPr>
                <w:rFonts w:hint="cs"/>
                <w:rtl/>
              </w:rPr>
              <w:t>לא יתמנה לסגן שר מי שתלוי ועומד נגדו כתב אישום, בעבירה מסוג עוון או פשע."</w:t>
            </w:r>
          </w:p>
        </w:tc>
      </w:tr>
      <w:tr w:rsidR="009B3C3A" w14:paraId="0223EF9E" w14:textId="77777777" w:rsidTr="00D328C8">
        <w:trPr>
          <w:cantSplit/>
        </w:trPr>
        <w:tc>
          <w:tcPr>
            <w:tcW w:w="1869" w:type="dxa"/>
          </w:tcPr>
          <w:p w14:paraId="7F86D0BC" w14:textId="77777777" w:rsidR="009B3C3A" w:rsidRDefault="009B3C3A" w:rsidP="00026288">
            <w:pPr>
              <w:pStyle w:val="TableSideHeading"/>
            </w:pPr>
          </w:p>
        </w:tc>
        <w:tc>
          <w:tcPr>
            <w:tcW w:w="624" w:type="dxa"/>
          </w:tcPr>
          <w:p w14:paraId="7202B155" w14:textId="77777777" w:rsidR="009B3C3A" w:rsidRDefault="009B3C3A" w:rsidP="00026288">
            <w:pPr>
              <w:pStyle w:val="TableText"/>
            </w:pPr>
          </w:p>
        </w:tc>
        <w:tc>
          <w:tcPr>
            <w:tcW w:w="624" w:type="dxa"/>
          </w:tcPr>
          <w:p w14:paraId="6C59FF97" w14:textId="77777777" w:rsidR="009B3C3A" w:rsidRDefault="009B3C3A" w:rsidP="00026288">
            <w:pPr>
              <w:pStyle w:val="TableText"/>
            </w:pPr>
            <w:r>
              <w:rPr>
                <w:rFonts w:hint="cs"/>
                <w:rtl/>
              </w:rPr>
              <w:t>(5)</w:t>
            </w:r>
          </w:p>
        </w:tc>
        <w:tc>
          <w:tcPr>
            <w:tcW w:w="6520" w:type="dxa"/>
            <w:gridSpan w:val="5"/>
          </w:tcPr>
          <w:p w14:paraId="53AF2B7B" w14:textId="77777777" w:rsidR="009B3C3A" w:rsidRDefault="009B3C3A" w:rsidP="00D328C8">
            <w:pPr>
              <w:pStyle w:val="TableBlock"/>
            </w:pPr>
            <w:r>
              <w:rPr>
                <w:rFonts w:hint="cs"/>
                <w:rtl/>
              </w:rPr>
              <w:t>במקום סעיף 27 יבוא:</w:t>
            </w:r>
          </w:p>
        </w:tc>
      </w:tr>
      <w:tr w:rsidR="007A5249" w14:paraId="22BA0D47" w14:textId="77777777" w:rsidTr="0003022D">
        <w:trPr>
          <w:cantSplit/>
          <w:trHeight w:val="60"/>
        </w:trPr>
        <w:tc>
          <w:tcPr>
            <w:tcW w:w="1869" w:type="dxa"/>
          </w:tcPr>
          <w:p w14:paraId="21B6FBA0" w14:textId="77777777" w:rsidR="007A5249" w:rsidRDefault="007A5249" w:rsidP="007A5249">
            <w:pPr>
              <w:pStyle w:val="TableSideHeading"/>
            </w:pPr>
          </w:p>
        </w:tc>
        <w:tc>
          <w:tcPr>
            <w:tcW w:w="624" w:type="dxa"/>
          </w:tcPr>
          <w:p w14:paraId="03DFECF0" w14:textId="77777777" w:rsidR="007A5249" w:rsidRDefault="007A5249" w:rsidP="007A5249">
            <w:pPr>
              <w:pStyle w:val="TableText"/>
            </w:pPr>
          </w:p>
        </w:tc>
        <w:tc>
          <w:tcPr>
            <w:tcW w:w="624" w:type="dxa"/>
          </w:tcPr>
          <w:p w14:paraId="4091756D" w14:textId="77777777" w:rsidR="007A5249" w:rsidRDefault="007A5249" w:rsidP="007A5249">
            <w:pPr>
              <w:pStyle w:val="TableText"/>
            </w:pPr>
          </w:p>
        </w:tc>
        <w:tc>
          <w:tcPr>
            <w:tcW w:w="1872" w:type="dxa"/>
            <w:gridSpan w:val="3"/>
          </w:tcPr>
          <w:p w14:paraId="5110C4DD" w14:textId="48902C89" w:rsidR="007A5249" w:rsidRDefault="007A5249" w:rsidP="007A5249">
            <w:pPr>
              <w:pStyle w:val="TableText"/>
            </w:pPr>
            <w:r>
              <w:rPr>
                <w:rFonts w:hint="cs"/>
                <w:rtl/>
              </w:rPr>
              <w:t>"הפסקת כהונת סגן שר מחמת עבירה</w:t>
            </w:r>
          </w:p>
        </w:tc>
        <w:tc>
          <w:tcPr>
            <w:tcW w:w="624" w:type="dxa"/>
          </w:tcPr>
          <w:p w14:paraId="0B5D412F" w14:textId="5E095A16" w:rsidR="007A5249" w:rsidRDefault="007A5249" w:rsidP="007A5249">
            <w:pPr>
              <w:pStyle w:val="TableText"/>
            </w:pPr>
            <w:r>
              <w:rPr>
                <w:rFonts w:hint="cs"/>
                <w:rtl/>
              </w:rPr>
              <w:t>27.</w:t>
            </w:r>
          </w:p>
        </w:tc>
        <w:tc>
          <w:tcPr>
            <w:tcW w:w="4024" w:type="dxa"/>
          </w:tcPr>
          <w:p w14:paraId="139A54F6" w14:textId="27D1E16D" w:rsidR="007A5249" w:rsidRDefault="007A5249" w:rsidP="007A5249">
            <w:pPr>
              <w:pStyle w:val="TableBlock"/>
            </w:pPr>
            <w:r>
              <w:rPr>
                <w:rFonts w:hint="cs"/>
                <w:rtl/>
              </w:rPr>
              <w:t>הוגש לבית המשפט כתב אישום נגד סגן שר בעבירה מסוג עוון או פשע תיפסק כהונת סגן השר ביום הגשת כתב האישום כאמור."</w:t>
            </w:r>
          </w:p>
        </w:tc>
      </w:tr>
      <w:tr w:rsidR="007A5249" w14:paraId="77E48E6D" w14:textId="77777777" w:rsidTr="00D328C8">
        <w:trPr>
          <w:cantSplit/>
        </w:trPr>
        <w:tc>
          <w:tcPr>
            <w:tcW w:w="1869" w:type="dxa"/>
          </w:tcPr>
          <w:p w14:paraId="4E609328" w14:textId="77777777" w:rsidR="007A5249" w:rsidRDefault="007A5249" w:rsidP="007A5249">
            <w:pPr>
              <w:pStyle w:val="TableSideHeading"/>
            </w:pPr>
          </w:p>
        </w:tc>
        <w:tc>
          <w:tcPr>
            <w:tcW w:w="624" w:type="dxa"/>
          </w:tcPr>
          <w:p w14:paraId="69FA3E9E" w14:textId="77777777" w:rsidR="007A5249" w:rsidRDefault="007A5249" w:rsidP="007A5249">
            <w:pPr>
              <w:pStyle w:val="TableText"/>
            </w:pPr>
          </w:p>
        </w:tc>
        <w:tc>
          <w:tcPr>
            <w:tcW w:w="624" w:type="dxa"/>
          </w:tcPr>
          <w:p w14:paraId="4041327A" w14:textId="77777777" w:rsidR="007A5249" w:rsidRDefault="007A5249" w:rsidP="007A5249">
            <w:pPr>
              <w:pStyle w:val="TableText"/>
            </w:pPr>
            <w:r>
              <w:rPr>
                <w:rFonts w:hint="cs"/>
                <w:rtl/>
              </w:rPr>
              <w:t>(6)</w:t>
            </w:r>
          </w:p>
        </w:tc>
        <w:tc>
          <w:tcPr>
            <w:tcW w:w="6520" w:type="dxa"/>
            <w:gridSpan w:val="5"/>
          </w:tcPr>
          <w:p w14:paraId="203A4E8F" w14:textId="77777777" w:rsidR="007A5249" w:rsidRDefault="007A5249" w:rsidP="007A5249">
            <w:pPr>
              <w:pStyle w:val="TableBlock"/>
            </w:pPr>
            <w:r>
              <w:rPr>
                <w:rFonts w:hint="cs"/>
                <w:rtl/>
              </w:rPr>
              <w:t xml:space="preserve">בסעיף 43ז – </w:t>
            </w:r>
          </w:p>
        </w:tc>
      </w:tr>
      <w:tr w:rsidR="007A5249" w14:paraId="0A4F88AE" w14:textId="77777777" w:rsidTr="00D328C8">
        <w:trPr>
          <w:cantSplit/>
        </w:trPr>
        <w:tc>
          <w:tcPr>
            <w:tcW w:w="1869" w:type="dxa"/>
          </w:tcPr>
          <w:p w14:paraId="1638DA92" w14:textId="77777777" w:rsidR="007A5249" w:rsidRDefault="007A5249" w:rsidP="007A5249">
            <w:pPr>
              <w:pStyle w:val="TableSideHeading"/>
            </w:pPr>
          </w:p>
        </w:tc>
        <w:tc>
          <w:tcPr>
            <w:tcW w:w="624" w:type="dxa"/>
          </w:tcPr>
          <w:p w14:paraId="1E25C6F7" w14:textId="77777777" w:rsidR="007A5249" w:rsidRDefault="007A5249" w:rsidP="007A5249">
            <w:pPr>
              <w:pStyle w:val="TableText"/>
            </w:pPr>
          </w:p>
        </w:tc>
        <w:tc>
          <w:tcPr>
            <w:tcW w:w="624" w:type="dxa"/>
          </w:tcPr>
          <w:p w14:paraId="2A4EC6DA" w14:textId="77777777" w:rsidR="007A5249" w:rsidRDefault="007A5249" w:rsidP="007A5249">
            <w:pPr>
              <w:pStyle w:val="TableText"/>
            </w:pPr>
          </w:p>
        </w:tc>
        <w:tc>
          <w:tcPr>
            <w:tcW w:w="624" w:type="dxa"/>
          </w:tcPr>
          <w:p w14:paraId="2B2F59DC" w14:textId="77777777" w:rsidR="007A5249" w:rsidRDefault="007A5249" w:rsidP="007A5249">
            <w:pPr>
              <w:pStyle w:val="TableText"/>
            </w:pPr>
            <w:r>
              <w:rPr>
                <w:rFonts w:hint="cs"/>
                <w:rtl/>
              </w:rPr>
              <w:t>(א)</w:t>
            </w:r>
          </w:p>
        </w:tc>
        <w:tc>
          <w:tcPr>
            <w:tcW w:w="5896" w:type="dxa"/>
            <w:gridSpan w:val="4"/>
          </w:tcPr>
          <w:p w14:paraId="52971D65" w14:textId="77777777" w:rsidR="007A5249" w:rsidRDefault="007A5249" w:rsidP="007A5249">
            <w:pPr>
              <w:pStyle w:val="TableBlock"/>
            </w:pPr>
            <w:r>
              <w:rPr>
                <w:rFonts w:hint="cs"/>
                <w:rtl/>
              </w:rPr>
              <w:t>בסעיף קטן (א) יימחקו המילים "18, 23(ג)</w:t>
            </w:r>
          </w:p>
        </w:tc>
      </w:tr>
      <w:tr w:rsidR="007A5249" w14:paraId="3B251904" w14:textId="77777777" w:rsidTr="00D328C8">
        <w:trPr>
          <w:cantSplit/>
        </w:trPr>
        <w:tc>
          <w:tcPr>
            <w:tcW w:w="1869" w:type="dxa"/>
          </w:tcPr>
          <w:p w14:paraId="283B3EA6" w14:textId="77777777" w:rsidR="007A5249" w:rsidRDefault="007A5249" w:rsidP="007A5249">
            <w:pPr>
              <w:pStyle w:val="TableSideHeading"/>
              <w:rPr>
                <w:rtl/>
              </w:rPr>
            </w:pPr>
          </w:p>
        </w:tc>
        <w:tc>
          <w:tcPr>
            <w:tcW w:w="624" w:type="dxa"/>
          </w:tcPr>
          <w:p w14:paraId="03DF2C11" w14:textId="77777777" w:rsidR="007A5249" w:rsidRDefault="007A5249" w:rsidP="007A5249">
            <w:pPr>
              <w:pStyle w:val="TableText"/>
            </w:pPr>
          </w:p>
        </w:tc>
        <w:tc>
          <w:tcPr>
            <w:tcW w:w="624" w:type="dxa"/>
          </w:tcPr>
          <w:p w14:paraId="23AA3FC6" w14:textId="77777777" w:rsidR="007A5249" w:rsidRDefault="007A5249" w:rsidP="007A5249">
            <w:pPr>
              <w:pStyle w:val="TableText"/>
            </w:pPr>
          </w:p>
        </w:tc>
        <w:tc>
          <w:tcPr>
            <w:tcW w:w="624" w:type="dxa"/>
          </w:tcPr>
          <w:p w14:paraId="555D603A" w14:textId="77777777" w:rsidR="007A5249" w:rsidRDefault="007A5249" w:rsidP="007A5249">
            <w:pPr>
              <w:pStyle w:val="TableText"/>
              <w:rPr>
                <w:rtl/>
              </w:rPr>
            </w:pPr>
            <w:r>
              <w:rPr>
                <w:rFonts w:hint="cs"/>
                <w:rtl/>
              </w:rPr>
              <w:t>(ב)</w:t>
            </w:r>
          </w:p>
        </w:tc>
        <w:tc>
          <w:tcPr>
            <w:tcW w:w="5896" w:type="dxa"/>
            <w:gridSpan w:val="4"/>
          </w:tcPr>
          <w:p w14:paraId="7A416DFA" w14:textId="77777777" w:rsidR="007A5249" w:rsidRDefault="007A5249" w:rsidP="007A5249">
            <w:pPr>
              <w:pStyle w:val="TableBlock"/>
              <w:rPr>
                <w:rtl/>
              </w:rPr>
            </w:pPr>
            <w:r>
              <w:rPr>
                <w:rFonts w:hint="cs"/>
                <w:rtl/>
              </w:rPr>
              <w:t>במקום סעיף קטן (ב) יבוא:</w:t>
            </w:r>
          </w:p>
        </w:tc>
      </w:tr>
      <w:tr w:rsidR="007A5249" w14:paraId="475A26D3" w14:textId="77777777" w:rsidTr="00D328C8">
        <w:trPr>
          <w:cantSplit/>
        </w:trPr>
        <w:tc>
          <w:tcPr>
            <w:tcW w:w="1869" w:type="dxa"/>
          </w:tcPr>
          <w:p w14:paraId="193D7869" w14:textId="77777777" w:rsidR="007A5249" w:rsidRDefault="007A5249" w:rsidP="007A5249">
            <w:pPr>
              <w:pStyle w:val="TableSideHeading"/>
            </w:pPr>
          </w:p>
        </w:tc>
        <w:tc>
          <w:tcPr>
            <w:tcW w:w="624" w:type="dxa"/>
          </w:tcPr>
          <w:p w14:paraId="66411255" w14:textId="77777777" w:rsidR="007A5249" w:rsidRDefault="007A5249" w:rsidP="007A5249">
            <w:pPr>
              <w:pStyle w:val="TableText"/>
            </w:pPr>
          </w:p>
        </w:tc>
        <w:tc>
          <w:tcPr>
            <w:tcW w:w="624" w:type="dxa"/>
          </w:tcPr>
          <w:p w14:paraId="69693DF0" w14:textId="77777777" w:rsidR="007A5249" w:rsidRDefault="007A5249" w:rsidP="007A5249">
            <w:pPr>
              <w:pStyle w:val="TableText"/>
            </w:pPr>
          </w:p>
        </w:tc>
        <w:tc>
          <w:tcPr>
            <w:tcW w:w="624" w:type="dxa"/>
          </w:tcPr>
          <w:p w14:paraId="057A1215" w14:textId="77777777" w:rsidR="007A5249" w:rsidRDefault="007A5249" w:rsidP="007A5249">
            <w:pPr>
              <w:pStyle w:val="TableText"/>
            </w:pPr>
          </w:p>
        </w:tc>
        <w:tc>
          <w:tcPr>
            <w:tcW w:w="624" w:type="dxa"/>
          </w:tcPr>
          <w:p w14:paraId="371466B4" w14:textId="77777777" w:rsidR="007A5249" w:rsidRDefault="007A5249" w:rsidP="007A5249">
            <w:pPr>
              <w:pStyle w:val="TableText"/>
            </w:pPr>
          </w:p>
        </w:tc>
        <w:tc>
          <w:tcPr>
            <w:tcW w:w="5272" w:type="dxa"/>
            <w:gridSpan w:val="3"/>
          </w:tcPr>
          <w:p w14:paraId="24B4CE46" w14:textId="77777777" w:rsidR="007A5249" w:rsidRDefault="007A5249" w:rsidP="007A5249">
            <w:pPr>
              <w:pStyle w:val="TableBlock"/>
            </w:pPr>
            <w:r>
              <w:rPr>
                <w:rFonts w:hint="cs"/>
                <w:rtl/>
              </w:rPr>
              <w:t>"(ב)</w:t>
            </w:r>
            <w:r>
              <w:rPr>
                <w:rtl/>
              </w:rPr>
              <w:tab/>
            </w:r>
            <w:r>
              <w:rPr>
                <w:rFonts w:hint="cs"/>
                <w:rtl/>
              </w:rPr>
              <w:t>הוגש לבית המשפט כתב אישום נגד ראש ממשלה חלופי בעבירה מסוג עוון או פשע תיפסק כהונתו ביום הגשת כתב האישום כאמור."</w:t>
            </w:r>
          </w:p>
        </w:tc>
      </w:tr>
      <w:tr w:rsidR="007A5249" w14:paraId="1CA226EF" w14:textId="77777777" w:rsidTr="00D328C8">
        <w:trPr>
          <w:cantSplit/>
        </w:trPr>
        <w:tc>
          <w:tcPr>
            <w:tcW w:w="1869" w:type="dxa"/>
          </w:tcPr>
          <w:p w14:paraId="68904CDC" w14:textId="77777777" w:rsidR="007A5249" w:rsidRDefault="007A5249" w:rsidP="007A5249">
            <w:pPr>
              <w:pStyle w:val="TableSideHeading"/>
            </w:pPr>
          </w:p>
        </w:tc>
        <w:tc>
          <w:tcPr>
            <w:tcW w:w="624" w:type="dxa"/>
          </w:tcPr>
          <w:p w14:paraId="02E17675" w14:textId="77777777" w:rsidR="007A5249" w:rsidRDefault="007A5249" w:rsidP="007A5249">
            <w:pPr>
              <w:pStyle w:val="TableText"/>
            </w:pPr>
          </w:p>
        </w:tc>
        <w:tc>
          <w:tcPr>
            <w:tcW w:w="624" w:type="dxa"/>
          </w:tcPr>
          <w:p w14:paraId="1E8A1483" w14:textId="77777777" w:rsidR="007A5249" w:rsidRDefault="007A5249" w:rsidP="007A5249">
            <w:pPr>
              <w:pStyle w:val="TableText"/>
            </w:pPr>
            <w:r>
              <w:rPr>
                <w:rFonts w:hint="cs"/>
                <w:rtl/>
              </w:rPr>
              <w:t>(7)</w:t>
            </w:r>
          </w:p>
        </w:tc>
        <w:tc>
          <w:tcPr>
            <w:tcW w:w="6520" w:type="dxa"/>
            <w:gridSpan w:val="5"/>
          </w:tcPr>
          <w:p w14:paraId="3241AD4D" w14:textId="77777777" w:rsidR="007A5249" w:rsidRDefault="007A5249" w:rsidP="007A5249">
            <w:pPr>
              <w:pStyle w:val="TableBlock"/>
            </w:pPr>
            <w:r>
              <w:rPr>
                <w:rFonts w:hint="cs"/>
                <w:rtl/>
              </w:rPr>
              <w:t>אחרי סעיף 44 יבוא:</w:t>
            </w:r>
          </w:p>
        </w:tc>
      </w:tr>
      <w:tr w:rsidR="007A5249" w14:paraId="6B595964" w14:textId="77777777" w:rsidTr="006C364C">
        <w:trPr>
          <w:cantSplit/>
          <w:trHeight w:val="60"/>
        </w:trPr>
        <w:tc>
          <w:tcPr>
            <w:tcW w:w="1869" w:type="dxa"/>
          </w:tcPr>
          <w:p w14:paraId="00E3F118" w14:textId="77777777" w:rsidR="007A5249" w:rsidRDefault="007A5249" w:rsidP="007A5249">
            <w:pPr>
              <w:pStyle w:val="TableSideHeading"/>
            </w:pPr>
          </w:p>
        </w:tc>
        <w:tc>
          <w:tcPr>
            <w:tcW w:w="624" w:type="dxa"/>
          </w:tcPr>
          <w:p w14:paraId="43A4CD81" w14:textId="77777777" w:rsidR="007A5249" w:rsidRDefault="007A5249" w:rsidP="007A5249">
            <w:pPr>
              <w:pStyle w:val="TableText"/>
            </w:pPr>
          </w:p>
        </w:tc>
        <w:tc>
          <w:tcPr>
            <w:tcW w:w="624" w:type="dxa"/>
          </w:tcPr>
          <w:p w14:paraId="246CB904" w14:textId="77777777" w:rsidR="007A5249" w:rsidRDefault="007A5249" w:rsidP="007A5249">
            <w:pPr>
              <w:pStyle w:val="TableText"/>
            </w:pPr>
          </w:p>
        </w:tc>
        <w:tc>
          <w:tcPr>
            <w:tcW w:w="1872" w:type="dxa"/>
            <w:gridSpan w:val="3"/>
          </w:tcPr>
          <w:p w14:paraId="7A9ECA4C" w14:textId="786D0AC6" w:rsidR="007A5249" w:rsidRDefault="007A5249" w:rsidP="007A5249">
            <w:pPr>
              <w:pStyle w:val="TableText"/>
            </w:pPr>
            <w:r>
              <w:rPr>
                <w:rFonts w:hint="cs"/>
                <w:rtl/>
              </w:rPr>
              <w:t>"נוקשות</w:t>
            </w:r>
          </w:p>
        </w:tc>
        <w:tc>
          <w:tcPr>
            <w:tcW w:w="624" w:type="dxa"/>
          </w:tcPr>
          <w:p w14:paraId="38C3C9C9" w14:textId="0A435361" w:rsidR="007A5249" w:rsidRDefault="007A5249" w:rsidP="007A5249">
            <w:pPr>
              <w:pStyle w:val="TableText"/>
            </w:pPr>
            <w:r>
              <w:rPr>
                <w:rFonts w:hint="cs"/>
                <w:rtl/>
              </w:rPr>
              <w:t>44א.</w:t>
            </w:r>
          </w:p>
        </w:tc>
        <w:tc>
          <w:tcPr>
            <w:tcW w:w="4024" w:type="dxa"/>
          </w:tcPr>
          <w:p w14:paraId="4A20E761" w14:textId="53E2770B" w:rsidR="007A5249" w:rsidRDefault="007A5249" w:rsidP="007A5249">
            <w:pPr>
              <w:pStyle w:val="TableBlock"/>
            </w:pPr>
            <w:r>
              <w:rPr>
                <w:rFonts w:hint="cs"/>
                <w:rtl/>
              </w:rPr>
              <w:t>אין לשנות את הוראות סעיפים 6(ו), 7א, 23(ב1), 27ו-43ז(ב1), אלא בחוק-יסוד שנתקבל ברוב של שמונים חברי כנסת; אין לשנות את הוראות סעיף זה אלא בחוק-יסוד שהתקבל ברוב של חברי הכנסת."</w:t>
            </w:r>
          </w:p>
        </w:tc>
      </w:tr>
      <w:tr w:rsidR="007A5249" w14:paraId="2FD6265B" w14:textId="77777777" w:rsidTr="00D328C8">
        <w:trPr>
          <w:cantSplit/>
        </w:trPr>
        <w:tc>
          <w:tcPr>
            <w:tcW w:w="1869" w:type="dxa"/>
          </w:tcPr>
          <w:p w14:paraId="5E221CEC" w14:textId="77777777" w:rsidR="007A5249" w:rsidRDefault="007A5249" w:rsidP="007A5249">
            <w:pPr>
              <w:pStyle w:val="TableSideHeading"/>
              <w:rPr>
                <w:rtl/>
              </w:rPr>
            </w:pPr>
            <w:r>
              <w:rPr>
                <w:rFonts w:hint="cs"/>
                <w:rtl/>
              </w:rPr>
              <w:t>תיקון חוק-יסוד: נשיא המדינה</w:t>
            </w:r>
          </w:p>
        </w:tc>
        <w:tc>
          <w:tcPr>
            <w:tcW w:w="624" w:type="dxa"/>
          </w:tcPr>
          <w:p w14:paraId="5DBC6645" w14:textId="77777777" w:rsidR="007A5249" w:rsidRDefault="007A5249" w:rsidP="007A5249">
            <w:pPr>
              <w:pStyle w:val="TableText"/>
              <w:rPr>
                <w:rtl/>
              </w:rPr>
            </w:pPr>
            <w:r>
              <w:rPr>
                <w:rFonts w:hint="cs"/>
                <w:rtl/>
              </w:rPr>
              <w:t>2.</w:t>
            </w:r>
          </w:p>
        </w:tc>
        <w:tc>
          <w:tcPr>
            <w:tcW w:w="7144" w:type="dxa"/>
            <w:gridSpan w:val="6"/>
          </w:tcPr>
          <w:p w14:paraId="1FAC4B6C" w14:textId="77777777" w:rsidR="007A5249" w:rsidRDefault="007A5249" w:rsidP="007A5249">
            <w:pPr>
              <w:pStyle w:val="TableBlock"/>
              <w:rPr>
                <w:rtl/>
              </w:rPr>
            </w:pPr>
            <w:r>
              <w:rPr>
                <w:rFonts w:hint="cs"/>
                <w:rtl/>
              </w:rPr>
              <w:t>בחוק-יסוד: נשיא המדינה</w:t>
            </w:r>
            <w:r w:rsidRPr="00D328C8">
              <w:rPr>
                <w:rStyle w:val="a6"/>
                <w:rFonts w:ascii="David" w:hAnsi="David"/>
                <w:sz w:val="26"/>
                <w:rtl/>
              </w:rPr>
              <w:footnoteReference w:id="4"/>
            </w:r>
            <w:r>
              <w:rPr>
                <w:rFonts w:hint="cs"/>
                <w:rtl/>
              </w:rPr>
              <w:t xml:space="preserve"> –</w:t>
            </w:r>
          </w:p>
        </w:tc>
      </w:tr>
      <w:tr w:rsidR="007A5249" w14:paraId="0FD306B3" w14:textId="77777777" w:rsidTr="00D328C8">
        <w:trPr>
          <w:cantSplit/>
        </w:trPr>
        <w:tc>
          <w:tcPr>
            <w:tcW w:w="1869" w:type="dxa"/>
          </w:tcPr>
          <w:p w14:paraId="458A4CC5" w14:textId="77777777" w:rsidR="007A5249" w:rsidRDefault="007A5249" w:rsidP="007A5249">
            <w:pPr>
              <w:pStyle w:val="TableSideHeading"/>
            </w:pPr>
          </w:p>
        </w:tc>
        <w:tc>
          <w:tcPr>
            <w:tcW w:w="624" w:type="dxa"/>
          </w:tcPr>
          <w:p w14:paraId="65B007FE" w14:textId="77777777" w:rsidR="007A5249" w:rsidRDefault="007A5249" w:rsidP="007A5249">
            <w:pPr>
              <w:pStyle w:val="TableText"/>
            </w:pPr>
          </w:p>
        </w:tc>
        <w:tc>
          <w:tcPr>
            <w:tcW w:w="624" w:type="dxa"/>
          </w:tcPr>
          <w:p w14:paraId="2D2F80BA" w14:textId="77777777" w:rsidR="007A5249" w:rsidRDefault="007A5249" w:rsidP="007A5249">
            <w:pPr>
              <w:pStyle w:val="TableText"/>
            </w:pPr>
            <w:r>
              <w:rPr>
                <w:rFonts w:hint="cs"/>
                <w:rtl/>
              </w:rPr>
              <w:t>(1)</w:t>
            </w:r>
          </w:p>
        </w:tc>
        <w:tc>
          <w:tcPr>
            <w:tcW w:w="6520" w:type="dxa"/>
            <w:gridSpan w:val="5"/>
          </w:tcPr>
          <w:p w14:paraId="126A372A" w14:textId="77777777" w:rsidR="007A5249" w:rsidRDefault="007A5249" w:rsidP="007A5249">
            <w:pPr>
              <w:pStyle w:val="TableBlock"/>
            </w:pPr>
            <w:r>
              <w:rPr>
                <w:rFonts w:hint="cs"/>
                <w:rtl/>
              </w:rPr>
              <w:t>בסעיף 4, אחרי "תושב ישראל" יבוא "למעט מי שתלוי ועומד נגדו כתב אישום, בעבירה מסוג עוון או פשע או שהורשע בעבירה כאמור."</w:t>
            </w:r>
          </w:p>
        </w:tc>
      </w:tr>
      <w:tr w:rsidR="007A5249" w14:paraId="59F66EDD" w14:textId="77777777" w:rsidTr="00D328C8">
        <w:trPr>
          <w:cantSplit/>
        </w:trPr>
        <w:tc>
          <w:tcPr>
            <w:tcW w:w="1869" w:type="dxa"/>
          </w:tcPr>
          <w:p w14:paraId="2DB4BC99" w14:textId="77777777" w:rsidR="007A5249" w:rsidRDefault="007A5249" w:rsidP="007A5249">
            <w:pPr>
              <w:pStyle w:val="TableSideHeading"/>
            </w:pPr>
          </w:p>
        </w:tc>
        <w:tc>
          <w:tcPr>
            <w:tcW w:w="624" w:type="dxa"/>
          </w:tcPr>
          <w:p w14:paraId="09B3FC92" w14:textId="77777777" w:rsidR="007A5249" w:rsidRDefault="007A5249" w:rsidP="007A5249">
            <w:pPr>
              <w:pStyle w:val="TableText"/>
            </w:pPr>
          </w:p>
        </w:tc>
        <w:tc>
          <w:tcPr>
            <w:tcW w:w="624" w:type="dxa"/>
          </w:tcPr>
          <w:p w14:paraId="58ED2F59" w14:textId="77777777" w:rsidR="007A5249" w:rsidRDefault="007A5249" w:rsidP="007A5249">
            <w:pPr>
              <w:pStyle w:val="TableText"/>
              <w:rPr>
                <w:rtl/>
              </w:rPr>
            </w:pPr>
            <w:r>
              <w:rPr>
                <w:rFonts w:hint="cs"/>
                <w:rtl/>
              </w:rPr>
              <w:t>(2)</w:t>
            </w:r>
          </w:p>
        </w:tc>
        <w:tc>
          <w:tcPr>
            <w:tcW w:w="6520" w:type="dxa"/>
            <w:gridSpan w:val="5"/>
          </w:tcPr>
          <w:p w14:paraId="1E3E6005" w14:textId="77777777" w:rsidR="007A5249" w:rsidRDefault="007A5249" w:rsidP="007A5249">
            <w:pPr>
              <w:pStyle w:val="TableBlock"/>
              <w:rPr>
                <w:rtl/>
              </w:rPr>
            </w:pPr>
            <w:r>
              <w:rPr>
                <w:rFonts w:hint="cs"/>
                <w:rtl/>
              </w:rPr>
              <w:t>אחרי סעיף 25 יבוא:</w:t>
            </w:r>
          </w:p>
        </w:tc>
      </w:tr>
      <w:tr w:rsidR="003D5ABE" w14:paraId="7AA1767D" w14:textId="77777777" w:rsidTr="00FB1A33">
        <w:trPr>
          <w:cantSplit/>
          <w:trHeight w:val="60"/>
        </w:trPr>
        <w:tc>
          <w:tcPr>
            <w:tcW w:w="1869" w:type="dxa"/>
          </w:tcPr>
          <w:p w14:paraId="721214BA" w14:textId="77777777" w:rsidR="003D5ABE" w:rsidRDefault="003D5ABE" w:rsidP="003D5ABE">
            <w:pPr>
              <w:pStyle w:val="TableSideHeading"/>
            </w:pPr>
          </w:p>
        </w:tc>
        <w:tc>
          <w:tcPr>
            <w:tcW w:w="624" w:type="dxa"/>
          </w:tcPr>
          <w:p w14:paraId="3AB2274B" w14:textId="77777777" w:rsidR="003D5ABE" w:rsidRDefault="003D5ABE" w:rsidP="003D5ABE">
            <w:pPr>
              <w:pStyle w:val="TableText"/>
            </w:pPr>
          </w:p>
        </w:tc>
        <w:tc>
          <w:tcPr>
            <w:tcW w:w="624" w:type="dxa"/>
          </w:tcPr>
          <w:p w14:paraId="5F9A4EAC" w14:textId="77777777" w:rsidR="003D5ABE" w:rsidRDefault="003D5ABE" w:rsidP="003D5ABE">
            <w:pPr>
              <w:pStyle w:val="TableText"/>
            </w:pPr>
          </w:p>
        </w:tc>
        <w:tc>
          <w:tcPr>
            <w:tcW w:w="1872" w:type="dxa"/>
            <w:gridSpan w:val="3"/>
          </w:tcPr>
          <w:p w14:paraId="62085818" w14:textId="4FB05571" w:rsidR="003D5ABE" w:rsidRDefault="003D5ABE" w:rsidP="003D5ABE">
            <w:pPr>
              <w:pStyle w:val="TableText"/>
            </w:pPr>
            <w:r>
              <w:rPr>
                <w:rFonts w:hint="cs"/>
                <w:rtl/>
              </w:rPr>
              <w:t>"נוקשות</w:t>
            </w:r>
          </w:p>
        </w:tc>
        <w:tc>
          <w:tcPr>
            <w:tcW w:w="624" w:type="dxa"/>
          </w:tcPr>
          <w:p w14:paraId="752872A6" w14:textId="3ACABECC" w:rsidR="003D5ABE" w:rsidRDefault="003D5ABE" w:rsidP="003D5ABE">
            <w:pPr>
              <w:pStyle w:val="TableText"/>
            </w:pPr>
            <w:r>
              <w:rPr>
                <w:rFonts w:hint="cs"/>
                <w:rtl/>
              </w:rPr>
              <w:t>25א.</w:t>
            </w:r>
          </w:p>
        </w:tc>
        <w:tc>
          <w:tcPr>
            <w:tcW w:w="4024" w:type="dxa"/>
          </w:tcPr>
          <w:p w14:paraId="2BC333A8" w14:textId="0F065D6C" w:rsidR="003D5ABE" w:rsidRDefault="003D5ABE" w:rsidP="003D5ABE">
            <w:pPr>
              <w:pStyle w:val="TableBlock"/>
            </w:pPr>
            <w:r>
              <w:rPr>
                <w:rFonts w:hint="cs"/>
                <w:rtl/>
              </w:rPr>
              <w:t>אין לשנות את הוראות סעיף 4, אלא בחוק-יסוד שנתקבל ברוב של שמונים חברי הכנסת; אין לשנות את הוראות סעיף זה אלא בחוק-יסוד שהתקבל ברוב של חברי הכנסת."</w:t>
            </w:r>
          </w:p>
        </w:tc>
      </w:tr>
      <w:tr w:rsidR="003D5ABE" w14:paraId="4779DAD7" w14:textId="77777777" w:rsidTr="00D328C8">
        <w:trPr>
          <w:cantSplit/>
        </w:trPr>
        <w:tc>
          <w:tcPr>
            <w:tcW w:w="1869" w:type="dxa"/>
          </w:tcPr>
          <w:p w14:paraId="3C282527" w14:textId="77777777" w:rsidR="003D5ABE" w:rsidRDefault="003D5ABE" w:rsidP="003D5ABE">
            <w:pPr>
              <w:pStyle w:val="TableSideHeading"/>
            </w:pPr>
            <w:r>
              <w:rPr>
                <w:rFonts w:hint="cs"/>
                <w:rtl/>
              </w:rPr>
              <w:t>תחולה</w:t>
            </w:r>
          </w:p>
        </w:tc>
        <w:tc>
          <w:tcPr>
            <w:tcW w:w="624" w:type="dxa"/>
          </w:tcPr>
          <w:p w14:paraId="6B261465" w14:textId="77777777" w:rsidR="003D5ABE" w:rsidRDefault="003D5ABE" w:rsidP="003D5ABE">
            <w:pPr>
              <w:pStyle w:val="TableText"/>
            </w:pPr>
            <w:r>
              <w:rPr>
                <w:rFonts w:hint="cs"/>
                <w:rtl/>
              </w:rPr>
              <w:t>3.</w:t>
            </w:r>
          </w:p>
        </w:tc>
        <w:tc>
          <w:tcPr>
            <w:tcW w:w="7144" w:type="dxa"/>
            <w:gridSpan w:val="6"/>
          </w:tcPr>
          <w:p w14:paraId="2EE94E9E" w14:textId="77777777" w:rsidR="003D5ABE" w:rsidRPr="00C34DE2" w:rsidRDefault="003D5ABE" w:rsidP="003D5ABE">
            <w:pPr>
              <w:pStyle w:val="TableBlock"/>
            </w:pPr>
            <w:r>
              <w:rPr>
                <w:rFonts w:hint="cs"/>
                <w:rtl/>
              </w:rPr>
              <w:t>סעיפים 6, 7א, 23, 25, 27, 43ז ו-44א לחוק-יסוד: הממשלה</w:t>
            </w:r>
            <w:r w:rsidRPr="00D328C8">
              <w:rPr>
                <w:rStyle w:val="a6"/>
                <w:rFonts w:ascii="David" w:hAnsi="David"/>
                <w:sz w:val="26"/>
                <w:rtl/>
              </w:rPr>
              <w:footnoteReference w:id="5"/>
            </w:r>
            <w:r>
              <w:rPr>
                <w:rFonts w:hint="cs"/>
                <w:rtl/>
              </w:rPr>
              <w:t xml:space="preserve"> כנוסחם בחוק-יסוד זה יחולו על כינון הממשלה ועל חברי הממשלה החל מהכנסת העשרים וחמש.</w:t>
            </w:r>
          </w:p>
        </w:tc>
      </w:tr>
      <w:tr w:rsidR="003D5ABE" w14:paraId="2CDA8CB1" w14:textId="77777777" w:rsidTr="00D328C8">
        <w:trPr>
          <w:cantSplit/>
        </w:trPr>
        <w:tc>
          <w:tcPr>
            <w:tcW w:w="1869" w:type="dxa"/>
          </w:tcPr>
          <w:p w14:paraId="28CD42F9" w14:textId="77777777" w:rsidR="003D5ABE" w:rsidRDefault="003D5ABE" w:rsidP="003D5ABE">
            <w:pPr>
              <w:pStyle w:val="TableSideHeading"/>
              <w:rPr>
                <w:rtl/>
              </w:rPr>
            </w:pPr>
            <w:r>
              <w:rPr>
                <w:rFonts w:hint="cs"/>
                <w:rtl/>
              </w:rPr>
              <w:t>תחולה</w:t>
            </w:r>
          </w:p>
        </w:tc>
        <w:tc>
          <w:tcPr>
            <w:tcW w:w="624" w:type="dxa"/>
          </w:tcPr>
          <w:p w14:paraId="658F0E44" w14:textId="77777777" w:rsidR="003D5ABE" w:rsidRDefault="003D5ABE" w:rsidP="003D5ABE">
            <w:pPr>
              <w:pStyle w:val="TableText"/>
              <w:rPr>
                <w:rtl/>
              </w:rPr>
            </w:pPr>
            <w:r>
              <w:rPr>
                <w:rFonts w:hint="cs"/>
                <w:rtl/>
              </w:rPr>
              <w:t>4.</w:t>
            </w:r>
          </w:p>
        </w:tc>
        <w:tc>
          <w:tcPr>
            <w:tcW w:w="7144" w:type="dxa"/>
            <w:gridSpan w:val="6"/>
          </w:tcPr>
          <w:p w14:paraId="3C232F4E" w14:textId="77777777" w:rsidR="003D5ABE" w:rsidRDefault="003D5ABE" w:rsidP="003D5ABE">
            <w:pPr>
              <w:pStyle w:val="TableBlock"/>
              <w:rPr>
                <w:rtl/>
              </w:rPr>
            </w:pPr>
            <w:r>
              <w:rPr>
                <w:rFonts w:hint="cs"/>
                <w:rtl/>
              </w:rPr>
              <w:t>סעיפים 4 ו-25א לחוק-יסוד: נשיא המדינה</w:t>
            </w:r>
            <w:r w:rsidRPr="00D328C8">
              <w:rPr>
                <w:rStyle w:val="a6"/>
                <w:rFonts w:ascii="David" w:hAnsi="David"/>
                <w:sz w:val="26"/>
                <w:rtl/>
              </w:rPr>
              <w:footnoteReference w:id="6"/>
            </w:r>
            <w:r>
              <w:rPr>
                <w:rFonts w:hint="cs"/>
                <w:rtl/>
              </w:rPr>
              <w:t xml:space="preserve"> כנוסחם בחוק-יסוד זה יחולו על מועמדים לנשיאות המדינה החל מהכנסת העשרים וחמש.</w:t>
            </w:r>
          </w:p>
        </w:tc>
      </w:tr>
    </w:tbl>
    <w:p w14:paraId="57543578" w14:textId="77777777" w:rsidR="009B3C3A" w:rsidRDefault="009B3C3A" w:rsidP="009B3C3A">
      <w:pPr>
        <w:keepLines/>
        <w:tabs>
          <w:tab w:val="left" w:pos="624"/>
          <w:tab w:val="left" w:pos="1247"/>
        </w:tabs>
        <w:rPr>
          <w:rtl/>
        </w:rPr>
      </w:pPr>
    </w:p>
    <w:p w14:paraId="54942E42" w14:textId="77777777" w:rsidR="009B3C3A" w:rsidRPr="00D6299A" w:rsidRDefault="009B3C3A" w:rsidP="009B3C3A">
      <w:pPr>
        <w:pStyle w:val="HeadDivreiHesber"/>
        <w:rPr>
          <w:rtl/>
        </w:rPr>
      </w:pPr>
      <w:r w:rsidRPr="00D6299A">
        <w:rPr>
          <w:rFonts w:hint="eastAsia"/>
          <w:rtl/>
        </w:rPr>
        <w:t>דברי</w:t>
      </w:r>
      <w:r w:rsidRPr="00D6299A">
        <w:rPr>
          <w:rtl/>
        </w:rPr>
        <w:t xml:space="preserve"> </w:t>
      </w:r>
      <w:r w:rsidRPr="00D6299A">
        <w:rPr>
          <w:rFonts w:hint="eastAsia"/>
          <w:rtl/>
        </w:rPr>
        <w:t>הסבר</w:t>
      </w:r>
    </w:p>
    <w:p w14:paraId="53BF88DF" w14:textId="77777777" w:rsidR="009B3C3A" w:rsidRDefault="009B3C3A" w:rsidP="003D5ABE">
      <w:pPr>
        <w:pStyle w:val="Hesber"/>
        <w:rPr>
          <w:rtl/>
        </w:rPr>
      </w:pPr>
      <w:r>
        <w:rPr>
          <w:rFonts w:hint="cs"/>
          <w:rtl/>
        </w:rPr>
        <w:t xml:space="preserve">לאידאל </w:t>
      </w:r>
      <w:r w:rsidRPr="003D5ABE">
        <w:rPr>
          <w:rFonts w:hint="cs"/>
          <w:rtl/>
        </w:rPr>
        <w:t>המנהיגותי</w:t>
      </w:r>
      <w:r>
        <w:rPr>
          <w:rFonts w:hint="cs"/>
          <w:rtl/>
        </w:rPr>
        <w:t xml:space="preserve"> של שמירה על טוהר המידות של מנהיגי המדינה אין כיום ביטוי בחוקי-היסוד. </w:t>
      </w:r>
    </w:p>
    <w:p w14:paraId="75F2A641" w14:textId="77777777" w:rsidR="009B3C3A" w:rsidRPr="001A6D47" w:rsidRDefault="009B3C3A" w:rsidP="009B3C3A">
      <w:pPr>
        <w:pStyle w:val="Hesber"/>
        <w:rPr>
          <w:sz w:val="26"/>
          <w:rtl/>
        </w:rPr>
      </w:pPr>
      <w:r w:rsidRPr="001A6D47">
        <w:rPr>
          <w:rFonts w:hint="cs"/>
          <w:sz w:val="26"/>
          <w:rtl/>
        </w:rPr>
        <w:t xml:space="preserve">חברי הממשלה, נשיא המדינה </w:t>
      </w:r>
      <w:r>
        <w:rPr>
          <w:rFonts w:hint="cs"/>
          <w:sz w:val="26"/>
          <w:rtl/>
        </w:rPr>
        <w:t>ו</w:t>
      </w:r>
      <w:r w:rsidRPr="001A6D47">
        <w:rPr>
          <w:rFonts w:hint="cs"/>
          <w:sz w:val="26"/>
          <w:rtl/>
        </w:rPr>
        <w:t xml:space="preserve">ראש הממשלה האוחזים בתפקידים החשובים ביותר במדינת ישראל נדרשים בכהונתם לאמת מידה בסיסית של ניקיון כפיים וטוהר המידות בפעולותיהם ומעשיהם כדי לחזק את אמון הציבור בנבחרי הציבור וברשויות השונות. </w:t>
      </w:r>
    </w:p>
    <w:p w14:paraId="78E1043F" w14:textId="77777777" w:rsidR="009B3C3A" w:rsidRPr="00B27899" w:rsidRDefault="009B3C3A" w:rsidP="009B3C3A">
      <w:pPr>
        <w:pStyle w:val="Hesber"/>
        <w:rPr>
          <w:sz w:val="26"/>
        </w:rPr>
      </w:pPr>
      <w:r w:rsidRPr="001A6D47">
        <w:rPr>
          <w:rFonts w:hint="cs"/>
          <w:sz w:val="26"/>
          <w:rtl/>
        </w:rPr>
        <w:t xml:space="preserve">כפי שנקבע במספר רב של פעמים בבית משפט העליון בשבתו כבית </w:t>
      </w:r>
      <w:r>
        <w:rPr>
          <w:rFonts w:hint="cs"/>
          <w:sz w:val="26"/>
          <w:rtl/>
        </w:rPr>
        <w:t>ה</w:t>
      </w:r>
      <w:r w:rsidRPr="001A6D47">
        <w:rPr>
          <w:rFonts w:hint="cs"/>
          <w:sz w:val="26"/>
          <w:rtl/>
        </w:rPr>
        <w:t xml:space="preserve">משפט </w:t>
      </w:r>
      <w:r>
        <w:rPr>
          <w:rFonts w:hint="cs"/>
          <w:sz w:val="26"/>
          <w:rtl/>
        </w:rPr>
        <w:t>ה</w:t>
      </w:r>
      <w:r w:rsidRPr="001A6D47">
        <w:rPr>
          <w:rFonts w:hint="cs"/>
          <w:sz w:val="26"/>
          <w:rtl/>
        </w:rPr>
        <w:t xml:space="preserve">גבוה לצדק: </w:t>
      </w:r>
      <w:r w:rsidRPr="001A6D47">
        <w:rPr>
          <w:sz w:val="26"/>
          <w:rtl/>
        </w:rPr>
        <w:t xml:space="preserve">"הגינות, יושר לבב וטוהר המידות הינם סימני היכר מובהקים שניתן בנבחר ציבור ראוי לשמו, ותכונות נפש אלו הן עמוד האש ועמוד הענן שיוליכו את נבחר הציבור הדרך. רק כך יוכל פרנס לנהג כראוי קהילה שבחרה בו לנהגה, ורק כך יזכה נבחר הציבור באמון הקהל. וכולנו ידענו כי באין אמון של הקהילה במנהיגיה, ייפרע עם ותאבד ממלכה" (בג"ץ 103/96 </w:t>
      </w:r>
      <w:r w:rsidRPr="00341CC3">
        <w:rPr>
          <w:b/>
          <w:bCs/>
          <w:sz w:val="26"/>
          <w:rtl/>
        </w:rPr>
        <w:t>כהן נ' היועץ המשפטי לממשלה</w:t>
      </w:r>
      <w:r w:rsidRPr="001A6D47">
        <w:rPr>
          <w:sz w:val="26"/>
          <w:rtl/>
        </w:rPr>
        <w:t>, פ"ד נ(4) 309,326).</w:t>
      </w:r>
    </w:p>
    <w:p w14:paraId="6B6CCFCF" w14:textId="77777777" w:rsidR="009B3C3A" w:rsidRPr="00B27899" w:rsidRDefault="009B3C3A" w:rsidP="009B3C3A">
      <w:pPr>
        <w:pStyle w:val="Hesber"/>
        <w:rPr>
          <w:sz w:val="26"/>
          <w:rtl/>
        </w:rPr>
      </w:pPr>
      <w:r w:rsidRPr="00341CC3">
        <w:rPr>
          <w:rFonts w:hint="eastAsia"/>
          <w:sz w:val="26"/>
          <w:rtl/>
        </w:rPr>
        <w:t>נוכח</w:t>
      </w:r>
      <w:r w:rsidRPr="00341CC3">
        <w:rPr>
          <w:sz w:val="26"/>
          <w:rtl/>
        </w:rPr>
        <w:t xml:space="preserve"> </w:t>
      </w:r>
      <w:r w:rsidRPr="00341CC3">
        <w:rPr>
          <w:rFonts w:hint="eastAsia"/>
          <w:sz w:val="26"/>
          <w:rtl/>
        </w:rPr>
        <w:t>האמור</w:t>
      </w:r>
      <w:r w:rsidRPr="00341CC3">
        <w:rPr>
          <w:sz w:val="26"/>
          <w:rtl/>
        </w:rPr>
        <w:t xml:space="preserve">, </w:t>
      </w:r>
      <w:r w:rsidRPr="00341CC3">
        <w:rPr>
          <w:rFonts w:hint="eastAsia"/>
          <w:sz w:val="26"/>
          <w:rtl/>
        </w:rPr>
        <w:t>וכדי</w:t>
      </w:r>
      <w:r w:rsidRPr="00341CC3">
        <w:rPr>
          <w:sz w:val="26"/>
          <w:rtl/>
        </w:rPr>
        <w:t xml:space="preserve"> </w:t>
      </w:r>
      <w:r w:rsidRPr="00341CC3">
        <w:rPr>
          <w:rFonts w:hint="eastAsia"/>
          <w:sz w:val="26"/>
          <w:rtl/>
        </w:rPr>
        <w:t>להימנע</w:t>
      </w:r>
      <w:r w:rsidRPr="00341CC3">
        <w:rPr>
          <w:sz w:val="26"/>
          <w:rtl/>
        </w:rPr>
        <w:t xml:space="preserve"> </w:t>
      </w:r>
      <w:r w:rsidRPr="00341CC3">
        <w:rPr>
          <w:rFonts w:hint="eastAsia"/>
          <w:sz w:val="26"/>
          <w:rtl/>
        </w:rPr>
        <w:t>מהפגיעה</w:t>
      </w:r>
      <w:r w:rsidRPr="00341CC3">
        <w:rPr>
          <w:sz w:val="26"/>
          <w:rtl/>
        </w:rPr>
        <w:t xml:space="preserve"> </w:t>
      </w:r>
      <w:r w:rsidRPr="00341CC3">
        <w:rPr>
          <w:rFonts w:hint="eastAsia"/>
          <w:sz w:val="26"/>
          <w:rtl/>
        </w:rPr>
        <w:t>באמון</w:t>
      </w:r>
      <w:r w:rsidRPr="00341CC3">
        <w:rPr>
          <w:sz w:val="26"/>
          <w:rtl/>
        </w:rPr>
        <w:t xml:space="preserve"> </w:t>
      </w:r>
      <w:r w:rsidRPr="00341CC3">
        <w:rPr>
          <w:rFonts w:hint="eastAsia"/>
          <w:sz w:val="26"/>
          <w:rtl/>
        </w:rPr>
        <w:t>הציבור</w:t>
      </w:r>
      <w:r w:rsidRPr="00341CC3">
        <w:rPr>
          <w:rFonts w:hint="cs"/>
          <w:sz w:val="26"/>
          <w:rtl/>
        </w:rPr>
        <w:t xml:space="preserve">, אין להטיל על חבר כנסת שהוגש נגדו כתב אישום בעבירות חמורות ובראשן עבירות של שחיתות וטוהר המידות </w:t>
      </w:r>
      <w:r>
        <w:rPr>
          <w:rFonts w:hint="cs"/>
          <w:sz w:val="26"/>
          <w:rtl/>
        </w:rPr>
        <w:t>את מלאכת הרכבת</w:t>
      </w:r>
      <w:r w:rsidRPr="00341CC3">
        <w:rPr>
          <w:rFonts w:hint="cs"/>
          <w:sz w:val="26"/>
          <w:rtl/>
        </w:rPr>
        <w:t xml:space="preserve"> הממשלה</w:t>
      </w:r>
      <w:r>
        <w:rPr>
          <w:rFonts w:hint="cs"/>
          <w:sz w:val="26"/>
          <w:rtl/>
        </w:rPr>
        <w:t>, או כל תפקיד שר בממשלה</w:t>
      </w:r>
      <w:r w:rsidRPr="00341CC3">
        <w:rPr>
          <w:rFonts w:hint="cs"/>
          <w:sz w:val="26"/>
          <w:rtl/>
        </w:rPr>
        <w:t>.</w:t>
      </w:r>
      <w:r>
        <w:rPr>
          <w:rFonts w:hint="cs"/>
          <w:sz w:val="26"/>
          <w:rtl/>
        </w:rPr>
        <w:t xml:space="preserve"> בדומה, אין למנות למוסד הנשיאות, לתפקיד "האזרח מספר אחת", מועמד המואשם בעבירות מסוג עוון או פשע, ובוודאי במקום בו סמכותו של נשיא המדינה </w:t>
      </w:r>
      <w:proofErr w:type="spellStart"/>
      <w:r>
        <w:rPr>
          <w:rFonts w:hint="cs"/>
          <w:sz w:val="26"/>
          <w:rtl/>
        </w:rPr>
        <w:t>לחון</w:t>
      </w:r>
      <w:proofErr w:type="spellEnd"/>
      <w:r>
        <w:rPr>
          <w:rFonts w:hint="cs"/>
          <w:sz w:val="26"/>
          <w:rtl/>
        </w:rPr>
        <w:t xml:space="preserve"> עבריינים ולהקל בעונשים לפי סעיף 11(ב) לחוק-יסוד: נשיא המדינה.  </w:t>
      </w:r>
    </w:p>
    <w:p w14:paraId="486D19D5" w14:textId="77777777" w:rsidR="009B3C3A" w:rsidRDefault="009B3C3A" w:rsidP="003D5ABE">
      <w:pPr>
        <w:pStyle w:val="Hesber"/>
        <w:rPr>
          <w:sz w:val="26"/>
          <w:rtl/>
        </w:rPr>
      </w:pPr>
      <w:r w:rsidRPr="00D6299A">
        <w:rPr>
          <w:rFonts w:hint="eastAsia"/>
          <w:rtl/>
        </w:rPr>
        <w:t>לפיכך</w:t>
      </w:r>
      <w:r w:rsidRPr="00D6299A">
        <w:rPr>
          <w:rtl/>
        </w:rPr>
        <w:t xml:space="preserve">, </w:t>
      </w:r>
      <w:r w:rsidRPr="003D5ABE">
        <w:rPr>
          <w:rFonts w:hint="eastAsia"/>
          <w:rtl/>
        </w:rPr>
        <w:t>מוצע</w:t>
      </w:r>
      <w:r w:rsidRPr="00D6299A">
        <w:rPr>
          <w:rtl/>
        </w:rPr>
        <w:t xml:space="preserve"> לעגן בחוק-יסוד: הממשלה </w:t>
      </w:r>
      <w:r w:rsidRPr="00D6299A">
        <w:rPr>
          <w:rFonts w:hint="eastAsia"/>
          <w:rtl/>
        </w:rPr>
        <w:t>ובחוק</w:t>
      </w:r>
      <w:r w:rsidRPr="00D6299A">
        <w:rPr>
          <w:rtl/>
        </w:rPr>
        <w:t>-</w:t>
      </w:r>
      <w:r w:rsidRPr="00D6299A">
        <w:rPr>
          <w:rFonts w:hint="eastAsia"/>
          <w:rtl/>
        </w:rPr>
        <w:t>יסוד</w:t>
      </w:r>
      <w:r w:rsidRPr="00D6299A">
        <w:rPr>
          <w:rtl/>
        </w:rPr>
        <w:t xml:space="preserve">: נשיא המדינה, </w:t>
      </w:r>
      <w:r w:rsidRPr="00D6299A">
        <w:rPr>
          <w:rFonts w:hint="eastAsia"/>
          <w:rtl/>
        </w:rPr>
        <w:t>נורמה</w:t>
      </w:r>
      <w:r w:rsidRPr="00D6299A">
        <w:rPr>
          <w:rtl/>
        </w:rPr>
        <w:t xml:space="preserve"> </w:t>
      </w:r>
      <w:r w:rsidRPr="00D6299A">
        <w:rPr>
          <w:rFonts w:hint="eastAsia"/>
          <w:rtl/>
        </w:rPr>
        <w:t>ערכית</w:t>
      </w:r>
      <w:r w:rsidRPr="00D6299A">
        <w:rPr>
          <w:rtl/>
        </w:rPr>
        <w:t xml:space="preserve"> מינימלית, </w:t>
      </w:r>
      <w:r w:rsidRPr="00D6299A">
        <w:rPr>
          <w:rFonts w:hint="eastAsia"/>
          <w:rtl/>
        </w:rPr>
        <w:t>ולקב</w:t>
      </w:r>
      <w:r>
        <w:rPr>
          <w:rFonts w:hint="cs"/>
          <w:rtl/>
        </w:rPr>
        <w:t xml:space="preserve">וע </w:t>
      </w:r>
      <w:r w:rsidRPr="00D6299A">
        <w:rPr>
          <w:rtl/>
        </w:rPr>
        <w:t xml:space="preserve">כי במקרה שהוגש נגד חבר הכנסת כתב אישום בעבירה חמורה שבנסיבות העניין יש עמה משום קלון, בעבירה לפי סעיף 284 לחוק העונשין, </w:t>
      </w:r>
      <w:proofErr w:type="spellStart"/>
      <w:r w:rsidRPr="00D6299A">
        <w:rPr>
          <w:rtl/>
        </w:rPr>
        <w:t>התשל"ז</w:t>
      </w:r>
      <w:proofErr w:type="spellEnd"/>
      <w:r w:rsidRPr="00D6299A">
        <w:rPr>
          <w:rtl/>
        </w:rPr>
        <w:t>–1977 (מרמה והפרת אמונים) או בעבירה מסוג פשע, לא יוכל הנשיא להטיל על אותו חבר כנסת את התפקיד להרכיב ממשלה</w:t>
      </w:r>
      <w:r>
        <w:rPr>
          <w:rFonts w:hint="cs"/>
          <w:rtl/>
        </w:rPr>
        <w:t xml:space="preserve">. בנוסף, מוצע לקבוע כי כהונתם של </w:t>
      </w:r>
      <w:r>
        <w:rPr>
          <w:rFonts w:hint="cs"/>
          <w:rtl/>
        </w:rPr>
        <w:lastRenderedPageBreak/>
        <w:t>שרים וסגני שרים תיפסק אם יוגש כנגדם לבית המשפט כתב אישום, ואשר הדיון בו עודו מתנהל, בעבירה מסוג עוון או פשע.</w:t>
      </w:r>
      <w:r w:rsidRPr="00D6299A" w:rsidDel="00D6299A">
        <w:rPr>
          <w:rtl/>
        </w:rPr>
        <w:t xml:space="preserve"> </w:t>
      </w:r>
      <w:r>
        <w:rPr>
          <w:rFonts w:hint="cs"/>
          <w:sz w:val="26"/>
          <w:rtl/>
        </w:rPr>
        <w:t xml:space="preserve"> </w:t>
      </w:r>
    </w:p>
    <w:p w14:paraId="1C84CDEF" w14:textId="77777777" w:rsidR="009B3C3A" w:rsidRDefault="009B3C3A" w:rsidP="009B3C3A">
      <w:pPr>
        <w:pStyle w:val="Hesber"/>
        <w:rPr>
          <w:sz w:val="26"/>
          <w:rtl/>
        </w:rPr>
      </w:pPr>
      <w:r>
        <w:rPr>
          <w:rFonts w:hint="cs"/>
          <w:sz w:val="26"/>
          <w:rtl/>
        </w:rPr>
        <w:t>עוד מוצע כי מועמד לנשיאות המדינה ייצג ערכים של טוהר המידות ויטפח ערכי מוסר וניקיון כפיים ולכן במקרה שהוגש נגדו כתב אישום בעבירה מסוג פשע או עוון, או שכבר הורשע בעבירה מסוג זה, לא יוכל להיות מועמד לנשיאות המדינה. והכל בהתאם לפסיקת בית המשפט העליון, הנשיא "...</w:t>
      </w:r>
      <w:r w:rsidRPr="00A551A8">
        <w:rPr>
          <w:rFonts w:hint="cs"/>
          <w:rtl/>
        </w:rPr>
        <w:t xml:space="preserve"> </w:t>
      </w:r>
      <w:r w:rsidRPr="00A551A8">
        <w:rPr>
          <w:rFonts w:hint="cs"/>
          <w:sz w:val="26"/>
          <w:rtl/>
        </w:rPr>
        <w:t>אמור</w:t>
      </w:r>
      <w:r w:rsidRPr="00A551A8">
        <w:rPr>
          <w:sz w:val="26"/>
          <w:rtl/>
        </w:rPr>
        <w:t xml:space="preserve"> </w:t>
      </w:r>
      <w:r w:rsidRPr="00A551A8">
        <w:rPr>
          <w:rFonts w:hint="cs"/>
          <w:sz w:val="26"/>
          <w:rtl/>
        </w:rPr>
        <w:t>לשקף</w:t>
      </w:r>
      <w:r w:rsidRPr="00A551A8">
        <w:rPr>
          <w:sz w:val="26"/>
          <w:rtl/>
        </w:rPr>
        <w:t xml:space="preserve"> </w:t>
      </w:r>
      <w:r w:rsidRPr="00A551A8">
        <w:rPr>
          <w:rFonts w:hint="cs"/>
          <w:sz w:val="26"/>
          <w:rtl/>
        </w:rPr>
        <w:t>באישיותו</w:t>
      </w:r>
      <w:r w:rsidRPr="00A551A8">
        <w:rPr>
          <w:sz w:val="26"/>
          <w:rtl/>
        </w:rPr>
        <w:t xml:space="preserve"> </w:t>
      </w:r>
      <w:r w:rsidRPr="00A551A8">
        <w:rPr>
          <w:rFonts w:hint="cs"/>
          <w:sz w:val="26"/>
          <w:rtl/>
        </w:rPr>
        <w:t>את</w:t>
      </w:r>
      <w:r w:rsidRPr="00A551A8">
        <w:rPr>
          <w:sz w:val="26"/>
          <w:rtl/>
        </w:rPr>
        <w:t xml:space="preserve"> </w:t>
      </w:r>
      <w:r w:rsidRPr="00A551A8">
        <w:rPr>
          <w:rFonts w:hint="cs"/>
          <w:sz w:val="26"/>
          <w:rtl/>
        </w:rPr>
        <w:t>הטוב</w:t>
      </w:r>
      <w:r w:rsidRPr="00A551A8">
        <w:rPr>
          <w:sz w:val="26"/>
          <w:rtl/>
        </w:rPr>
        <w:t xml:space="preserve">, </w:t>
      </w:r>
      <w:r w:rsidRPr="00A551A8">
        <w:rPr>
          <w:rFonts w:hint="cs"/>
          <w:sz w:val="26"/>
          <w:rtl/>
        </w:rPr>
        <w:t>היפה</w:t>
      </w:r>
      <w:r w:rsidRPr="00A551A8">
        <w:rPr>
          <w:sz w:val="26"/>
          <w:rtl/>
        </w:rPr>
        <w:t xml:space="preserve">, </w:t>
      </w:r>
      <w:r w:rsidRPr="00A551A8">
        <w:rPr>
          <w:rFonts w:hint="cs"/>
          <w:sz w:val="26"/>
          <w:rtl/>
        </w:rPr>
        <w:t>הערכי</w:t>
      </w:r>
      <w:r w:rsidRPr="00A551A8">
        <w:rPr>
          <w:sz w:val="26"/>
          <w:rtl/>
        </w:rPr>
        <w:t xml:space="preserve"> </w:t>
      </w:r>
      <w:r w:rsidRPr="00A551A8">
        <w:rPr>
          <w:rFonts w:hint="cs"/>
          <w:sz w:val="26"/>
          <w:rtl/>
        </w:rPr>
        <w:t>והייחודי</w:t>
      </w:r>
      <w:r w:rsidRPr="00A551A8">
        <w:rPr>
          <w:sz w:val="26"/>
          <w:rtl/>
        </w:rPr>
        <w:t xml:space="preserve"> </w:t>
      </w:r>
      <w:r w:rsidRPr="00A551A8">
        <w:rPr>
          <w:rFonts w:hint="cs"/>
          <w:sz w:val="26"/>
          <w:rtl/>
        </w:rPr>
        <w:t>המאפיינים</w:t>
      </w:r>
      <w:r w:rsidRPr="00A551A8">
        <w:rPr>
          <w:sz w:val="26"/>
          <w:rtl/>
        </w:rPr>
        <w:t xml:space="preserve"> </w:t>
      </w:r>
      <w:r w:rsidRPr="00A551A8">
        <w:rPr>
          <w:rFonts w:hint="cs"/>
          <w:sz w:val="26"/>
          <w:rtl/>
        </w:rPr>
        <w:t>את</w:t>
      </w:r>
      <w:r w:rsidRPr="00A551A8">
        <w:rPr>
          <w:sz w:val="26"/>
          <w:rtl/>
        </w:rPr>
        <w:t xml:space="preserve"> </w:t>
      </w:r>
      <w:r w:rsidRPr="00A551A8">
        <w:rPr>
          <w:rFonts w:hint="cs"/>
          <w:sz w:val="26"/>
          <w:rtl/>
        </w:rPr>
        <w:t>הציבור</w:t>
      </w:r>
      <w:r w:rsidRPr="00A551A8">
        <w:rPr>
          <w:sz w:val="26"/>
          <w:rtl/>
        </w:rPr>
        <w:t xml:space="preserve"> </w:t>
      </w:r>
      <w:r w:rsidRPr="00A551A8">
        <w:rPr>
          <w:rFonts w:hint="cs"/>
          <w:sz w:val="26"/>
          <w:rtl/>
        </w:rPr>
        <w:t>בישראל</w:t>
      </w:r>
      <w:r w:rsidRPr="00A551A8">
        <w:rPr>
          <w:sz w:val="26"/>
          <w:rtl/>
        </w:rPr>
        <w:t xml:space="preserve">. </w:t>
      </w:r>
      <w:r w:rsidRPr="00A551A8">
        <w:rPr>
          <w:rFonts w:hint="cs"/>
          <w:sz w:val="26"/>
          <w:rtl/>
        </w:rPr>
        <w:t>הוא</w:t>
      </w:r>
      <w:r w:rsidRPr="00A551A8">
        <w:rPr>
          <w:sz w:val="26"/>
          <w:rtl/>
        </w:rPr>
        <w:t xml:space="preserve"> </w:t>
      </w:r>
      <w:r w:rsidRPr="00A551A8">
        <w:rPr>
          <w:rFonts w:hint="cs"/>
          <w:sz w:val="26"/>
          <w:rtl/>
        </w:rPr>
        <w:t>אמור</w:t>
      </w:r>
      <w:r w:rsidRPr="00A551A8">
        <w:rPr>
          <w:sz w:val="26"/>
          <w:rtl/>
        </w:rPr>
        <w:t xml:space="preserve"> </w:t>
      </w:r>
      <w:r w:rsidRPr="00A551A8">
        <w:rPr>
          <w:rFonts w:hint="cs"/>
          <w:sz w:val="26"/>
          <w:rtl/>
        </w:rPr>
        <w:t>לשמש</w:t>
      </w:r>
      <w:r w:rsidRPr="00A551A8">
        <w:rPr>
          <w:sz w:val="26"/>
          <w:rtl/>
        </w:rPr>
        <w:t xml:space="preserve"> </w:t>
      </w:r>
      <w:r w:rsidRPr="00A551A8">
        <w:rPr>
          <w:rFonts w:hint="cs"/>
          <w:sz w:val="26"/>
          <w:rtl/>
        </w:rPr>
        <w:t>דוגמא</w:t>
      </w:r>
      <w:r w:rsidRPr="00A551A8">
        <w:rPr>
          <w:sz w:val="26"/>
          <w:rtl/>
        </w:rPr>
        <w:t xml:space="preserve"> </w:t>
      </w:r>
      <w:r w:rsidRPr="00A551A8">
        <w:rPr>
          <w:rFonts w:hint="cs"/>
          <w:sz w:val="26"/>
          <w:rtl/>
        </w:rPr>
        <w:t>ומופת</w:t>
      </w:r>
      <w:r w:rsidRPr="00A551A8">
        <w:rPr>
          <w:sz w:val="26"/>
          <w:rtl/>
        </w:rPr>
        <w:t xml:space="preserve"> </w:t>
      </w:r>
      <w:r w:rsidRPr="00A551A8">
        <w:rPr>
          <w:rFonts w:hint="cs"/>
          <w:sz w:val="26"/>
          <w:rtl/>
        </w:rPr>
        <w:t>בדרך</w:t>
      </w:r>
      <w:r w:rsidRPr="00A551A8">
        <w:rPr>
          <w:sz w:val="26"/>
          <w:rtl/>
        </w:rPr>
        <w:t xml:space="preserve"> </w:t>
      </w:r>
      <w:r w:rsidRPr="00A551A8">
        <w:rPr>
          <w:rFonts w:hint="cs"/>
          <w:sz w:val="26"/>
          <w:rtl/>
        </w:rPr>
        <w:t>מילוי</w:t>
      </w:r>
      <w:r w:rsidRPr="00A551A8">
        <w:rPr>
          <w:sz w:val="26"/>
          <w:rtl/>
        </w:rPr>
        <w:t xml:space="preserve"> </w:t>
      </w:r>
      <w:r w:rsidRPr="00A551A8">
        <w:rPr>
          <w:rFonts w:hint="cs"/>
          <w:sz w:val="26"/>
          <w:rtl/>
        </w:rPr>
        <w:t>תפקידו</w:t>
      </w:r>
      <w:r w:rsidRPr="00A551A8">
        <w:rPr>
          <w:sz w:val="26"/>
          <w:rtl/>
        </w:rPr>
        <w:t xml:space="preserve">, </w:t>
      </w:r>
      <w:r w:rsidRPr="00A551A8">
        <w:rPr>
          <w:rFonts w:hint="cs"/>
          <w:sz w:val="26"/>
          <w:rtl/>
        </w:rPr>
        <w:t>ובאופן</w:t>
      </w:r>
      <w:r w:rsidRPr="00A551A8">
        <w:rPr>
          <w:sz w:val="26"/>
          <w:rtl/>
        </w:rPr>
        <w:t xml:space="preserve"> </w:t>
      </w:r>
      <w:r w:rsidRPr="00A551A8">
        <w:rPr>
          <w:rFonts w:hint="cs"/>
          <w:sz w:val="26"/>
          <w:rtl/>
        </w:rPr>
        <w:t>ניהול</w:t>
      </w:r>
      <w:r w:rsidRPr="00A551A8">
        <w:rPr>
          <w:sz w:val="26"/>
          <w:rtl/>
        </w:rPr>
        <w:t xml:space="preserve"> </w:t>
      </w:r>
      <w:r w:rsidRPr="00A551A8">
        <w:rPr>
          <w:rFonts w:hint="cs"/>
          <w:sz w:val="26"/>
          <w:rtl/>
        </w:rPr>
        <w:t>אורחות</w:t>
      </w:r>
      <w:r w:rsidRPr="00A551A8">
        <w:rPr>
          <w:sz w:val="26"/>
          <w:rtl/>
        </w:rPr>
        <w:t xml:space="preserve"> </w:t>
      </w:r>
      <w:r w:rsidRPr="00A551A8">
        <w:rPr>
          <w:rFonts w:hint="cs"/>
          <w:sz w:val="26"/>
          <w:rtl/>
        </w:rPr>
        <w:t>חייו</w:t>
      </w:r>
      <w:r w:rsidRPr="00A551A8">
        <w:rPr>
          <w:sz w:val="26"/>
          <w:rtl/>
        </w:rPr>
        <w:t xml:space="preserve"> </w:t>
      </w:r>
      <w:r w:rsidRPr="00A551A8">
        <w:rPr>
          <w:rFonts w:hint="cs"/>
          <w:sz w:val="26"/>
          <w:rtl/>
        </w:rPr>
        <w:t>הפרטיים</w:t>
      </w:r>
      <w:r w:rsidRPr="00A551A8">
        <w:rPr>
          <w:sz w:val="26"/>
          <w:rtl/>
        </w:rPr>
        <w:t xml:space="preserve"> </w:t>
      </w:r>
      <w:r w:rsidRPr="00A551A8">
        <w:rPr>
          <w:rFonts w:hint="cs"/>
          <w:sz w:val="26"/>
          <w:rtl/>
        </w:rPr>
        <w:t>גם</w:t>
      </w:r>
      <w:r w:rsidRPr="00A551A8">
        <w:rPr>
          <w:sz w:val="26"/>
          <w:rtl/>
        </w:rPr>
        <w:t xml:space="preserve"> </w:t>
      </w:r>
      <w:r w:rsidRPr="00A551A8">
        <w:rPr>
          <w:rFonts w:hint="cs"/>
          <w:sz w:val="26"/>
          <w:rtl/>
        </w:rPr>
        <w:t>יחד</w:t>
      </w:r>
      <w:r w:rsidRPr="00A551A8">
        <w:rPr>
          <w:sz w:val="26"/>
          <w:rtl/>
        </w:rPr>
        <w:t>" (</w:t>
      </w:r>
      <w:r w:rsidRPr="00A551A8">
        <w:rPr>
          <w:rFonts w:hint="cs"/>
          <w:sz w:val="26"/>
          <w:rtl/>
        </w:rPr>
        <w:t>בג</w:t>
      </w:r>
      <w:r w:rsidRPr="00A551A8">
        <w:rPr>
          <w:sz w:val="26"/>
          <w:rtl/>
        </w:rPr>
        <w:t>"</w:t>
      </w:r>
      <w:r w:rsidRPr="00A551A8">
        <w:rPr>
          <w:rFonts w:hint="cs"/>
          <w:sz w:val="26"/>
          <w:rtl/>
        </w:rPr>
        <w:t>ץ</w:t>
      </w:r>
      <w:r w:rsidRPr="00A551A8">
        <w:rPr>
          <w:sz w:val="26"/>
          <w:rtl/>
        </w:rPr>
        <w:t xml:space="preserve"> 5699/07 </w:t>
      </w:r>
      <w:r w:rsidRPr="00E831A2">
        <w:rPr>
          <w:rFonts w:hint="eastAsia"/>
          <w:b/>
          <w:bCs/>
          <w:sz w:val="26"/>
          <w:rtl/>
        </w:rPr>
        <w:t>פלונית</w:t>
      </w:r>
      <w:r w:rsidRPr="00E831A2">
        <w:rPr>
          <w:b/>
          <w:bCs/>
          <w:sz w:val="26"/>
          <w:rtl/>
        </w:rPr>
        <w:t xml:space="preserve"> (</w:t>
      </w:r>
      <w:r w:rsidRPr="00E831A2">
        <w:rPr>
          <w:rFonts w:hint="eastAsia"/>
          <w:b/>
          <w:bCs/>
          <w:sz w:val="26"/>
          <w:rtl/>
        </w:rPr>
        <w:t>א</w:t>
      </w:r>
      <w:r w:rsidRPr="00E831A2">
        <w:rPr>
          <w:b/>
          <w:bCs/>
          <w:sz w:val="26"/>
          <w:rtl/>
        </w:rPr>
        <w:t xml:space="preserve">') </w:t>
      </w:r>
      <w:r w:rsidRPr="00E831A2">
        <w:rPr>
          <w:rFonts w:hint="eastAsia"/>
          <w:b/>
          <w:bCs/>
          <w:sz w:val="26"/>
          <w:rtl/>
        </w:rPr>
        <w:t>נ</w:t>
      </w:r>
      <w:r w:rsidRPr="00E831A2">
        <w:rPr>
          <w:b/>
          <w:bCs/>
          <w:sz w:val="26"/>
          <w:rtl/>
        </w:rPr>
        <w:t xml:space="preserve">' </w:t>
      </w:r>
      <w:r w:rsidRPr="00E831A2">
        <w:rPr>
          <w:rFonts w:hint="eastAsia"/>
          <w:b/>
          <w:bCs/>
          <w:sz w:val="26"/>
          <w:rtl/>
        </w:rPr>
        <w:t>היועץ</w:t>
      </w:r>
      <w:r w:rsidRPr="00E831A2">
        <w:rPr>
          <w:b/>
          <w:bCs/>
          <w:sz w:val="26"/>
          <w:rtl/>
        </w:rPr>
        <w:t xml:space="preserve"> </w:t>
      </w:r>
      <w:r w:rsidRPr="00E831A2">
        <w:rPr>
          <w:rFonts w:hint="eastAsia"/>
          <w:b/>
          <w:bCs/>
          <w:sz w:val="26"/>
          <w:rtl/>
        </w:rPr>
        <w:t>המשפטי</w:t>
      </w:r>
      <w:r w:rsidRPr="00E831A2">
        <w:rPr>
          <w:b/>
          <w:bCs/>
          <w:sz w:val="26"/>
          <w:rtl/>
        </w:rPr>
        <w:t xml:space="preserve"> </w:t>
      </w:r>
      <w:r w:rsidRPr="00E831A2">
        <w:rPr>
          <w:rFonts w:hint="eastAsia"/>
          <w:b/>
          <w:bCs/>
          <w:sz w:val="26"/>
          <w:rtl/>
        </w:rPr>
        <w:t>לממשלה</w:t>
      </w:r>
      <w:r>
        <w:rPr>
          <w:rFonts w:hint="cs"/>
          <w:sz w:val="26"/>
          <w:rtl/>
        </w:rPr>
        <w:t xml:space="preserve"> (</w:t>
      </w:r>
      <w:proofErr w:type="spellStart"/>
      <w:r>
        <w:rPr>
          <w:rFonts w:hint="cs"/>
          <w:sz w:val="26"/>
          <w:rtl/>
        </w:rPr>
        <w:t>אר"ש</w:t>
      </w:r>
      <w:proofErr w:type="spellEnd"/>
      <w:r>
        <w:rPr>
          <w:rFonts w:hint="cs"/>
          <w:sz w:val="26"/>
          <w:rtl/>
        </w:rPr>
        <w:t xml:space="preserve"> 26.2.2008)</w:t>
      </w:r>
      <w:r w:rsidRPr="00A551A8">
        <w:rPr>
          <w:sz w:val="26"/>
          <w:rtl/>
        </w:rPr>
        <w:t>).</w:t>
      </w:r>
    </w:p>
    <w:p w14:paraId="2DDCFD3A" w14:textId="77777777" w:rsidR="009B3C3A" w:rsidRDefault="009B3C3A" w:rsidP="009B3C3A">
      <w:pPr>
        <w:pStyle w:val="Hesber"/>
        <w:rPr>
          <w:sz w:val="26"/>
          <w:rtl/>
        </w:rPr>
      </w:pPr>
      <w:r w:rsidRPr="00E42537">
        <w:rPr>
          <w:rFonts w:hint="eastAsia"/>
          <w:rtl/>
        </w:rPr>
        <w:t>תיקונים</w:t>
      </w:r>
      <w:r w:rsidRPr="00E42537">
        <w:rPr>
          <w:rtl/>
        </w:rPr>
        <w:t xml:space="preserve"> </w:t>
      </w:r>
      <w:r w:rsidRPr="00E42537">
        <w:rPr>
          <w:rFonts w:hint="eastAsia"/>
          <w:rtl/>
        </w:rPr>
        <w:t>אלו</w:t>
      </w:r>
      <w:r w:rsidRPr="00E42537">
        <w:rPr>
          <w:rtl/>
        </w:rPr>
        <w:t xml:space="preserve"> </w:t>
      </w:r>
      <w:r w:rsidRPr="00E42537">
        <w:rPr>
          <w:rFonts w:hint="eastAsia"/>
          <w:rtl/>
        </w:rPr>
        <w:t>יחולו</w:t>
      </w:r>
      <w:r w:rsidRPr="00E42537">
        <w:rPr>
          <w:rtl/>
        </w:rPr>
        <w:t xml:space="preserve"> </w:t>
      </w:r>
      <w:r w:rsidRPr="00E42537">
        <w:rPr>
          <w:rFonts w:hint="eastAsia"/>
          <w:rtl/>
        </w:rPr>
        <w:t>החל</w:t>
      </w:r>
      <w:r w:rsidRPr="00E42537">
        <w:rPr>
          <w:rtl/>
        </w:rPr>
        <w:t xml:space="preserve"> </w:t>
      </w:r>
      <w:r w:rsidRPr="00E42537">
        <w:rPr>
          <w:rFonts w:hint="eastAsia"/>
          <w:rtl/>
        </w:rPr>
        <w:t>מהכנסת</w:t>
      </w:r>
      <w:r w:rsidRPr="00E42537">
        <w:rPr>
          <w:rtl/>
        </w:rPr>
        <w:t xml:space="preserve"> </w:t>
      </w:r>
      <w:r w:rsidRPr="00E42537">
        <w:rPr>
          <w:rFonts w:hint="eastAsia"/>
          <w:rtl/>
        </w:rPr>
        <w:t>הבאה</w:t>
      </w:r>
      <w:r w:rsidRPr="00E42537">
        <w:rPr>
          <w:rtl/>
        </w:rPr>
        <w:t xml:space="preserve">, </w:t>
      </w:r>
      <w:r w:rsidRPr="00E42537">
        <w:rPr>
          <w:rFonts w:hint="eastAsia"/>
          <w:rtl/>
        </w:rPr>
        <w:t>קרי</w:t>
      </w:r>
      <w:r w:rsidRPr="00E42537">
        <w:rPr>
          <w:rtl/>
        </w:rPr>
        <w:t xml:space="preserve"> </w:t>
      </w:r>
      <w:r w:rsidRPr="00E42537">
        <w:rPr>
          <w:rFonts w:hint="eastAsia"/>
          <w:rtl/>
        </w:rPr>
        <w:t>הכנסת</w:t>
      </w:r>
      <w:r w:rsidRPr="00E42537">
        <w:rPr>
          <w:rtl/>
        </w:rPr>
        <w:t xml:space="preserve"> </w:t>
      </w:r>
      <w:r w:rsidRPr="00E42537">
        <w:rPr>
          <w:rFonts w:hint="eastAsia"/>
          <w:rtl/>
        </w:rPr>
        <w:t>ה</w:t>
      </w:r>
      <w:r w:rsidRPr="00E42537">
        <w:rPr>
          <w:rtl/>
        </w:rPr>
        <w:t>-25, וזאת על מנת שלא תהיה ל</w:t>
      </w:r>
      <w:r w:rsidRPr="00E42537">
        <w:rPr>
          <w:rFonts w:hint="eastAsia"/>
          <w:rtl/>
        </w:rPr>
        <w:t>תיקונים</w:t>
      </w:r>
      <w:r w:rsidRPr="00E42537">
        <w:rPr>
          <w:rtl/>
        </w:rPr>
        <w:t xml:space="preserve"> תחולה רטרואקטיבית על מועמדים ליטול את תפקיד הרכבת הממשלה ועל מועמדים לנשיאות המדינה בכנסת הנוכחית (וראו לעניין זה, </w:t>
      </w:r>
      <w:r w:rsidRPr="00E42537">
        <w:rPr>
          <w:rFonts w:hint="eastAsia"/>
          <w:rtl/>
        </w:rPr>
        <w:t>מיכל</w:t>
      </w:r>
      <w:r w:rsidRPr="00E42537">
        <w:rPr>
          <w:rtl/>
        </w:rPr>
        <w:t xml:space="preserve"> טמיר, "חקיקה פרסונלית – חקיקה סלקטיבית</w:t>
      </w:r>
      <w:r w:rsidRPr="00C25B7B">
        <w:rPr>
          <w:rFonts w:ascii="David" w:hAnsi="David" w:hint="cs"/>
          <w:sz w:val="27"/>
          <w:szCs w:val="27"/>
          <w:rtl/>
        </w:rPr>
        <w:t xml:space="preserve">?" </w:t>
      </w:r>
      <w:r w:rsidRPr="00C25B7B">
        <w:rPr>
          <w:rFonts w:ascii="David" w:hAnsi="David" w:hint="cs"/>
          <w:b/>
          <w:bCs/>
          <w:sz w:val="27"/>
          <w:szCs w:val="27"/>
          <w:rtl/>
        </w:rPr>
        <w:t xml:space="preserve">חוקים </w:t>
      </w:r>
      <w:proofErr w:type="spellStart"/>
      <w:r w:rsidRPr="00C25B7B">
        <w:rPr>
          <w:rFonts w:ascii="David" w:hAnsi="David" w:hint="cs"/>
          <w:sz w:val="27"/>
          <w:szCs w:val="27"/>
          <w:rtl/>
        </w:rPr>
        <w:t>יב</w:t>
      </w:r>
      <w:proofErr w:type="spellEnd"/>
      <w:r w:rsidRPr="00C25B7B">
        <w:rPr>
          <w:rFonts w:ascii="David" w:hAnsi="David" w:hint="cs"/>
          <w:sz w:val="27"/>
          <w:szCs w:val="27"/>
          <w:rtl/>
        </w:rPr>
        <w:t xml:space="preserve"> 173</w:t>
      </w:r>
      <w:r>
        <w:rPr>
          <w:rFonts w:ascii="David" w:hAnsi="David" w:hint="cs"/>
          <w:sz w:val="27"/>
          <w:szCs w:val="27"/>
          <w:rtl/>
        </w:rPr>
        <w:t>,</w:t>
      </w:r>
      <w:r w:rsidRPr="00C25B7B">
        <w:rPr>
          <w:rFonts w:ascii="David" w:hAnsi="David" w:hint="cs"/>
          <w:sz w:val="27"/>
          <w:szCs w:val="27"/>
          <w:rtl/>
        </w:rPr>
        <w:t xml:space="preserve"> </w:t>
      </w:r>
      <w:r>
        <w:rPr>
          <w:rFonts w:ascii="David" w:hAnsi="David" w:hint="cs"/>
          <w:sz w:val="27"/>
          <w:szCs w:val="27"/>
          <w:rtl/>
        </w:rPr>
        <w:t xml:space="preserve">180 (2018); </w:t>
      </w:r>
      <w:r>
        <w:rPr>
          <w:rFonts w:hint="cs"/>
          <w:rtl/>
        </w:rPr>
        <w:t>י</w:t>
      </w:r>
      <w:r w:rsidRPr="00947686">
        <w:rPr>
          <w:rtl/>
        </w:rPr>
        <w:t xml:space="preserve">ניב </w:t>
      </w:r>
      <w:proofErr w:type="spellStart"/>
      <w:r w:rsidRPr="00947686">
        <w:rPr>
          <w:rtl/>
        </w:rPr>
        <w:t>רוזנאי</w:t>
      </w:r>
      <w:proofErr w:type="spellEnd"/>
      <w:r w:rsidRPr="00947686">
        <w:rPr>
          <w:rtl/>
        </w:rPr>
        <w:t xml:space="preserve">, "רטרואקטיביות — יותר מאשר ״רק עניין של זמן״! מחשבות ‏על ניתוח חקיקה רטרואקטיבית בעקבות בג״ץ </w:t>
      </w:r>
      <w:proofErr w:type="spellStart"/>
      <w:r w:rsidRPr="00947686">
        <w:rPr>
          <w:rtl/>
        </w:rPr>
        <w:t>גניס</w:t>
      </w:r>
      <w:proofErr w:type="spellEnd"/>
      <w:r w:rsidRPr="00947686">
        <w:rPr>
          <w:rtl/>
        </w:rPr>
        <w:t>" (395)</w:t>
      </w:r>
      <w:r w:rsidRPr="00947686">
        <w:rPr>
          <w:rFonts w:hint="cs"/>
          <w:rtl/>
        </w:rPr>
        <w:t xml:space="preserve"> </w:t>
      </w:r>
      <w:r w:rsidRPr="006E0A46">
        <w:rPr>
          <w:rFonts w:hint="cs"/>
          <w:b/>
          <w:bCs/>
          <w:rtl/>
        </w:rPr>
        <w:t>משפט ועסקים</w:t>
      </w:r>
      <w:r w:rsidRPr="00947686">
        <w:rPr>
          <w:rFonts w:hint="cs"/>
          <w:rtl/>
        </w:rPr>
        <w:t xml:space="preserve"> כרך ט</w:t>
      </w:r>
      <w:r>
        <w:rPr>
          <w:rFonts w:hint="cs"/>
          <w:rtl/>
        </w:rPr>
        <w:t>,</w:t>
      </w:r>
      <w:r w:rsidRPr="00947686">
        <w:rPr>
          <w:rFonts w:hint="cs"/>
          <w:rtl/>
        </w:rPr>
        <w:t xml:space="preserve"> תשס</w:t>
      </w:r>
      <w:r>
        <w:rPr>
          <w:rFonts w:hint="cs"/>
          <w:rtl/>
        </w:rPr>
        <w:t>"</w:t>
      </w:r>
      <w:r w:rsidRPr="00947686">
        <w:rPr>
          <w:rFonts w:hint="cs"/>
          <w:rtl/>
        </w:rPr>
        <w:t>ח</w:t>
      </w:r>
      <w:r>
        <w:rPr>
          <w:rFonts w:hint="cs"/>
          <w:rtl/>
        </w:rPr>
        <w:t>).</w:t>
      </w:r>
    </w:p>
    <w:p w14:paraId="11EB64C7" w14:textId="77777777" w:rsidR="009B3C3A" w:rsidRDefault="009B3C3A" w:rsidP="009B3C3A">
      <w:pPr>
        <w:pStyle w:val="Hesber"/>
        <w:rPr>
          <w:sz w:val="26"/>
          <w:rtl/>
        </w:rPr>
      </w:pPr>
      <w:r w:rsidRPr="00341CC3">
        <w:rPr>
          <w:sz w:val="26"/>
          <w:rtl/>
        </w:rPr>
        <w:t xml:space="preserve">הרף </w:t>
      </w:r>
      <w:r w:rsidRPr="00341CC3">
        <w:rPr>
          <w:rFonts w:hint="eastAsia"/>
          <w:sz w:val="26"/>
          <w:rtl/>
        </w:rPr>
        <w:t>המוסרי</w:t>
      </w:r>
      <w:r w:rsidRPr="00341CC3">
        <w:rPr>
          <w:sz w:val="26"/>
          <w:rtl/>
        </w:rPr>
        <w:t xml:space="preserve"> </w:t>
      </w:r>
      <w:r w:rsidRPr="00341CC3">
        <w:rPr>
          <w:rFonts w:hint="eastAsia"/>
          <w:sz w:val="26"/>
          <w:rtl/>
        </w:rPr>
        <w:t>אותו</w:t>
      </w:r>
      <w:r w:rsidRPr="00341CC3">
        <w:rPr>
          <w:sz w:val="26"/>
          <w:rtl/>
        </w:rPr>
        <w:t xml:space="preserve"> מוצע לקבוע בהצעת החוק, מאזן באופן מיטבי בין חזקת החפות של חבר </w:t>
      </w:r>
      <w:r w:rsidRPr="00341CC3">
        <w:rPr>
          <w:rFonts w:hint="eastAsia"/>
          <w:sz w:val="26"/>
          <w:rtl/>
        </w:rPr>
        <w:t>הכנסת</w:t>
      </w:r>
      <w:r w:rsidRPr="00341CC3">
        <w:rPr>
          <w:sz w:val="26"/>
          <w:rtl/>
        </w:rPr>
        <w:t xml:space="preserve"> </w:t>
      </w:r>
      <w:r>
        <w:rPr>
          <w:rFonts w:hint="cs"/>
          <w:sz w:val="26"/>
          <w:rtl/>
        </w:rPr>
        <w:t xml:space="preserve">וחבר הממשלה </w:t>
      </w:r>
      <w:r w:rsidRPr="00341CC3">
        <w:rPr>
          <w:rFonts w:hint="eastAsia"/>
          <w:sz w:val="26"/>
          <w:rtl/>
        </w:rPr>
        <w:t>ו</w:t>
      </w:r>
      <w:r w:rsidRPr="00341CC3">
        <w:rPr>
          <w:sz w:val="26"/>
          <w:rtl/>
        </w:rPr>
        <w:t xml:space="preserve">בין האינטרס הציבורי שענייני המדינה ינוהלו באופן ענייני ונטול שיקולים זרים. </w:t>
      </w:r>
    </w:p>
    <w:p w14:paraId="0E85DD72" w14:textId="77777777" w:rsidR="009B3C3A" w:rsidRPr="00AE0BAA" w:rsidRDefault="009B3C3A" w:rsidP="009B3C3A">
      <w:pPr>
        <w:pStyle w:val="Hesber"/>
        <w:rPr>
          <w:rtl/>
        </w:rPr>
      </w:pPr>
      <w:r w:rsidRPr="00341CC3">
        <w:rPr>
          <w:rtl/>
        </w:rPr>
        <w:t xml:space="preserve">בהקשר זה </w:t>
      </w:r>
      <w:r w:rsidRPr="00341CC3">
        <w:rPr>
          <w:rFonts w:hint="eastAsia"/>
          <w:rtl/>
        </w:rPr>
        <w:t>חשוב</w:t>
      </w:r>
      <w:r w:rsidRPr="00341CC3">
        <w:rPr>
          <w:rtl/>
        </w:rPr>
        <w:t xml:space="preserve"> ל</w:t>
      </w:r>
      <w:r>
        <w:rPr>
          <w:rFonts w:hint="cs"/>
          <w:rtl/>
        </w:rPr>
        <w:t>ציין</w:t>
      </w:r>
      <w:r w:rsidRPr="00341CC3">
        <w:rPr>
          <w:rtl/>
        </w:rPr>
        <w:t xml:space="preserve"> כי</w:t>
      </w:r>
      <w:r w:rsidRPr="00341CC3">
        <w:rPr>
          <w:rFonts w:hint="cs"/>
          <w:rtl/>
        </w:rPr>
        <w:t>,</w:t>
      </w:r>
      <w:r w:rsidRPr="00341CC3">
        <w:rPr>
          <w:rtl/>
        </w:rPr>
        <w:t xml:space="preserve"> בשונה מאזרח רגיל, כתב אישום נגד </w:t>
      </w:r>
      <w:r w:rsidRPr="00341CC3">
        <w:rPr>
          <w:rFonts w:hint="eastAsia"/>
          <w:rtl/>
        </w:rPr>
        <w:t>חבר</w:t>
      </w:r>
      <w:r>
        <w:rPr>
          <w:rtl/>
        </w:rPr>
        <w:t xml:space="preserve"> הכנסת</w:t>
      </w:r>
      <w:r>
        <w:rPr>
          <w:rFonts w:hint="cs"/>
          <w:rtl/>
        </w:rPr>
        <w:t xml:space="preserve"> או חבר הממשלה </w:t>
      </w:r>
      <w:r w:rsidRPr="00341CC3">
        <w:rPr>
          <w:rtl/>
        </w:rPr>
        <w:t xml:space="preserve">מוגש  באישור היועץ המשפטי לממשלה, לאחר שבחן את המלצות המשטרה והפרקליטות </w:t>
      </w:r>
      <w:r w:rsidRPr="00341CC3">
        <w:rPr>
          <w:rFonts w:hint="eastAsia"/>
          <w:rtl/>
        </w:rPr>
        <w:t>ו</w:t>
      </w:r>
      <w:r w:rsidRPr="00341CC3">
        <w:rPr>
          <w:rtl/>
        </w:rPr>
        <w:t xml:space="preserve">ערך שימוע. לפיכך, </w:t>
      </w:r>
      <w:r w:rsidRPr="00AE0BAA">
        <w:rPr>
          <w:rtl/>
        </w:rPr>
        <w:t xml:space="preserve">שיקול דעתו של היועץ המשפטי לממשלה בבחינת עוצמת הראיות והאינטרס הציבורי </w:t>
      </w:r>
      <w:r w:rsidRPr="00AE0BAA">
        <w:rPr>
          <w:rFonts w:hint="eastAsia"/>
          <w:rtl/>
        </w:rPr>
        <w:t>בהגשת</w:t>
      </w:r>
      <w:r w:rsidRPr="00AE0BAA">
        <w:rPr>
          <w:rtl/>
        </w:rPr>
        <w:t xml:space="preserve"> כתב האישום מהווה </w:t>
      </w:r>
      <w:r w:rsidRPr="00AE0BAA">
        <w:rPr>
          <w:rFonts w:hint="eastAsia"/>
          <w:rtl/>
        </w:rPr>
        <w:t>כלי</w:t>
      </w:r>
      <w:r w:rsidRPr="00AE0BAA">
        <w:rPr>
          <w:rtl/>
        </w:rPr>
        <w:t xml:space="preserve"> </w:t>
      </w:r>
      <w:r w:rsidRPr="00AE0BAA">
        <w:rPr>
          <w:rFonts w:hint="eastAsia"/>
          <w:rtl/>
        </w:rPr>
        <w:t>ביקורתי</w:t>
      </w:r>
      <w:r w:rsidRPr="00AE0BAA">
        <w:rPr>
          <w:rtl/>
        </w:rPr>
        <w:t xml:space="preserve"> </w:t>
      </w:r>
      <w:r w:rsidRPr="00AE0BAA">
        <w:rPr>
          <w:rFonts w:hint="eastAsia"/>
          <w:rtl/>
        </w:rPr>
        <w:t>נוסף</w:t>
      </w:r>
      <w:r w:rsidRPr="00AE0BAA">
        <w:rPr>
          <w:rtl/>
        </w:rPr>
        <w:t xml:space="preserve"> </w:t>
      </w:r>
      <w:r w:rsidRPr="00AE0BAA">
        <w:rPr>
          <w:rFonts w:hint="eastAsia"/>
          <w:rtl/>
        </w:rPr>
        <w:t>לפני</w:t>
      </w:r>
      <w:r w:rsidRPr="00AE0BAA">
        <w:rPr>
          <w:rtl/>
        </w:rPr>
        <w:t xml:space="preserve"> </w:t>
      </w:r>
      <w:r w:rsidRPr="00AE0BAA">
        <w:rPr>
          <w:rFonts w:hint="eastAsia"/>
          <w:rtl/>
        </w:rPr>
        <w:t>העמדה</w:t>
      </w:r>
      <w:r w:rsidRPr="00AE0BAA">
        <w:rPr>
          <w:rtl/>
        </w:rPr>
        <w:t xml:space="preserve"> </w:t>
      </w:r>
      <w:r w:rsidRPr="00AE0BAA">
        <w:rPr>
          <w:rFonts w:hint="eastAsia"/>
          <w:rtl/>
        </w:rPr>
        <w:t>לדין</w:t>
      </w:r>
      <w:r w:rsidRPr="00AE0BAA">
        <w:rPr>
          <w:rtl/>
        </w:rPr>
        <w:t xml:space="preserve">. </w:t>
      </w:r>
    </w:p>
    <w:p w14:paraId="408D05E7" w14:textId="77777777" w:rsidR="009B3C3A" w:rsidRDefault="009B3C3A" w:rsidP="009B3C3A">
      <w:pPr>
        <w:pStyle w:val="Hesber"/>
        <w:rPr>
          <w:rtl/>
        </w:rPr>
      </w:pPr>
      <w:r w:rsidRPr="00AE0BAA">
        <w:rPr>
          <w:rFonts w:hint="eastAsia"/>
          <w:rtl/>
        </w:rPr>
        <w:t>הצעת</w:t>
      </w:r>
      <w:r w:rsidRPr="00AE0BAA">
        <w:rPr>
          <w:rtl/>
        </w:rPr>
        <w:t xml:space="preserve"> </w:t>
      </w:r>
      <w:r w:rsidRPr="00AE0BAA">
        <w:rPr>
          <w:rFonts w:hint="eastAsia"/>
          <w:rtl/>
        </w:rPr>
        <w:t>החוק</w:t>
      </w:r>
      <w:r w:rsidRPr="00AE0BAA">
        <w:rPr>
          <w:rtl/>
        </w:rPr>
        <w:t xml:space="preserve"> </w:t>
      </w:r>
      <w:r w:rsidRPr="00AE0BAA">
        <w:rPr>
          <w:rFonts w:hint="eastAsia"/>
          <w:rtl/>
        </w:rPr>
        <w:t>נוסחה</w:t>
      </w:r>
      <w:r w:rsidRPr="00AE0BAA">
        <w:rPr>
          <w:rtl/>
        </w:rPr>
        <w:t xml:space="preserve"> </w:t>
      </w:r>
      <w:r w:rsidRPr="00AE0BAA">
        <w:rPr>
          <w:rFonts w:hint="eastAsia"/>
          <w:rtl/>
        </w:rPr>
        <w:t>בסיוע</w:t>
      </w:r>
      <w:r w:rsidRPr="00AE0BAA">
        <w:rPr>
          <w:rtl/>
        </w:rPr>
        <w:t xml:space="preserve"> </w:t>
      </w:r>
      <w:r w:rsidRPr="00AE0BAA">
        <w:rPr>
          <w:rFonts w:hint="eastAsia"/>
          <w:rtl/>
        </w:rPr>
        <w:t>של</w:t>
      </w:r>
      <w:r w:rsidRPr="00AE0BAA">
        <w:rPr>
          <w:rtl/>
        </w:rPr>
        <w:t xml:space="preserve"> </w:t>
      </w:r>
      <w:r w:rsidRPr="00AE0BAA">
        <w:rPr>
          <w:rFonts w:hint="eastAsia"/>
          <w:rtl/>
        </w:rPr>
        <w:t>התנועה</w:t>
      </w:r>
      <w:r w:rsidRPr="00AE0BAA">
        <w:rPr>
          <w:rtl/>
        </w:rPr>
        <w:t xml:space="preserve"> </w:t>
      </w:r>
      <w:r w:rsidRPr="00AE0BAA">
        <w:rPr>
          <w:rFonts w:hint="eastAsia"/>
          <w:rtl/>
        </w:rPr>
        <w:t>למען</w:t>
      </w:r>
      <w:r w:rsidRPr="00AE0BAA">
        <w:rPr>
          <w:rtl/>
        </w:rPr>
        <w:t xml:space="preserve"> </w:t>
      </w:r>
      <w:r w:rsidRPr="00AE0BAA">
        <w:rPr>
          <w:rFonts w:hint="eastAsia"/>
          <w:rtl/>
        </w:rPr>
        <w:t>איכות</w:t>
      </w:r>
      <w:r w:rsidRPr="00AE0BAA">
        <w:rPr>
          <w:rtl/>
        </w:rPr>
        <w:t xml:space="preserve"> </w:t>
      </w:r>
      <w:r w:rsidRPr="00AE0BAA">
        <w:rPr>
          <w:rFonts w:hint="eastAsia"/>
          <w:rtl/>
        </w:rPr>
        <w:t>השלטון</w:t>
      </w:r>
      <w:r w:rsidRPr="00AE0BAA">
        <w:rPr>
          <w:rtl/>
        </w:rPr>
        <w:t xml:space="preserve"> </w:t>
      </w:r>
      <w:r w:rsidRPr="00AE0BAA">
        <w:rPr>
          <w:rFonts w:hint="eastAsia"/>
          <w:rtl/>
        </w:rPr>
        <w:t>בישראל</w:t>
      </w:r>
      <w:r w:rsidRPr="00AE0BAA">
        <w:rPr>
          <w:rtl/>
        </w:rPr>
        <w:t>.</w:t>
      </w:r>
    </w:p>
    <w:p w14:paraId="0BE6BE63" w14:textId="1FF415A1" w:rsidR="009B3C3A" w:rsidRPr="00AE0BAA" w:rsidRDefault="009B3C3A" w:rsidP="009B3C3A">
      <w:pPr>
        <w:pStyle w:val="Hesber"/>
        <w:rPr>
          <w:rtl/>
        </w:rPr>
      </w:pPr>
      <w:r w:rsidRPr="00AE0BAA">
        <w:rPr>
          <w:rFonts w:hint="eastAsia"/>
          <w:rtl/>
        </w:rPr>
        <w:t>הצעות</w:t>
      </w:r>
      <w:r w:rsidRPr="00AE0BAA">
        <w:rPr>
          <w:rtl/>
        </w:rPr>
        <w:t xml:space="preserve"> חוק </w:t>
      </w:r>
      <w:r w:rsidRPr="00AE0BAA">
        <w:rPr>
          <w:rFonts w:hint="eastAsia"/>
          <w:rtl/>
        </w:rPr>
        <w:t>דומות</w:t>
      </w:r>
      <w:r w:rsidRPr="00AE0BAA">
        <w:rPr>
          <w:rtl/>
        </w:rPr>
        <w:t xml:space="preserve"> </w:t>
      </w:r>
      <w:r w:rsidRPr="00AE0BAA">
        <w:rPr>
          <w:rFonts w:hint="eastAsia"/>
          <w:rtl/>
        </w:rPr>
        <w:t>בעיקרן</w:t>
      </w:r>
      <w:r w:rsidRPr="00AE0BAA">
        <w:rPr>
          <w:rtl/>
        </w:rPr>
        <w:t xml:space="preserve"> הונחו על שולחן הכנסת העשרים וארבע על ידי </w:t>
      </w:r>
      <w:r w:rsidRPr="00AE0BAA">
        <w:rPr>
          <w:rFonts w:hint="eastAsia"/>
          <w:rtl/>
        </w:rPr>
        <w:t>חבר</w:t>
      </w:r>
      <w:r w:rsidRPr="00AE0BAA">
        <w:rPr>
          <w:rtl/>
        </w:rPr>
        <w:t xml:space="preserve"> הכנסת יואב </w:t>
      </w:r>
      <w:proofErr w:type="spellStart"/>
      <w:r w:rsidRPr="00AE0BAA">
        <w:rPr>
          <w:rFonts w:hint="eastAsia"/>
          <w:rtl/>
        </w:rPr>
        <w:t>סגלוביץ</w:t>
      </w:r>
      <w:proofErr w:type="spellEnd"/>
      <w:r w:rsidRPr="00AE0BAA">
        <w:rPr>
          <w:rtl/>
        </w:rPr>
        <w:t xml:space="preserve">' </w:t>
      </w:r>
      <w:r w:rsidRPr="00E42537">
        <w:rPr>
          <w:rtl/>
        </w:rPr>
        <w:t xml:space="preserve">(פ/41/24), </w:t>
      </w:r>
      <w:r w:rsidRPr="00AE0BAA">
        <w:rPr>
          <w:rFonts w:hint="eastAsia"/>
          <w:rtl/>
        </w:rPr>
        <w:t>על</w:t>
      </w:r>
      <w:r w:rsidRPr="00AE0BAA">
        <w:rPr>
          <w:rtl/>
        </w:rPr>
        <w:t xml:space="preserve"> </w:t>
      </w:r>
      <w:r w:rsidRPr="00AE0BAA">
        <w:rPr>
          <w:rFonts w:hint="eastAsia"/>
          <w:rtl/>
        </w:rPr>
        <w:t>ידי</w:t>
      </w:r>
      <w:r w:rsidRPr="00AE0BAA">
        <w:rPr>
          <w:rtl/>
        </w:rPr>
        <w:t xml:space="preserve"> </w:t>
      </w:r>
      <w:r w:rsidRPr="00AE0BAA">
        <w:rPr>
          <w:rFonts w:hint="eastAsia"/>
          <w:rtl/>
        </w:rPr>
        <w:t>חבר</w:t>
      </w:r>
      <w:r w:rsidRPr="00AE0BAA">
        <w:rPr>
          <w:rtl/>
        </w:rPr>
        <w:t xml:space="preserve"> </w:t>
      </w:r>
      <w:r w:rsidRPr="00AE0BAA">
        <w:rPr>
          <w:rFonts w:hint="eastAsia"/>
          <w:rtl/>
        </w:rPr>
        <w:t>הכנסת</w:t>
      </w:r>
      <w:r w:rsidRPr="00AE0BAA">
        <w:rPr>
          <w:rtl/>
        </w:rPr>
        <w:t xml:space="preserve"> </w:t>
      </w:r>
      <w:r w:rsidRPr="00AE0BAA">
        <w:rPr>
          <w:rFonts w:hint="eastAsia"/>
          <w:rtl/>
        </w:rPr>
        <w:t>אלי</w:t>
      </w:r>
      <w:r w:rsidRPr="00AE0BAA">
        <w:rPr>
          <w:rtl/>
        </w:rPr>
        <w:t xml:space="preserve"> </w:t>
      </w:r>
      <w:r w:rsidRPr="00AE0BAA">
        <w:rPr>
          <w:rFonts w:hint="eastAsia"/>
          <w:rtl/>
        </w:rPr>
        <w:t>אבידר</w:t>
      </w:r>
      <w:r w:rsidRPr="00AE0BAA">
        <w:rPr>
          <w:rtl/>
        </w:rPr>
        <w:t xml:space="preserve"> </w:t>
      </w:r>
      <w:r w:rsidRPr="00AE0BAA">
        <w:rPr>
          <w:rFonts w:hint="eastAsia"/>
          <w:rtl/>
        </w:rPr>
        <w:t>וקבוצת</w:t>
      </w:r>
      <w:r w:rsidRPr="00AE0BAA">
        <w:rPr>
          <w:rtl/>
        </w:rPr>
        <w:t xml:space="preserve"> </w:t>
      </w:r>
      <w:r w:rsidRPr="00AE0BAA">
        <w:rPr>
          <w:rFonts w:hint="eastAsia"/>
          <w:rtl/>
        </w:rPr>
        <w:t>חברי</w:t>
      </w:r>
      <w:r w:rsidRPr="00AE0BAA">
        <w:rPr>
          <w:rtl/>
        </w:rPr>
        <w:t xml:space="preserve"> </w:t>
      </w:r>
      <w:r w:rsidRPr="00AE0BAA">
        <w:rPr>
          <w:rFonts w:hint="eastAsia"/>
          <w:rtl/>
        </w:rPr>
        <w:t>הכנסת</w:t>
      </w:r>
      <w:r w:rsidRPr="00AE0BAA">
        <w:rPr>
          <w:rtl/>
        </w:rPr>
        <w:t xml:space="preserve"> (</w:t>
      </w:r>
      <w:r w:rsidRPr="00E42537">
        <w:rPr>
          <w:rtl/>
        </w:rPr>
        <w:t xml:space="preserve">פ/223/24), </w:t>
      </w:r>
      <w:r w:rsidRPr="00E42537">
        <w:rPr>
          <w:rFonts w:hint="eastAsia"/>
          <w:rtl/>
        </w:rPr>
        <w:t>על</w:t>
      </w:r>
      <w:r w:rsidRPr="00E42537">
        <w:rPr>
          <w:rtl/>
        </w:rPr>
        <w:t xml:space="preserve"> </w:t>
      </w:r>
      <w:r w:rsidRPr="00E42537">
        <w:rPr>
          <w:rFonts w:hint="eastAsia"/>
          <w:rtl/>
        </w:rPr>
        <w:t>ידי</w:t>
      </w:r>
      <w:r w:rsidRPr="00E42537">
        <w:rPr>
          <w:rtl/>
        </w:rPr>
        <w:t xml:space="preserve"> </w:t>
      </w:r>
      <w:r w:rsidRPr="00E42537">
        <w:rPr>
          <w:rFonts w:hint="eastAsia"/>
          <w:rtl/>
        </w:rPr>
        <w:t>חברת</w:t>
      </w:r>
      <w:r w:rsidRPr="00E42537">
        <w:rPr>
          <w:rtl/>
        </w:rPr>
        <w:t xml:space="preserve"> </w:t>
      </w:r>
      <w:r w:rsidRPr="00E42537">
        <w:rPr>
          <w:rFonts w:hint="eastAsia"/>
          <w:rtl/>
        </w:rPr>
        <w:t>הכנסת</w:t>
      </w:r>
      <w:r w:rsidRPr="00E42537">
        <w:rPr>
          <w:rtl/>
        </w:rPr>
        <w:t xml:space="preserve"> </w:t>
      </w:r>
      <w:r w:rsidRPr="00E42537">
        <w:rPr>
          <w:rFonts w:hint="eastAsia"/>
          <w:rtl/>
        </w:rPr>
        <w:t>יעל</w:t>
      </w:r>
      <w:r w:rsidRPr="00E42537">
        <w:rPr>
          <w:rtl/>
        </w:rPr>
        <w:t xml:space="preserve"> </w:t>
      </w:r>
      <w:r w:rsidRPr="00E42537">
        <w:rPr>
          <w:rFonts w:hint="eastAsia"/>
          <w:rtl/>
        </w:rPr>
        <w:t>רון</w:t>
      </w:r>
      <w:r w:rsidRPr="00E42537">
        <w:rPr>
          <w:rtl/>
        </w:rPr>
        <w:t xml:space="preserve"> </w:t>
      </w:r>
      <w:r w:rsidRPr="00E42537">
        <w:rPr>
          <w:rFonts w:hint="eastAsia"/>
          <w:rtl/>
        </w:rPr>
        <w:t>בן</w:t>
      </w:r>
      <w:r w:rsidRPr="00E42537">
        <w:rPr>
          <w:rtl/>
        </w:rPr>
        <w:t xml:space="preserve"> </w:t>
      </w:r>
      <w:r w:rsidRPr="00E42537">
        <w:rPr>
          <w:rFonts w:hint="eastAsia"/>
          <w:rtl/>
        </w:rPr>
        <w:t>משה</w:t>
      </w:r>
      <w:r w:rsidRPr="00E42537">
        <w:rPr>
          <w:rtl/>
        </w:rPr>
        <w:t xml:space="preserve"> (</w:t>
      </w:r>
      <w:r w:rsidRPr="00AE0BAA">
        <w:rPr>
          <w:rFonts w:hint="eastAsia"/>
          <w:rtl/>
        </w:rPr>
        <w:t>פ</w:t>
      </w:r>
      <w:r w:rsidRPr="00AE0BAA">
        <w:rPr>
          <w:rtl/>
        </w:rPr>
        <w:t xml:space="preserve">/230/24), </w:t>
      </w:r>
      <w:r w:rsidRPr="00E42537">
        <w:rPr>
          <w:rFonts w:hint="eastAsia"/>
          <w:rtl/>
        </w:rPr>
        <w:t>על</w:t>
      </w:r>
      <w:r w:rsidRPr="00E42537">
        <w:rPr>
          <w:rtl/>
        </w:rPr>
        <w:t xml:space="preserve"> </w:t>
      </w:r>
      <w:r w:rsidRPr="00E42537">
        <w:rPr>
          <w:rFonts w:hint="eastAsia"/>
          <w:rtl/>
        </w:rPr>
        <w:t>ידי</w:t>
      </w:r>
      <w:r w:rsidRPr="00E42537">
        <w:rPr>
          <w:rtl/>
        </w:rPr>
        <w:t xml:space="preserve"> </w:t>
      </w:r>
      <w:r w:rsidRPr="00E42537">
        <w:rPr>
          <w:rFonts w:hint="eastAsia"/>
          <w:rtl/>
        </w:rPr>
        <w:t>חברת</w:t>
      </w:r>
      <w:r w:rsidRPr="00E42537">
        <w:rPr>
          <w:rtl/>
        </w:rPr>
        <w:t xml:space="preserve"> </w:t>
      </w:r>
      <w:r w:rsidRPr="00E42537">
        <w:rPr>
          <w:rFonts w:hint="eastAsia"/>
          <w:rtl/>
        </w:rPr>
        <w:t>הכנסת</w:t>
      </w:r>
      <w:r w:rsidRPr="00E42537">
        <w:rPr>
          <w:rtl/>
        </w:rPr>
        <w:t xml:space="preserve"> </w:t>
      </w:r>
      <w:r w:rsidRPr="00E42537">
        <w:rPr>
          <w:rFonts w:hint="eastAsia"/>
          <w:rtl/>
        </w:rPr>
        <w:t>מרב</w:t>
      </w:r>
      <w:r w:rsidRPr="00E42537">
        <w:rPr>
          <w:rtl/>
        </w:rPr>
        <w:t xml:space="preserve"> </w:t>
      </w:r>
      <w:r w:rsidRPr="00E42537">
        <w:rPr>
          <w:rFonts w:hint="eastAsia"/>
          <w:rtl/>
        </w:rPr>
        <w:t>מיכאלי</w:t>
      </w:r>
      <w:r w:rsidRPr="00E42537">
        <w:rPr>
          <w:rtl/>
        </w:rPr>
        <w:t xml:space="preserve"> </w:t>
      </w:r>
      <w:r w:rsidRPr="00E42537">
        <w:rPr>
          <w:rFonts w:hint="eastAsia"/>
          <w:rtl/>
        </w:rPr>
        <w:t>וקבוצת</w:t>
      </w:r>
      <w:r w:rsidRPr="00E42537">
        <w:rPr>
          <w:rtl/>
        </w:rPr>
        <w:t xml:space="preserve"> </w:t>
      </w:r>
      <w:r w:rsidRPr="00E42537">
        <w:rPr>
          <w:rFonts w:hint="eastAsia"/>
          <w:rtl/>
        </w:rPr>
        <w:t>חברי</w:t>
      </w:r>
      <w:r w:rsidRPr="00E42537">
        <w:rPr>
          <w:rtl/>
        </w:rPr>
        <w:t xml:space="preserve"> </w:t>
      </w:r>
      <w:r w:rsidRPr="00E42537">
        <w:rPr>
          <w:rFonts w:hint="eastAsia"/>
          <w:rtl/>
        </w:rPr>
        <w:t>הכנסת</w:t>
      </w:r>
      <w:r w:rsidR="003D5ABE">
        <w:rPr>
          <w:rtl/>
        </w:rPr>
        <w:t xml:space="preserve"> (פ/249/24)</w:t>
      </w:r>
      <w:r w:rsidRPr="00E42537">
        <w:rPr>
          <w:rtl/>
        </w:rPr>
        <w:t xml:space="preserve"> </w:t>
      </w:r>
      <w:r w:rsidRPr="00E42537">
        <w:rPr>
          <w:rFonts w:hint="eastAsia"/>
          <w:rtl/>
        </w:rPr>
        <w:t>ועל</w:t>
      </w:r>
      <w:r w:rsidRPr="00E42537">
        <w:rPr>
          <w:rtl/>
        </w:rPr>
        <w:t xml:space="preserve"> ידי </w:t>
      </w:r>
      <w:r w:rsidRPr="00AE0BAA">
        <w:rPr>
          <w:rFonts w:hint="eastAsia"/>
          <w:rtl/>
        </w:rPr>
        <w:t>חברת</w:t>
      </w:r>
      <w:r w:rsidRPr="00AE0BAA">
        <w:rPr>
          <w:rtl/>
        </w:rPr>
        <w:t xml:space="preserve"> הכנסת תמר זנדברג (</w:t>
      </w:r>
      <w:r w:rsidRPr="00E42537">
        <w:rPr>
          <w:rtl/>
        </w:rPr>
        <w:t>פ/439/24)</w:t>
      </w:r>
      <w:r>
        <w:rPr>
          <w:rFonts w:hint="cs"/>
          <w:rtl/>
        </w:rPr>
        <w:t>.</w:t>
      </w:r>
    </w:p>
    <w:p w14:paraId="10A72BFB" w14:textId="401BDE36" w:rsidR="004D6424" w:rsidRDefault="004D6424" w:rsidP="009B3C3A">
      <w:pPr>
        <w:rPr>
          <w:rtl/>
        </w:rPr>
      </w:pPr>
    </w:p>
    <w:p w14:paraId="50B276C5" w14:textId="77777777" w:rsidR="009D548A" w:rsidRDefault="003D5ABE">
      <w:pPr>
        <w:jc w:val="left"/>
      </w:pPr>
      <w:bookmarkStart w:id="7" w:name="selectedDocDateB"/>
      <w:bookmarkEnd w:id="7"/>
      <w:r>
        <w:rPr>
          <w:rFonts w:eastAsia="David" w:hint="cs"/>
          <w:sz w:val="26"/>
          <w:szCs w:val="26"/>
          <w:rtl/>
        </w:rPr>
        <w:t>--------------------------------</w:t>
      </w:r>
    </w:p>
    <w:p w14:paraId="6983463F" w14:textId="77777777" w:rsidR="009D548A" w:rsidRDefault="003D5ABE">
      <w:pPr>
        <w:jc w:val="left"/>
      </w:pPr>
      <w:r>
        <w:rPr>
          <w:rFonts w:eastAsia="David" w:hint="cs"/>
          <w:sz w:val="26"/>
          <w:szCs w:val="26"/>
          <w:rtl/>
        </w:rPr>
        <w:t>הוגשה ליו"ר הכנסת והסגנים</w:t>
      </w:r>
    </w:p>
    <w:p w14:paraId="6C2AC131" w14:textId="77777777" w:rsidR="009D548A" w:rsidRDefault="003D5ABE">
      <w:pPr>
        <w:jc w:val="left"/>
      </w:pPr>
      <w:r>
        <w:rPr>
          <w:rFonts w:eastAsia="David" w:hint="cs"/>
          <w:sz w:val="26"/>
          <w:szCs w:val="26"/>
          <w:rtl/>
        </w:rPr>
        <w:t>והונחה על שולחן הכנסת ביום</w:t>
      </w:r>
    </w:p>
    <w:p w14:paraId="3F425AA1" w14:textId="77777777" w:rsidR="009D548A" w:rsidRDefault="003D5ABE">
      <w:pPr>
        <w:jc w:val="left"/>
      </w:pPr>
      <w:r>
        <w:rPr>
          <w:rFonts w:eastAsia="David" w:hint="cs"/>
          <w:sz w:val="26"/>
          <w:szCs w:val="26"/>
          <w:rtl/>
        </w:rPr>
        <w:t xml:space="preserve">כ' בסיוון </w:t>
      </w:r>
      <w:proofErr w:type="spellStart"/>
      <w:r>
        <w:rPr>
          <w:rFonts w:eastAsia="David" w:hint="cs"/>
          <w:sz w:val="26"/>
          <w:szCs w:val="26"/>
          <w:rtl/>
        </w:rPr>
        <w:t>התשפ"א</w:t>
      </w:r>
      <w:proofErr w:type="spellEnd"/>
      <w:r>
        <w:rPr>
          <w:rFonts w:eastAsia="David" w:hint="cs"/>
          <w:sz w:val="26"/>
          <w:szCs w:val="26"/>
          <w:rtl/>
        </w:rPr>
        <w:t xml:space="preserve"> (31.05.2021) </w:t>
      </w:r>
    </w:p>
    <w:p w14:paraId="722D58BE" w14:textId="77777777" w:rsidR="009D548A" w:rsidRDefault="009D548A">
      <w:pPr>
        <w:spacing w:line="276" w:lineRule="auto"/>
        <w:jc w:val="left"/>
      </w:pPr>
    </w:p>
    <w:bookmarkEnd w:id="6"/>
    <w:sectPr w:rsidR="009D548A" w:rsidSect="00D328C8">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350F0791"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3D5ABE">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D328C8">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2E2294B0" w14:textId="77777777" w:rsidR="009B3C3A" w:rsidRDefault="009B3C3A" w:rsidP="009B3C3A">
      <w:pPr>
        <w:pStyle w:val="a4"/>
      </w:pPr>
      <w:r>
        <w:rPr>
          <w:rStyle w:val="a6"/>
        </w:rPr>
        <w:footnoteRef/>
      </w:r>
      <w:r>
        <w:t xml:space="preserve"> </w:t>
      </w:r>
      <w:r>
        <w:rPr>
          <w:rFonts w:hint="cs"/>
          <w:rtl/>
        </w:rPr>
        <w:t xml:space="preserve"> ס</w:t>
      </w:r>
      <w:r>
        <w:rPr>
          <w:rtl/>
        </w:rPr>
        <w:t xml:space="preserve">"ח </w:t>
      </w:r>
      <w:proofErr w:type="spellStart"/>
      <w:r>
        <w:rPr>
          <w:rtl/>
        </w:rPr>
        <w:t>התש</w:t>
      </w:r>
      <w:r>
        <w:rPr>
          <w:rFonts w:hint="cs"/>
          <w:rtl/>
        </w:rPr>
        <w:t>ס</w:t>
      </w:r>
      <w:r>
        <w:rPr>
          <w:rtl/>
        </w:rPr>
        <w:t>"א</w:t>
      </w:r>
      <w:proofErr w:type="spellEnd"/>
      <w:r>
        <w:rPr>
          <w:rtl/>
        </w:rPr>
        <w:t xml:space="preserve">, עמ' </w:t>
      </w:r>
      <w:r>
        <w:rPr>
          <w:rFonts w:hint="cs"/>
          <w:rtl/>
        </w:rPr>
        <w:t>158</w:t>
      </w:r>
      <w:r>
        <w:rPr>
          <w:rtl/>
        </w:rPr>
        <w:t>.</w:t>
      </w:r>
    </w:p>
  </w:footnote>
  <w:footnote w:id="3">
    <w:p w14:paraId="7FAEEAAB" w14:textId="77777777" w:rsidR="009B3C3A" w:rsidRDefault="009B3C3A" w:rsidP="009B3C3A">
      <w:pPr>
        <w:pStyle w:val="a4"/>
      </w:pPr>
      <w:r>
        <w:rPr>
          <w:rStyle w:val="a6"/>
        </w:rPr>
        <w:footnoteRef/>
      </w:r>
      <w:r>
        <w:rPr>
          <w:rtl/>
        </w:rPr>
        <w:t xml:space="preserve"> </w:t>
      </w:r>
      <w:r>
        <w:rPr>
          <w:rFonts w:hint="cs"/>
          <w:rtl/>
        </w:rPr>
        <w:t xml:space="preserve">ס"ח </w:t>
      </w:r>
      <w:proofErr w:type="spellStart"/>
      <w:r>
        <w:rPr>
          <w:rFonts w:hint="cs"/>
          <w:rtl/>
        </w:rPr>
        <w:t>התשל"ז</w:t>
      </w:r>
      <w:proofErr w:type="spellEnd"/>
      <w:r>
        <w:rPr>
          <w:rFonts w:hint="cs"/>
          <w:rtl/>
        </w:rPr>
        <w:t>, עמ' 226.</w:t>
      </w:r>
    </w:p>
  </w:footnote>
  <w:footnote w:id="4">
    <w:p w14:paraId="746D8DF1" w14:textId="77777777" w:rsidR="007A5249" w:rsidRDefault="007A5249" w:rsidP="009B3C3A">
      <w:pPr>
        <w:pStyle w:val="a4"/>
      </w:pPr>
      <w:r>
        <w:rPr>
          <w:rStyle w:val="a6"/>
        </w:rPr>
        <w:footnoteRef/>
      </w:r>
      <w:r>
        <w:rPr>
          <w:rtl/>
        </w:rPr>
        <w:t xml:space="preserve"> </w:t>
      </w:r>
      <w:r>
        <w:rPr>
          <w:rFonts w:hint="cs"/>
          <w:rtl/>
        </w:rPr>
        <w:t xml:space="preserve">ס"ח </w:t>
      </w:r>
      <w:proofErr w:type="spellStart"/>
      <w:r>
        <w:rPr>
          <w:rFonts w:hint="cs"/>
          <w:rtl/>
        </w:rPr>
        <w:t>התשכ"ד</w:t>
      </w:r>
      <w:proofErr w:type="spellEnd"/>
      <w:r>
        <w:rPr>
          <w:rFonts w:hint="cs"/>
          <w:rtl/>
        </w:rPr>
        <w:t>, עמ'118.</w:t>
      </w:r>
    </w:p>
  </w:footnote>
  <w:footnote w:id="5">
    <w:p w14:paraId="29EB3F14" w14:textId="77777777" w:rsidR="003D5ABE" w:rsidRDefault="003D5ABE" w:rsidP="009B3C3A">
      <w:pPr>
        <w:pStyle w:val="a4"/>
        <w:rPr>
          <w:rtl/>
        </w:rPr>
      </w:pPr>
      <w:r>
        <w:rPr>
          <w:rStyle w:val="a6"/>
        </w:rPr>
        <w:footnoteRef/>
      </w:r>
      <w:r>
        <w:rPr>
          <w:rtl/>
        </w:rPr>
        <w:t xml:space="preserve"> </w:t>
      </w:r>
      <w:r>
        <w:rPr>
          <w:rFonts w:hint="cs"/>
          <w:rtl/>
        </w:rPr>
        <w:t>ס</w:t>
      </w:r>
      <w:r>
        <w:rPr>
          <w:rtl/>
        </w:rPr>
        <w:t xml:space="preserve">"ח </w:t>
      </w:r>
      <w:proofErr w:type="spellStart"/>
      <w:r>
        <w:rPr>
          <w:rtl/>
        </w:rPr>
        <w:t>התש</w:t>
      </w:r>
      <w:r>
        <w:rPr>
          <w:rFonts w:hint="cs"/>
          <w:rtl/>
        </w:rPr>
        <w:t>ס</w:t>
      </w:r>
      <w:r>
        <w:rPr>
          <w:rtl/>
        </w:rPr>
        <w:t>"א</w:t>
      </w:r>
      <w:proofErr w:type="spellEnd"/>
      <w:r>
        <w:rPr>
          <w:rtl/>
        </w:rPr>
        <w:t xml:space="preserve">, עמ' </w:t>
      </w:r>
      <w:r>
        <w:rPr>
          <w:rFonts w:hint="cs"/>
          <w:rtl/>
        </w:rPr>
        <w:t>158</w:t>
      </w:r>
      <w:r>
        <w:rPr>
          <w:rtl/>
        </w:rPr>
        <w:t>.</w:t>
      </w:r>
    </w:p>
  </w:footnote>
  <w:footnote w:id="6">
    <w:p w14:paraId="40DFA4BA" w14:textId="77777777" w:rsidR="003D5ABE" w:rsidRDefault="003D5ABE" w:rsidP="009B3C3A">
      <w:pPr>
        <w:pStyle w:val="a4"/>
      </w:pPr>
      <w:r>
        <w:rPr>
          <w:rStyle w:val="a6"/>
        </w:rPr>
        <w:footnoteRef/>
      </w:r>
      <w:r>
        <w:rPr>
          <w:rtl/>
        </w:rPr>
        <w:t xml:space="preserve"> </w:t>
      </w:r>
      <w:r>
        <w:rPr>
          <w:rFonts w:hint="cs"/>
          <w:rtl/>
        </w:rPr>
        <w:t>ס</w:t>
      </w:r>
      <w:r>
        <w:rPr>
          <w:rtl/>
        </w:rPr>
        <w:t xml:space="preserve">"ח </w:t>
      </w:r>
      <w:proofErr w:type="spellStart"/>
      <w:r>
        <w:rPr>
          <w:rtl/>
        </w:rPr>
        <w:t>התש</w:t>
      </w:r>
      <w:r>
        <w:rPr>
          <w:rFonts w:hint="cs"/>
          <w:rtl/>
        </w:rPr>
        <w:t>ס</w:t>
      </w:r>
      <w:r>
        <w:rPr>
          <w:rtl/>
        </w:rPr>
        <w:t>"א</w:t>
      </w:r>
      <w:proofErr w:type="spellEnd"/>
      <w:r>
        <w:rPr>
          <w:rtl/>
        </w:rPr>
        <w:t xml:space="preserve">, עמ' </w:t>
      </w:r>
      <w:r>
        <w:rPr>
          <w:rFonts w:hint="cs"/>
          <w:rtl/>
        </w:rPr>
        <w:t>158</w:t>
      </w:r>
      <w:r>
        <w:rPr>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145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DA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9078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1283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AEAC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60E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03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5460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303D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5A7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5"/>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37419"/>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43E6F"/>
    <w:rsid w:val="0036422C"/>
    <w:rsid w:val="003710F6"/>
    <w:rsid w:val="00386E88"/>
    <w:rsid w:val="00396585"/>
    <w:rsid w:val="003D5ABE"/>
    <w:rsid w:val="003D6E38"/>
    <w:rsid w:val="003D74A0"/>
    <w:rsid w:val="004033D8"/>
    <w:rsid w:val="004073F0"/>
    <w:rsid w:val="00412A7D"/>
    <w:rsid w:val="00416B4D"/>
    <w:rsid w:val="00417CFC"/>
    <w:rsid w:val="004A06DC"/>
    <w:rsid w:val="004B24ED"/>
    <w:rsid w:val="004B6625"/>
    <w:rsid w:val="004D2D82"/>
    <w:rsid w:val="004D3876"/>
    <w:rsid w:val="004D6424"/>
    <w:rsid w:val="004E4552"/>
    <w:rsid w:val="004E6CDF"/>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A27CE"/>
    <w:rsid w:val="007A5249"/>
    <w:rsid w:val="007C3FA6"/>
    <w:rsid w:val="007D49D9"/>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B3C3A"/>
    <w:rsid w:val="009D548A"/>
    <w:rsid w:val="009D6E0A"/>
    <w:rsid w:val="009E1E33"/>
    <w:rsid w:val="009E70C2"/>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0746"/>
    <w:rsid w:val="00C23B1A"/>
    <w:rsid w:val="00C310EB"/>
    <w:rsid w:val="00C9176A"/>
    <w:rsid w:val="00CE7303"/>
    <w:rsid w:val="00CF1AA2"/>
    <w:rsid w:val="00D142D3"/>
    <w:rsid w:val="00D17774"/>
    <w:rsid w:val="00D328C8"/>
    <w:rsid w:val="00D63620"/>
    <w:rsid w:val="00D8410D"/>
    <w:rsid w:val="00D867D7"/>
    <w:rsid w:val="00DB7060"/>
    <w:rsid w:val="00DD5FBE"/>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8F80A19E-95DE-4639-8CE9-8156B63B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8C8"/>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D328C8"/>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D328C8"/>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D328C8"/>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D328C8"/>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D328C8"/>
    <w:pPr>
      <w:spacing w:line="259" w:lineRule="auto"/>
      <w:outlineLvl w:val="4"/>
    </w:pPr>
    <w:rPr>
      <w:color w:val="000000" w:themeColor="text1"/>
    </w:rPr>
  </w:style>
  <w:style w:type="character" w:default="1" w:styleId="a0">
    <w:name w:val="Default Paragraph Font"/>
    <w:uiPriority w:val="1"/>
    <w:semiHidden/>
    <w:unhideWhenUsed/>
    <w:rsid w:val="00D328C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328C8"/>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D328C8"/>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D328C8"/>
    <w:rPr>
      <w:sz w:val="36"/>
      <w:szCs w:val="52"/>
    </w:rPr>
  </w:style>
  <w:style w:type="paragraph" w:customStyle="1" w:styleId="Cover3-Haknesset">
    <w:name w:val="Cover 3-Haknesset"/>
    <w:basedOn w:val="Cover1-Reshumot"/>
    <w:rsid w:val="00D328C8"/>
    <w:rPr>
      <w:b/>
      <w:bCs/>
      <w:spacing w:val="60"/>
    </w:rPr>
  </w:style>
  <w:style w:type="paragraph" w:customStyle="1" w:styleId="Cover4-Date">
    <w:name w:val="Cover 4-Date"/>
    <w:basedOn w:val="a"/>
    <w:rsid w:val="00D328C8"/>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D328C8"/>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D328C8"/>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D328C8"/>
    <w:pPr>
      <w:spacing w:before="120" w:after="120"/>
    </w:pPr>
    <w:rPr>
      <w:color w:val="FF0000"/>
      <w:w w:val="80"/>
    </w:rPr>
  </w:style>
  <w:style w:type="paragraph" w:styleId="a3">
    <w:name w:val="endnote text"/>
    <w:basedOn w:val="a"/>
    <w:semiHidden/>
    <w:rsid w:val="00D328C8"/>
    <w:pPr>
      <w:ind w:left="227" w:hanging="227"/>
    </w:pPr>
    <w:rPr>
      <w:sz w:val="14"/>
      <w:szCs w:val="22"/>
    </w:rPr>
  </w:style>
  <w:style w:type="paragraph" w:customStyle="1" w:styleId="TableText">
    <w:name w:val="Table Text"/>
    <w:basedOn w:val="a"/>
    <w:rsid w:val="00D328C8"/>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D328C8"/>
    <w:pPr>
      <w:outlineLvl w:val="2"/>
    </w:pPr>
  </w:style>
  <w:style w:type="paragraph" w:customStyle="1" w:styleId="TableBlock">
    <w:name w:val="Table Block"/>
    <w:basedOn w:val="TableText"/>
    <w:rsid w:val="00D328C8"/>
    <w:pPr>
      <w:jc w:val="both"/>
    </w:pPr>
  </w:style>
  <w:style w:type="paragraph" w:customStyle="1" w:styleId="TableHead">
    <w:name w:val="Table Head"/>
    <w:basedOn w:val="TableText"/>
    <w:rsid w:val="00D328C8"/>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D328C8"/>
    <w:pPr>
      <w:outlineLvl w:val="9"/>
    </w:pPr>
  </w:style>
  <w:style w:type="paragraph" w:customStyle="1" w:styleId="Hesber">
    <w:name w:val="Hesber"/>
    <w:basedOn w:val="a"/>
    <w:rsid w:val="00D328C8"/>
    <w:pPr>
      <w:snapToGrid w:val="0"/>
      <w:ind w:left="0" w:firstLine="340"/>
    </w:pPr>
    <w:rPr>
      <w:rFonts w:ascii="Arial" w:eastAsia="Arial Unicode MS" w:hAnsi="Arial"/>
      <w:snapToGrid w:val="0"/>
      <w:sz w:val="20"/>
      <w:szCs w:val="26"/>
    </w:rPr>
  </w:style>
  <w:style w:type="paragraph" w:styleId="a4">
    <w:name w:val="footnote text"/>
    <w:basedOn w:val="a"/>
    <w:link w:val="a5"/>
    <w:autoRedefine/>
    <w:semiHidden/>
    <w:rsid w:val="00D328C8"/>
    <w:pPr>
      <w:snapToGrid w:val="0"/>
      <w:spacing w:line="240" w:lineRule="auto"/>
      <w:ind w:left="0"/>
      <w:jc w:val="left"/>
    </w:pPr>
    <w:rPr>
      <w:rFonts w:ascii="Arial" w:eastAsia="Arial Unicode MS" w:hAnsi="Arial"/>
      <w:snapToGrid w:val="0"/>
      <w:sz w:val="14"/>
      <w:szCs w:val="20"/>
    </w:rPr>
  </w:style>
  <w:style w:type="character" w:styleId="a6">
    <w:name w:val="footnote reference"/>
    <w:aliases w:val="Footnote Reference"/>
    <w:basedOn w:val="a0"/>
    <w:semiHidden/>
    <w:rsid w:val="00D328C8"/>
    <w:rPr>
      <w:vertAlign w:val="superscript"/>
    </w:rPr>
  </w:style>
  <w:style w:type="paragraph" w:customStyle="1" w:styleId="HesberHeading">
    <w:name w:val="Hesber Heading"/>
    <w:basedOn w:val="Hesber"/>
    <w:rsid w:val="00D328C8"/>
    <w:pPr>
      <w:tabs>
        <w:tab w:val="left" w:pos="624"/>
        <w:tab w:val="left" w:pos="1247"/>
      </w:tabs>
    </w:pPr>
    <w:rPr>
      <w:b/>
      <w:bCs/>
    </w:rPr>
  </w:style>
  <w:style w:type="paragraph" w:customStyle="1" w:styleId="HesberWriters">
    <w:name w:val="Hesber Writers"/>
    <w:basedOn w:val="Hesber"/>
    <w:rsid w:val="00D328C8"/>
    <w:pPr>
      <w:spacing w:before="120" w:after="120"/>
      <w:ind w:left="1418"/>
      <w:jc w:val="right"/>
    </w:pPr>
    <w:rPr>
      <w:b/>
      <w:bCs/>
    </w:rPr>
  </w:style>
  <w:style w:type="paragraph" w:customStyle="1" w:styleId="Hesber1st">
    <w:name w:val="Hesber 1st"/>
    <w:basedOn w:val="Hesber"/>
    <w:rsid w:val="00D328C8"/>
    <w:pPr>
      <w:tabs>
        <w:tab w:val="left" w:pos="680"/>
        <w:tab w:val="left" w:pos="1020"/>
      </w:tabs>
      <w:ind w:firstLine="0"/>
    </w:pPr>
  </w:style>
  <w:style w:type="character" w:styleId="a7">
    <w:name w:val="endnote reference"/>
    <w:basedOn w:val="a0"/>
    <w:semiHidden/>
    <w:rsid w:val="00D328C8"/>
    <w:rPr>
      <w:vertAlign w:val="superscript"/>
    </w:rPr>
  </w:style>
  <w:style w:type="paragraph" w:customStyle="1" w:styleId="TableBlockOutdent">
    <w:name w:val="Table BlockOutdent"/>
    <w:basedOn w:val="TableBlock"/>
    <w:rsid w:val="00D328C8"/>
    <w:pPr>
      <w:ind w:left="624" w:hanging="624"/>
    </w:pPr>
  </w:style>
  <w:style w:type="paragraph" w:styleId="a8">
    <w:name w:val="header"/>
    <w:basedOn w:val="a"/>
    <w:rsid w:val="00D328C8"/>
    <w:pPr>
      <w:tabs>
        <w:tab w:val="center" w:pos="4153"/>
        <w:tab w:val="right" w:pos="8306"/>
      </w:tabs>
    </w:pPr>
  </w:style>
  <w:style w:type="paragraph" w:styleId="a9">
    <w:name w:val="footer"/>
    <w:basedOn w:val="a"/>
    <w:rsid w:val="00D328C8"/>
    <w:pPr>
      <w:tabs>
        <w:tab w:val="center" w:pos="4153"/>
        <w:tab w:val="right" w:pos="8306"/>
      </w:tabs>
    </w:pPr>
  </w:style>
  <w:style w:type="paragraph" w:customStyle="1" w:styleId="HeadDivreiHesber">
    <w:name w:val="Head DivreiHesber"/>
    <w:basedOn w:val="a"/>
    <w:rsid w:val="00D328C8"/>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D328C8"/>
    <w:pPr>
      <w:snapToGrid w:val="0"/>
      <w:jc w:val="left"/>
    </w:pPr>
    <w:rPr>
      <w:rFonts w:ascii="Arial" w:eastAsia="Arial Unicode MS" w:hAnsi="Arial"/>
      <w:snapToGrid w:val="0"/>
      <w:sz w:val="20"/>
      <w:szCs w:val="26"/>
    </w:rPr>
  </w:style>
  <w:style w:type="paragraph" w:styleId="aa">
    <w:name w:val="Title"/>
    <w:basedOn w:val="a"/>
    <w:qFormat/>
    <w:rsid w:val="00943386"/>
    <w:pPr>
      <w:jc w:val="center"/>
    </w:pPr>
    <w:rPr>
      <w:b/>
      <w:bCs/>
      <w:sz w:val="28"/>
      <w:szCs w:val="28"/>
      <w:u w:val="single"/>
    </w:rPr>
  </w:style>
  <w:style w:type="character" w:styleId="ab">
    <w:name w:val="page number"/>
    <w:basedOn w:val="a0"/>
    <w:rsid w:val="00D328C8"/>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c">
    <w:name w:val="Balloon Text"/>
    <w:basedOn w:val="a"/>
    <w:link w:val="ad"/>
    <w:semiHidden/>
    <w:unhideWhenUsed/>
    <w:rsid w:val="00325C14"/>
    <w:pPr>
      <w:spacing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343E6F"/>
    <w:rPr>
      <w:rFonts w:ascii="Arial" w:eastAsia="Arial Unicode MS" w:hAnsi="Arial" w:cs="David"/>
      <w:snapToGrid w:val="0"/>
      <w:sz w:val="14"/>
    </w:rPr>
  </w:style>
  <w:style w:type="table" w:styleId="ae">
    <w:name w:val="Table Grid"/>
    <w:basedOn w:val="a1"/>
    <w:rsid w:val="00D3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D328C8"/>
    <w:rPr>
      <w:rFonts w:asciiTheme="majorHAnsi" w:eastAsiaTheme="majorEastAsia" w:hAnsiTheme="majorHAnsi" w:cs="David"/>
      <w:bCs/>
      <w:sz w:val="32"/>
      <w:szCs w:val="36"/>
    </w:rPr>
  </w:style>
  <w:style w:type="character" w:customStyle="1" w:styleId="20">
    <w:name w:val="כותרת 2 תו"/>
    <w:basedOn w:val="a0"/>
    <w:link w:val="2"/>
    <w:rsid w:val="00D328C8"/>
    <w:rPr>
      <w:rFonts w:asciiTheme="majorHAnsi" w:eastAsiaTheme="majorEastAsia" w:hAnsiTheme="majorHAnsi" w:cs="David"/>
      <w:bCs/>
      <w:sz w:val="26"/>
      <w:szCs w:val="36"/>
      <w:u w:val="single"/>
    </w:rPr>
  </w:style>
  <w:style w:type="character" w:customStyle="1" w:styleId="30">
    <w:name w:val="כותרת 3 תו"/>
    <w:basedOn w:val="a0"/>
    <w:link w:val="3"/>
    <w:rsid w:val="00D328C8"/>
    <w:rPr>
      <w:rFonts w:asciiTheme="majorHAnsi" w:eastAsiaTheme="majorEastAsia" w:hAnsiTheme="majorHAnsi" w:cs="David"/>
      <w:sz w:val="24"/>
      <w:szCs w:val="28"/>
      <w:u w:val="double"/>
    </w:rPr>
  </w:style>
  <w:style w:type="character" w:customStyle="1" w:styleId="40">
    <w:name w:val="כותרת 4 תו"/>
    <w:basedOn w:val="a0"/>
    <w:link w:val="4"/>
    <w:uiPriority w:val="9"/>
    <w:rsid w:val="00D328C8"/>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D328C8"/>
    <w:rPr>
      <w:rFonts w:ascii="David" w:eastAsiaTheme="minorHAnsi" w:hAnsi="David" w:cs="David"/>
      <w:color w:val="000000" w:themeColor="text1"/>
      <w:sz w:val="24"/>
      <w:szCs w:val="24"/>
    </w:rPr>
  </w:style>
  <w:style w:type="paragraph" w:styleId="af">
    <w:name w:val="TOC Heading"/>
    <w:basedOn w:val="1"/>
    <w:next w:val="a"/>
    <w:uiPriority w:val="39"/>
    <w:unhideWhenUsed/>
    <w:qFormat/>
    <w:rsid w:val="00D328C8"/>
    <w:pPr>
      <w:widowControl/>
      <w:spacing w:before="120" w:after="120"/>
      <w:outlineLvl w:val="9"/>
    </w:pPr>
    <w:rPr>
      <w:rtl/>
      <w:cs/>
    </w:rPr>
  </w:style>
  <w:style w:type="paragraph" w:styleId="TOC1">
    <w:name w:val="toc 1"/>
    <w:basedOn w:val="a"/>
    <w:next w:val="a"/>
    <w:autoRedefine/>
    <w:uiPriority w:val="39"/>
    <w:unhideWhenUsed/>
    <w:rsid w:val="00D328C8"/>
    <w:pPr>
      <w:tabs>
        <w:tab w:val="right" w:leader="dot" w:pos="9629"/>
      </w:tabs>
      <w:spacing w:after="100"/>
    </w:pPr>
    <w:rPr>
      <w:bCs/>
      <w:szCs w:val="22"/>
    </w:rPr>
  </w:style>
  <w:style w:type="paragraph" w:styleId="TOC2">
    <w:name w:val="toc 2"/>
    <w:basedOn w:val="a"/>
    <w:next w:val="a"/>
    <w:uiPriority w:val="39"/>
    <w:unhideWhenUsed/>
    <w:rsid w:val="00D328C8"/>
    <w:pPr>
      <w:tabs>
        <w:tab w:val="right" w:leader="dot" w:pos="9628"/>
      </w:tabs>
      <w:spacing w:after="100"/>
    </w:pPr>
    <w:rPr>
      <w:szCs w:val="22"/>
    </w:rPr>
  </w:style>
  <w:style w:type="character" w:styleId="Hyperlink">
    <w:name w:val="Hyperlink"/>
    <w:basedOn w:val="a0"/>
    <w:uiPriority w:val="99"/>
    <w:unhideWhenUsed/>
    <w:rsid w:val="00D328C8"/>
    <w:rPr>
      <w:color w:val="0000FF" w:themeColor="hyperlink"/>
      <w:u w:val="single"/>
    </w:rPr>
  </w:style>
  <w:style w:type="paragraph" w:styleId="TOC3">
    <w:name w:val="toc 3"/>
    <w:basedOn w:val="a"/>
    <w:next w:val="a"/>
    <w:uiPriority w:val="39"/>
    <w:unhideWhenUsed/>
    <w:rsid w:val="00D328C8"/>
    <w:pPr>
      <w:tabs>
        <w:tab w:val="right" w:leader="dot" w:pos="9629"/>
      </w:tabs>
      <w:spacing w:after="100"/>
      <w:ind w:left="567"/>
    </w:pPr>
    <w:rPr>
      <w:szCs w:val="22"/>
    </w:rPr>
  </w:style>
  <w:style w:type="paragraph" w:styleId="TOC4">
    <w:name w:val="toc 4"/>
    <w:basedOn w:val="a"/>
    <w:next w:val="a"/>
    <w:autoRedefine/>
    <w:unhideWhenUsed/>
    <w:qFormat/>
    <w:rsid w:val="00D328C8"/>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D328C8"/>
    <w:pPr>
      <w:tabs>
        <w:tab w:val="right" w:leader="dot" w:pos="9628"/>
      </w:tabs>
      <w:spacing w:after="100"/>
      <w:ind w:left="567"/>
    </w:pPr>
    <w:rPr>
      <w:szCs w:val="22"/>
    </w:rPr>
  </w:style>
  <w:style w:type="paragraph" w:styleId="TOC6">
    <w:name w:val="toc 6"/>
    <w:basedOn w:val="a"/>
    <w:next w:val="a"/>
    <w:autoRedefine/>
    <w:semiHidden/>
    <w:unhideWhenUsed/>
    <w:rsid w:val="00D328C8"/>
    <w:pPr>
      <w:spacing w:after="100"/>
      <w:ind w:left="850"/>
    </w:pPr>
  </w:style>
  <w:style w:type="paragraph" w:styleId="TOC7">
    <w:name w:val="toc 7"/>
    <w:basedOn w:val="a"/>
    <w:next w:val="a"/>
    <w:autoRedefine/>
    <w:semiHidden/>
    <w:unhideWhenUsed/>
    <w:rsid w:val="00D328C8"/>
    <w:pPr>
      <w:spacing w:after="100"/>
      <w:ind w:left="1020"/>
    </w:pPr>
  </w:style>
  <w:style w:type="paragraph" w:styleId="TOC8">
    <w:name w:val="toc 8"/>
    <w:basedOn w:val="a"/>
    <w:next w:val="a"/>
    <w:autoRedefine/>
    <w:semiHidden/>
    <w:unhideWhenUsed/>
    <w:rsid w:val="00D328C8"/>
    <w:pPr>
      <w:spacing w:after="100"/>
      <w:ind w:left="1190"/>
    </w:pPr>
  </w:style>
  <w:style w:type="paragraph" w:styleId="TOC9">
    <w:name w:val="toc 9"/>
    <w:basedOn w:val="a"/>
    <w:next w:val="a"/>
    <w:autoRedefine/>
    <w:semiHidden/>
    <w:unhideWhenUsed/>
    <w:rsid w:val="00D328C8"/>
    <w:pPr>
      <w:spacing w:after="100"/>
      <w:ind w:left="1360"/>
    </w:pPr>
  </w:style>
  <w:style w:type="paragraph" w:customStyle="1" w:styleId="TableHead2">
    <w:name w:val="Table Head2"/>
    <w:basedOn w:val="TableHead"/>
    <w:qFormat/>
    <w:rsid w:val="00D328C8"/>
    <w:pPr>
      <w:outlineLvl w:val="9"/>
    </w:pPr>
  </w:style>
  <w:style w:type="paragraph" w:customStyle="1" w:styleId="TableSideHeading2">
    <w:name w:val="Table SideHeading2"/>
    <w:basedOn w:val="TableSideHeading"/>
    <w:autoRedefine/>
    <w:qFormat/>
    <w:rsid w:val="00D328C8"/>
    <w:pPr>
      <w:keepLines w:val="0"/>
      <w:outlineLvl w:val="9"/>
    </w:pPr>
  </w:style>
  <w:style w:type="paragraph" w:customStyle="1" w:styleId="0">
    <w:name w:val="סגנון שורה ראשונה:  0  ס''מ"/>
    <w:basedOn w:val="2"/>
    <w:rsid w:val="00D328C8"/>
    <w:rPr>
      <w:rFonts w:eastAsia="Times New Roman"/>
    </w:rPr>
  </w:style>
  <w:style w:type="paragraph" w:styleId="af0">
    <w:name w:val="List Paragraph"/>
    <w:basedOn w:val="a"/>
    <w:uiPriority w:val="34"/>
    <w:qFormat/>
    <w:rsid w:val="00D328C8"/>
    <w:pPr>
      <w:widowControl/>
      <w:spacing w:line="259" w:lineRule="auto"/>
    </w:pPr>
    <w:rPr>
      <w:rFonts w:asciiTheme="minorHAnsi" w:hAnsiTheme="minorHAnsi"/>
      <w:sz w:val="22"/>
    </w:rPr>
  </w:style>
  <w:style w:type="table" w:styleId="11">
    <w:name w:val="Plain Table 1"/>
    <w:basedOn w:val="a1"/>
    <w:uiPriority w:val="41"/>
    <w:rsid w:val="00D328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D328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D328C8"/>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D328C8"/>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ABE13442BF316646AF5951F2A6F4E844" ma:contentTypeVersion="" ma:contentTypeDescription="צור מסמך חדש." ma:contentTypeScope="" ma:versionID="3e09f08e861ef8c9ca8a66bc33319a22">
  <xsd:schema xmlns:xsd="http://www.w3.org/2001/XMLSchema" xmlns:xs="http://www.w3.org/2001/XMLSchema" xmlns:p="http://schemas.microsoft.com/office/2006/metadata/properties" xmlns:ns2="290d5b49-c690-4c6f-bbb9-1e50dab33eee" targetNamespace="http://schemas.microsoft.com/office/2006/metadata/properties" ma:root="true" ma:fieldsID="d7dd2f529bbe50785394ddfd47ca1ac1"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schemas.microsoft.com/office/infopath/2007/PartnerControls"/>
    <ds:schemaRef ds:uri="290d5b49-c690-4c6f-bbb9-1e50dab33ee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05D1A5A-A9AD-4078-8C95-F483AAC45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E05DFF25-2513-49B5-B72C-78491FEA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868</Words>
  <Characters>4954</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טליה דניאלה ווייס עמר</cp:lastModifiedBy>
  <cp:revision>13</cp:revision>
  <cp:lastPrinted>2021-04-21T05:57:00Z</cp:lastPrinted>
  <dcterms:created xsi:type="dcterms:W3CDTF">2015-04-20T09:58:00Z</dcterms:created>
  <dcterms:modified xsi:type="dcterms:W3CDTF">2021-05-25T07:37:00Z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0x010100ABE13442BF316646AF5951F2A6F4E844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2157851</vt:r8>
  </property>
</Properties>
</file>