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2157929</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וארבע</w:t>
      </w:r>
      <w:bookmarkEnd w:id="1"/>
    </w:p>
    <w:p w14:paraId="7F6961A3" w14:textId="77777777" w:rsidR="00E13C27" w:rsidRPr="00F67051" w:rsidRDefault="00E13C27" w:rsidP="00E13C27">
      <w:pPr>
        <w:rPr>
          <w:b/>
          <w:bCs/>
          <w:sz w:val="26"/>
          <w:szCs w:val="26"/>
          <w:rtl/>
        </w:rPr>
      </w:pPr>
    </w:p>
    <w:p w14:paraId="7F6961A6" w14:textId="77777777" w:rsidR="00E13C27" w:rsidRDefault="008F6665" w:rsidP="00930EFE">
      <w:pPr>
        <w:pStyle w:val="David"/>
        <w:ind w:left="3544"/>
        <w:rPr>
          <w:b/>
          <w:bCs/>
          <w:rtl/>
        </w:rPr>
      </w:pPr>
      <w:bookmarkStart w:id="2" w:name="LGS_Initiators_List"/>
      <w:r>
        <w:rPr>
          <w:b/>
          <w:bCs/>
          <w:rtl/>
        </w:rPr>
        <w:t>יוזמת:</w:t>
      </w:r>
      <w:r>
        <w:tab/>
      </w:r>
      <w:r>
        <w:rPr>
          <w:b/>
          <w:bCs/>
          <w:rtl/>
        </w:rPr>
        <w:t xml:space="preserve">      חברת הכנסת</w:t>
      </w:r>
      <w:bookmarkEnd w:id="2"/>
      <w:r w:rsidR="00B35784" w:rsidRPr="00F67051">
        <w:rPr>
          <w:b/>
          <w:bCs/>
        </w:rPr>
        <w:tab/>
      </w:r>
      <w:bookmarkStart w:id="3" w:name="LGS_PM_Names"/>
      <w:r>
        <w:rPr>
          <w:rFonts w:hint="cs"/>
          <w:b/>
          <w:bCs/>
          <w:rtl/>
        </w:rPr>
        <w:t>תמר זנדברג</w:t>
      </w:r>
      <w:bookmarkEnd w:id="3"/>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1988892D" w:rsidR="00E13C27" w:rsidRPr="00E06736" w:rsidRDefault="00904591" w:rsidP="00F72E39">
      <w:pPr>
        <w:pStyle w:val="David"/>
        <w:spacing w:line="240" w:lineRule="auto"/>
        <w:ind w:left="6424" w:firstLine="56"/>
        <w:rPr>
          <w:rtl/>
        </w:rPr>
      </w:pPr>
      <w:bookmarkStart w:id="4" w:name="Private_Number"/>
      <w:r>
        <w:rPr>
          <w:rFonts w:hint="cs"/>
          <w:rtl/>
        </w:rPr>
        <w:t>פ/1190/24</w:t>
      </w:r>
      <w:bookmarkEnd w:id="4"/>
    </w:p>
    <w:p w14:paraId="7F6961AC" w14:textId="77777777" w:rsidR="00E13C27" w:rsidRDefault="00E13C27" w:rsidP="00E13C27">
      <w:pPr>
        <w:ind w:left="2880" w:firstLine="720"/>
        <w:rPr>
          <w:sz w:val="26"/>
          <w:szCs w:val="26"/>
          <w:rtl/>
        </w:rPr>
      </w:pPr>
    </w:p>
    <w:p w14:paraId="7F6961AD" w14:textId="77777777" w:rsidR="00E13C27" w:rsidRPr="00F67051" w:rsidRDefault="00A443CF" w:rsidP="0021633A">
      <w:pPr>
        <w:pStyle w:val="HeadHatzaotHok"/>
        <w:rPr>
          <w:rtl/>
        </w:rPr>
      </w:pPr>
      <w:bookmarkStart w:id="5" w:name="LGS_Subject"/>
      <w:r>
        <w:rPr>
          <w:rFonts w:hint="cs"/>
          <w:rtl/>
        </w:rPr>
        <w:t>הצעת חוק תובענות ייצוגיות (תיקון – תובענה ייצוגית בשל פגיעה בפרטיות), התשפ"א–2021</w:t>
      </w:r>
      <w:bookmarkEnd w:id="5"/>
    </w:p>
    <w:p w14:paraId="7F6961AE" w14:textId="77777777" w:rsidR="00E13C27" w:rsidRDefault="00E13C27" w:rsidP="0021633A">
      <w:pPr>
        <w:pStyle w:val="HeadDivreiHesber"/>
        <w:spacing w:before="0" w:after="0"/>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4C2DFB" w14:paraId="600E7A26" w14:textId="77777777" w:rsidTr="00486183">
        <w:trPr>
          <w:cantSplit/>
        </w:trPr>
        <w:tc>
          <w:tcPr>
            <w:tcW w:w="1871" w:type="dxa"/>
            <w:hideMark/>
          </w:tcPr>
          <w:p w14:paraId="20E0B3EB" w14:textId="77777777" w:rsidR="004C2DFB" w:rsidRDefault="004C2DFB">
            <w:pPr>
              <w:pStyle w:val="TableSideHeading"/>
              <w:keepLines w:val="0"/>
            </w:pPr>
            <w:r>
              <w:rPr>
                <w:rtl/>
              </w:rPr>
              <w:t xml:space="preserve">תיקון התוספת השנייה </w:t>
            </w:r>
          </w:p>
        </w:tc>
        <w:tc>
          <w:tcPr>
            <w:tcW w:w="624" w:type="dxa"/>
            <w:hideMark/>
          </w:tcPr>
          <w:p w14:paraId="6763004E" w14:textId="77777777" w:rsidR="004C2DFB" w:rsidRDefault="004C2DFB">
            <w:pPr>
              <w:pStyle w:val="TableText"/>
              <w:keepLines w:val="0"/>
            </w:pPr>
            <w:r>
              <w:rPr>
                <w:rtl/>
              </w:rPr>
              <w:t>1.</w:t>
            </w:r>
          </w:p>
        </w:tc>
        <w:tc>
          <w:tcPr>
            <w:tcW w:w="7143" w:type="dxa"/>
            <w:hideMark/>
          </w:tcPr>
          <w:p w14:paraId="5C0FAA8B" w14:textId="77777777" w:rsidR="004C2DFB" w:rsidRDefault="004C2DFB" w:rsidP="00486183">
            <w:pPr>
              <w:pStyle w:val="TableBlock"/>
            </w:pPr>
            <w:r>
              <w:rPr>
                <w:rtl/>
              </w:rPr>
              <w:t>בחוק תובענות ייצוגיות, התשס"ו–2006</w:t>
            </w:r>
            <w:r w:rsidRPr="00486183">
              <w:rPr>
                <w:rStyle w:val="a6"/>
                <w:rFonts w:ascii="David" w:hAnsi="David"/>
                <w:sz w:val="26"/>
                <w:rtl/>
              </w:rPr>
              <w:footnoteReference w:id="2"/>
            </w:r>
            <w:r>
              <w:rPr>
                <w:rtl/>
              </w:rPr>
              <w:t>, בתוספת השנייה, אחרי פרט 14 יבוא:</w:t>
            </w:r>
          </w:p>
        </w:tc>
      </w:tr>
      <w:tr w:rsidR="004C2DFB" w14:paraId="055ED440" w14:textId="77777777" w:rsidTr="00486183">
        <w:trPr>
          <w:cantSplit/>
        </w:trPr>
        <w:tc>
          <w:tcPr>
            <w:tcW w:w="1871" w:type="dxa"/>
          </w:tcPr>
          <w:p w14:paraId="2670F3F9" w14:textId="77777777" w:rsidR="004C2DFB" w:rsidRDefault="004C2DFB">
            <w:pPr>
              <w:pStyle w:val="TableSideHeading"/>
              <w:keepLines w:val="0"/>
            </w:pPr>
          </w:p>
        </w:tc>
        <w:tc>
          <w:tcPr>
            <w:tcW w:w="624" w:type="dxa"/>
          </w:tcPr>
          <w:p w14:paraId="564C6E13" w14:textId="77777777" w:rsidR="004C2DFB" w:rsidRDefault="004C2DFB">
            <w:pPr>
              <w:pStyle w:val="TableText"/>
              <w:keepLines w:val="0"/>
              <w:rPr>
                <w:rtl/>
              </w:rPr>
            </w:pPr>
          </w:p>
        </w:tc>
        <w:tc>
          <w:tcPr>
            <w:tcW w:w="7143" w:type="dxa"/>
            <w:hideMark/>
          </w:tcPr>
          <w:p w14:paraId="4D27A7D7" w14:textId="77777777" w:rsidR="004C2DFB" w:rsidRDefault="004C2DFB" w:rsidP="00486183">
            <w:pPr>
              <w:pStyle w:val="TableBlock"/>
              <w:rPr>
                <w:rtl/>
              </w:rPr>
            </w:pPr>
            <w:r>
              <w:rPr>
                <w:rtl/>
              </w:rPr>
              <w:t>"(15)</w:t>
            </w:r>
            <w:r>
              <w:rPr>
                <w:rtl/>
              </w:rPr>
              <w:tab/>
              <w:t>תביעה בעילה של הפרת הזכות לפרטיות לפי הוראות החוק להגנת הפרטיות, התשמ"א–1981</w:t>
            </w:r>
            <w:r w:rsidRPr="00486183">
              <w:rPr>
                <w:rStyle w:val="a6"/>
                <w:rFonts w:ascii="David" w:hAnsi="David"/>
                <w:sz w:val="26"/>
                <w:rtl/>
              </w:rPr>
              <w:footnoteReference w:id="3"/>
            </w:r>
            <w:r>
              <w:rPr>
                <w:rtl/>
              </w:rPr>
              <w:t>."</w:t>
            </w:r>
          </w:p>
        </w:tc>
      </w:tr>
    </w:tbl>
    <w:p w14:paraId="2201595E" w14:textId="77777777" w:rsidR="004C2DFB" w:rsidRPr="00486183" w:rsidRDefault="004C2DFB" w:rsidP="00486183">
      <w:pPr>
        <w:pStyle w:val="HeadDivreiHesber"/>
        <w:rPr>
          <w:rtl/>
        </w:rPr>
      </w:pPr>
      <w:r w:rsidRPr="00486183">
        <w:rPr>
          <w:rtl/>
        </w:rPr>
        <w:t>דברי הסבר</w:t>
      </w:r>
    </w:p>
    <w:p w14:paraId="28CE34E1" w14:textId="77777777" w:rsidR="004C2DFB" w:rsidRPr="00486183" w:rsidRDefault="004C2DFB" w:rsidP="00486183">
      <w:pPr>
        <w:pStyle w:val="Hesber"/>
        <w:rPr>
          <w:rtl/>
        </w:rPr>
      </w:pPr>
      <w:r w:rsidRPr="00486183">
        <w:rPr>
          <w:rtl/>
        </w:rPr>
        <w:t>אחת ממטרות חוק תובענות ייצוגיות, התשס"ו–2006, היא מתן סעד הולם לנפגעים מהפרת הדין.  כך דברי נשיא בית המשפט העליון לשעבר, אהרון ברק, ברע"א 4556/94</w:t>
      </w:r>
      <w:r w:rsidRPr="00486183">
        <w:rPr>
          <w:rFonts w:hint="cs"/>
        </w:rPr>
        <w:t xml:space="preserve"> </w:t>
      </w:r>
      <w:r w:rsidRPr="00486183">
        <w:rPr>
          <w:rtl/>
        </w:rPr>
        <w:t>רמי טצת נ' אברהם זילברשץ (פורסם ביום 26 במאי 1996)</w:t>
      </w:r>
      <w:r w:rsidRPr="00486183">
        <w:rPr>
          <w:rFonts w:hint="cs"/>
        </w:rPr>
        <w:t xml:space="preserve"> </w:t>
      </w:r>
      <w:r w:rsidRPr="00486183">
        <w:rPr>
          <w:rtl/>
        </w:rPr>
        <w:t>מבהירים זאת: "ביסוד התובענה הייצוגית מונחים שני שיקולים מרכזיים: האחד, הגנה על אינטרס הפרט באמצעות מתן תרופה ליחיד שנפגע. אותו יחיד, ברוב המקרים, אינו טורח להגיש תביעה. לעיתים בא הדבר בשל כך שהנזק שנגרם לאותו יחיד הוא קטן יחסית. עם זאת, הנזק לקבוצה הוא גדול, כך שרק ריכוז תביעות יחידים לתביעה אחת, היא התובענה הייצוגית, הופך את תביעתם לכדאית. השיקול השני עניינו אינטרס הציבור. ביסוד אינטרס זה מונח הצורך לאכוף את הוראות החוק שבגדריו מצויה התובענה הייצוגית. לתובענה הייצוגית ערך מרתיע. מפרי החוק יודעים כי לניזוקים יכולת פעולה נגדם. אינטרס ציבורי זה מוגבר לאור היעילות והחיסכון במשאבים של הצדדים ושל בית-המשפט, הנלווים לתובענה הייצוגית. כן מושגת באמצעותה אחידות בהחלטות בית-המשפט בעניינים דומים ונמנע ריבוין של תביעות."</w:t>
      </w:r>
    </w:p>
    <w:p w14:paraId="09CF6B64" w14:textId="0D5C41DC" w:rsidR="004C2DFB" w:rsidRPr="00486183" w:rsidRDefault="004C2DFB" w:rsidP="00486183">
      <w:pPr>
        <w:pStyle w:val="Hesber"/>
        <w:rPr>
          <w:rtl/>
        </w:rPr>
      </w:pPr>
      <w:r w:rsidRPr="00486183">
        <w:rPr>
          <w:rtl/>
        </w:rPr>
        <w:t>לשם הסדרת נושא התביעות הייצוגיות נוספה לחוק התוספת השניה, הכוללת את רשימת העילות בשמן ניתן להגיש תביעה ייצוגית. התוספת אינה כוללת את הפרת הזכות לפרטיות, ועל כן לא ניתן להגיש תביעה ייצוגית בשל הפר</w:t>
      </w:r>
      <w:r w:rsidRPr="00486183">
        <w:rPr>
          <w:rFonts w:hint="cs"/>
          <w:rtl/>
        </w:rPr>
        <w:t>ת</w:t>
      </w:r>
      <w:r w:rsidRPr="00486183">
        <w:rPr>
          <w:rtl/>
        </w:rPr>
        <w:t xml:space="preserve">ה. כתוצאה מכך, על מנת לאכוף את החוק ולאפשר תרופה לנפגעים באמצעות תביעה ייצוגית, יש למצוא עילה אחרת הנכללת בתוספת. </w:t>
      </w:r>
    </w:p>
    <w:p w14:paraId="75579206" w14:textId="77777777" w:rsidR="004C2DFB" w:rsidRPr="00486183" w:rsidRDefault="004C2DFB" w:rsidP="00486183">
      <w:pPr>
        <w:pStyle w:val="Hesber"/>
        <w:rPr>
          <w:rtl/>
        </w:rPr>
      </w:pPr>
      <w:r w:rsidRPr="00486183">
        <w:rPr>
          <w:rtl/>
        </w:rPr>
        <w:lastRenderedPageBreak/>
        <w:t>הצעת חוק זו נועדה לתקן עוול זה ולאפשר סעד כאשר הזכות לפרטיות של קבוצה גדולה נפגעת.</w:t>
      </w:r>
    </w:p>
    <w:p w14:paraId="3B89E0F3" w14:textId="77777777" w:rsidR="004C2DFB" w:rsidRPr="00486183" w:rsidRDefault="004C2DFB" w:rsidP="00486183">
      <w:pPr>
        <w:pStyle w:val="Hesber"/>
        <w:rPr>
          <w:rtl/>
        </w:rPr>
      </w:pPr>
      <w:r w:rsidRPr="00486183">
        <w:rPr>
          <w:rtl/>
        </w:rPr>
        <w:t>תיקון החוק על ידי הכללת הפרט המוצע תהווה מימוש של מטרות החוק, משום שאינו מתמצה רק במתן סעד לנפגעים עצמם, אלא גם מגן על האינטרס הציבורי של אכיפת הוראות החוק להגנת הפרטיות ומרתיע מפני הפרת החוק.</w:t>
      </w:r>
    </w:p>
    <w:p w14:paraId="33878BFE" w14:textId="77777777" w:rsidR="004C2DFB" w:rsidRPr="00486183" w:rsidRDefault="004C2DFB" w:rsidP="00486183">
      <w:pPr>
        <w:pStyle w:val="Hesber"/>
        <w:rPr>
          <w:rtl/>
        </w:rPr>
      </w:pPr>
      <w:r w:rsidRPr="00486183">
        <w:rPr>
          <w:rtl/>
        </w:rPr>
        <w:t>ההגנה על הזכות לפרטיות חשובה במיוחד בעידן בו אנו חיים, בו למידע עצמו יש ערך סחיר. סחר במידע או מתן נגישות למידע שנצבר על אנשים בחברות מסחריות הוא חלק מדפוס הפעולה של חברות רבות בעידן האינטרנט. גם היום החוק הישראלי להגנת הפרטיות אינו מספק את ההגנה המתבקשת בעידן המודרני, וישראל מפגרת בחקיקה בוודאי נוכח ה-</w:t>
      </w:r>
      <w:r w:rsidRPr="00486183">
        <w:t>GDPR</w:t>
      </w:r>
      <w:r w:rsidRPr="00486183">
        <w:rPr>
          <w:rtl/>
        </w:rPr>
        <w:t xml:space="preserve"> האירופי. החלת חוק התובענות הייצוגיות גם על הוראות חוק הגנת הפרטיות תאפשר את חיזוק ההרתעה והאכיפה מחד גיסא ואת ההגנה המתבקשת לאזרח במקרים של פגיעה מאידך גיסא.</w:t>
      </w:r>
    </w:p>
    <w:p w14:paraId="13314427" w14:textId="260350D3" w:rsidR="004C2DFB" w:rsidRPr="00486183" w:rsidRDefault="004C2DFB" w:rsidP="00486183">
      <w:pPr>
        <w:pStyle w:val="Hesber"/>
        <w:rPr>
          <w:rtl/>
        </w:rPr>
      </w:pPr>
      <w:r w:rsidRPr="00486183">
        <w:rPr>
          <w:rFonts w:hint="cs"/>
          <w:rtl/>
        </w:rPr>
        <w:t>הצע</w:t>
      </w:r>
      <w:r w:rsidR="007719FD" w:rsidRPr="00486183">
        <w:rPr>
          <w:rFonts w:hint="cs"/>
          <w:rtl/>
        </w:rPr>
        <w:t>ות חוק זהות הונחו</w:t>
      </w:r>
      <w:r w:rsidRPr="00486183">
        <w:rPr>
          <w:rFonts w:hint="cs"/>
          <w:rtl/>
        </w:rPr>
        <w:t xml:space="preserve"> על שולחן הכנסת העשרים ושלוש על ידי </w:t>
      </w:r>
      <w:r w:rsidR="007719FD" w:rsidRPr="00486183">
        <w:rPr>
          <w:rFonts w:hint="cs"/>
          <w:rtl/>
        </w:rPr>
        <w:t xml:space="preserve">חברת הכנסת </w:t>
      </w:r>
      <w:r w:rsidR="007719FD" w:rsidRPr="00486183">
        <w:rPr>
          <w:rtl/>
        </w:rPr>
        <w:t>קארין אלהרר (פ/1339/23)</w:t>
      </w:r>
      <w:bookmarkStart w:id="6" w:name="_GoBack"/>
      <w:bookmarkEnd w:id="6"/>
      <w:r w:rsidR="007719FD" w:rsidRPr="00486183">
        <w:rPr>
          <w:rFonts w:hint="cs"/>
          <w:rtl/>
        </w:rPr>
        <w:t xml:space="preserve"> ועל ידי </w:t>
      </w:r>
      <w:r w:rsidRPr="00486183">
        <w:rPr>
          <w:rFonts w:hint="cs"/>
          <w:rtl/>
        </w:rPr>
        <w:t>חברת הכנסת תמר זנדברג (פ/1656/23).</w:t>
      </w:r>
    </w:p>
    <w:p w14:paraId="6B9001FF" w14:textId="1A6B72ED" w:rsidR="007719FD" w:rsidRPr="00486183" w:rsidRDefault="007719FD" w:rsidP="00486183">
      <w:pPr>
        <w:pStyle w:val="Hesber"/>
        <w:rPr>
          <w:rtl/>
        </w:rPr>
      </w:pPr>
      <w:r w:rsidRPr="00486183">
        <w:rPr>
          <w:rFonts w:hint="cs"/>
          <w:rtl/>
        </w:rPr>
        <w:t>הצעת החוק זהה לפ/1339/23 ולפ/1656/23 ולפיכך לא נבדקה מחדש על ידי הלשכה המשפטית של הכנסת.</w:t>
      </w:r>
    </w:p>
    <w:p w14:paraId="7F6961CB" w14:textId="24765B0F" w:rsidR="00E13C27" w:rsidRPr="00486183" w:rsidRDefault="00E13C27" w:rsidP="00486183">
      <w:pPr>
        <w:pStyle w:val="Hesber"/>
        <w:rPr>
          <w:rtl/>
        </w:rPr>
      </w:pPr>
    </w:p>
    <w:p w14:paraId="1A15E399" w14:textId="77777777" w:rsidR="00486D57" w:rsidRDefault="00F72E39">
      <w:pPr>
        <w:jc w:val="left"/>
      </w:pPr>
      <w:bookmarkStart w:id="7" w:name="selectedDocDateB"/>
      <w:bookmarkEnd w:id="7"/>
      <w:r>
        <w:rPr>
          <w:rFonts w:eastAsia="David" w:hint="cs"/>
          <w:sz w:val="26"/>
          <w:szCs w:val="26"/>
          <w:rtl/>
        </w:rPr>
        <w:t>--------------------------------</w:t>
      </w:r>
    </w:p>
    <w:p w14:paraId="54C9338E" w14:textId="77777777" w:rsidR="00486D57" w:rsidRDefault="00F72E39">
      <w:pPr>
        <w:jc w:val="left"/>
      </w:pPr>
      <w:r>
        <w:rPr>
          <w:rFonts w:eastAsia="David" w:hint="cs"/>
          <w:sz w:val="26"/>
          <w:szCs w:val="26"/>
          <w:rtl/>
        </w:rPr>
        <w:t>הוגשה ליו"ר הכנסת והסגנים</w:t>
      </w:r>
    </w:p>
    <w:p w14:paraId="45CBB9A9" w14:textId="77777777" w:rsidR="00486D57" w:rsidRDefault="00F72E39">
      <w:pPr>
        <w:jc w:val="left"/>
      </w:pPr>
      <w:r>
        <w:rPr>
          <w:rFonts w:eastAsia="David" w:hint="cs"/>
          <w:sz w:val="26"/>
          <w:szCs w:val="26"/>
          <w:rtl/>
        </w:rPr>
        <w:t>והונחה על שולחן הכנסת ביום</w:t>
      </w:r>
    </w:p>
    <w:p w14:paraId="339E5187" w14:textId="77777777" w:rsidR="00486D57" w:rsidRDefault="00F72E39">
      <w:pPr>
        <w:jc w:val="left"/>
      </w:pPr>
      <w:r>
        <w:rPr>
          <w:rFonts w:eastAsia="David" w:hint="cs"/>
          <w:sz w:val="26"/>
          <w:szCs w:val="26"/>
          <w:rtl/>
        </w:rPr>
        <w:t xml:space="preserve">י"ג בסיוון התשפ"א (24.05.2021) </w:t>
      </w:r>
    </w:p>
    <w:p w14:paraId="68AEEF0E" w14:textId="77777777" w:rsidR="00486D57" w:rsidRDefault="00486D57">
      <w:pPr>
        <w:spacing w:line="276" w:lineRule="auto"/>
        <w:jc w:val="left"/>
      </w:pPr>
    </w:p>
    <w:sectPr w:rsidR="00486D57" w:rsidSect="00486183">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4A1A1BBD"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F72E39">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486183">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72124E36" w14:textId="77777777" w:rsidR="004C2DFB" w:rsidRDefault="004C2DFB" w:rsidP="004C2DFB">
      <w:pPr>
        <w:pStyle w:val="a4"/>
        <w:rPr>
          <w:rtl/>
        </w:rPr>
      </w:pPr>
      <w:r>
        <w:rPr>
          <w:rStyle w:val="a6"/>
        </w:rPr>
        <w:footnoteRef/>
      </w:r>
      <w:r>
        <w:rPr>
          <w:rtl/>
        </w:rPr>
        <w:t xml:space="preserve"> </w:t>
      </w:r>
      <w:r>
        <w:rPr>
          <w:rFonts w:hint="cs"/>
          <w:rtl/>
        </w:rPr>
        <w:t>ס"ח התשס"ו, עמ' 264.</w:t>
      </w:r>
    </w:p>
  </w:footnote>
  <w:footnote w:id="3">
    <w:p w14:paraId="434F5DA3" w14:textId="77777777" w:rsidR="004C2DFB" w:rsidRDefault="004C2DFB" w:rsidP="004C2DFB">
      <w:pPr>
        <w:pStyle w:val="a4"/>
      </w:pPr>
      <w:r>
        <w:rPr>
          <w:rStyle w:val="a6"/>
        </w:rPr>
        <w:footnoteRef/>
      </w:r>
      <w:r>
        <w:rPr>
          <w:rtl/>
        </w:rPr>
        <w:t xml:space="preserve"> </w:t>
      </w:r>
      <w:r>
        <w:rPr>
          <w:rFonts w:hint="cs"/>
          <w:rtl/>
        </w:rPr>
        <w:t>ס"ח התשמ"א, עמ' 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86183"/>
    <w:rsid w:val="00486D57"/>
    <w:rsid w:val="004A06DC"/>
    <w:rsid w:val="004B24ED"/>
    <w:rsid w:val="004B6625"/>
    <w:rsid w:val="004C2DFB"/>
    <w:rsid w:val="004D2D82"/>
    <w:rsid w:val="004D3876"/>
    <w:rsid w:val="004E4552"/>
    <w:rsid w:val="004E6CDF"/>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719FD"/>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72E39"/>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3AF05C67-C947-4A51-BE74-928A1A2B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183"/>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486183"/>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486183"/>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486183"/>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486183"/>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486183"/>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486183"/>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486183"/>
    <w:rPr>
      <w:sz w:val="36"/>
      <w:szCs w:val="52"/>
    </w:rPr>
  </w:style>
  <w:style w:type="paragraph" w:customStyle="1" w:styleId="Cover3-Haknesset">
    <w:name w:val="Cover 3-Haknesset"/>
    <w:basedOn w:val="Cover1-Reshumot"/>
    <w:rsid w:val="00486183"/>
    <w:rPr>
      <w:b/>
      <w:bCs/>
      <w:spacing w:val="60"/>
    </w:rPr>
  </w:style>
  <w:style w:type="paragraph" w:customStyle="1" w:styleId="Cover4-Date">
    <w:name w:val="Cover 4-Date"/>
    <w:basedOn w:val="a"/>
    <w:rsid w:val="00486183"/>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486183"/>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486183"/>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486183"/>
    <w:pPr>
      <w:spacing w:before="120" w:after="120"/>
    </w:pPr>
    <w:rPr>
      <w:color w:val="FF0000"/>
      <w:w w:val="80"/>
    </w:rPr>
  </w:style>
  <w:style w:type="paragraph" w:styleId="a3">
    <w:name w:val="endnote text"/>
    <w:basedOn w:val="a"/>
    <w:semiHidden/>
    <w:rsid w:val="00486183"/>
    <w:pPr>
      <w:ind w:left="227" w:hanging="227"/>
    </w:pPr>
    <w:rPr>
      <w:sz w:val="14"/>
      <w:szCs w:val="22"/>
    </w:rPr>
  </w:style>
  <w:style w:type="paragraph" w:customStyle="1" w:styleId="TableText">
    <w:name w:val="Table Text"/>
    <w:basedOn w:val="a"/>
    <w:rsid w:val="00486183"/>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486183"/>
    <w:pPr>
      <w:outlineLvl w:val="2"/>
    </w:pPr>
  </w:style>
  <w:style w:type="paragraph" w:customStyle="1" w:styleId="TableBlock">
    <w:name w:val="Table Block"/>
    <w:basedOn w:val="TableText"/>
    <w:rsid w:val="00486183"/>
    <w:pPr>
      <w:jc w:val="both"/>
    </w:pPr>
  </w:style>
  <w:style w:type="paragraph" w:customStyle="1" w:styleId="TableHead">
    <w:name w:val="Table Head"/>
    <w:basedOn w:val="TableText"/>
    <w:rsid w:val="00486183"/>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486183"/>
    <w:pPr>
      <w:outlineLvl w:val="9"/>
    </w:pPr>
  </w:style>
  <w:style w:type="paragraph" w:customStyle="1" w:styleId="Hesber">
    <w:name w:val="Hesber"/>
    <w:basedOn w:val="a"/>
    <w:rsid w:val="00486183"/>
    <w:pPr>
      <w:snapToGrid w:val="0"/>
      <w:ind w:left="0" w:firstLine="340"/>
    </w:pPr>
    <w:rPr>
      <w:rFonts w:ascii="Arial" w:eastAsia="Arial Unicode MS" w:hAnsi="Arial"/>
      <w:snapToGrid w:val="0"/>
      <w:sz w:val="20"/>
      <w:szCs w:val="26"/>
    </w:rPr>
  </w:style>
  <w:style w:type="paragraph" w:styleId="a4">
    <w:name w:val="footnote text"/>
    <w:basedOn w:val="a"/>
    <w:link w:val="a5"/>
    <w:autoRedefine/>
    <w:semiHidden/>
    <w:rsid w:val="00486183"/>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semiHidden/>
    <w:rsid w:val="00486183"/>
    <w:rPr>
      <w:vertAlign w:val="superscript"/>
    </w:rPr>
  </w:style>
  <w:style w:type="paragraph" w:customStyle="1" w:styleId="HesberHeading">
    <w:name w:val="Hesber Heading"/>
    <w:basedOn w:val="Hesber"/>
    <w:rsid w:val="00486183"/>
    <w:pPr>
      <w:tabs>
        <w:tab w:val="left" w:pos="624"/>
        <w:tab w:val="left" w:pos="1247"/>
      </w:tabs>
    </w:pPr>
    <w:rPr>
      <w:b/>
      <w:bCs/>
    </w:rPr>
  </w:style>
  <w:style w:type="paragraph" w:customStyle="1" w:styleId="HesberWriters">
    <w:name w:val="Hesber Writers"/>
    <w:basedOn w:val="Hesber"/>
    <w:rsid w:val="00486183"/>
    <w:pPr>
      <w:spacing w:before="120" w:after="120"/>
      <w:ind w:left="1418"/>
      <w:jc w:val="right"/>
    </w:pPr>
    <w:rPr>
      <w:b/>
      <w:bCs/>
    </w:rPr>
  </w:style>
  <w:style w:type="paragraph" w:customStyle="1" w:styleId="Hesber1st">
    <w:name w:val="Hesber 1st"/>
    <w:basedOn w:val="Hesber"/>
    <w:rsid w:val="00486183"/>
    <w:pPr>
      <w:tabs>
        <w:tab w:val="left" w:pos="680"/>
        <w:tab w:val="left" w:pos="1020"/>
      </w:tabs>
      <w:ind w:firstLine="0"/>
    </w:pPr>
  </w:style>
  <w:style w:type="character" w:styleId="a7">
    <w:name w:val="endnote reference"/>
    <w:basedOn w:val="a0"/>
    <w:semiHidden/>
    <w:rsid w:val="00486183"/>
    <w:rPr>
      <w:vertAlign w:val="superscript"/>
    </w:rPr>
  </w:style>
  <w:style w:type="paragraph" w:customStyle="1" w:styleId="TableBlockOutdent">
    <w:name w:val="Table BlockOutdent"/>
    <w:basedOn w:val="TableBlock"/>
    <w:rsid w:val="00486183"/>
    <w:pPr>
      <w:ind w:left="624" w:hanging="624"/>
    </w:pPr>
  </w:style>
  <w:style w:type="paragraph" w:styleId="a8">
    <w:name w:val="header"/>
    <w:basedOn w:val="a"/>
    <w:rsid w:val="00486183"/>
    <w:pPr>
      <w:tabs>
        <w:tab w:val="center" w:pos="4153"/>
        <w:tab w:val="right" w:pos="8306"/>
      </w:tabs>
    </w:pPr>
  </w:style>
  <w:style w:type="paragraph" w:styleId="a9">
    <w:name w:val="footer"/>
    <w:basedOn w:val="a"/>
    <w:rsid w:val="00486183"/>
    <w:pPr>
      <w:tabs>
        <w:tab w:val="center" w:pos="4153"/>
        <w:tab w:val="right" w:pos="8306"/>
      </w:tabs>
    </w:pPr>
  </w:style>
  <w:style w:type="paragraph" w:customStyle="1" w:styleId="HeadDivreiHesber">
    <w:name w:val="Head DivreiHesber"/>
    <w:basedOn w:val="a"/>
    <w:rsid w:val="00486183"/>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486183"/>
    <w:pPr>
      <w:snapToGrid w:val="0"/>
      <w:jc w:val="left"/>
    </w:pPr>
    <w:rPr>
      <w:rFonts w:ascii="Arial" w:eastAsia="Arial Unicode MS" w:hAnsi="Arial"/>
      <w:snapToGrid w:val="0"/>
      <w:sz w:val="20"/>
      <w:szCs w:val="26"/>
    </w:rPr>
  </w:style>
  <w:style w:type="paragraph" w:styleId="aa">
    <w:name w:val="Title"/>
    <w:basedOn w:val="a"/>
    <w:qFormat/>
    <w:rsid w:val="00943386"/>
    <w:pPr>
      <w:jc w:val="center"/>
    </w:pPr>
    <w:rPr>
      <w:b/>
      <w:bCs/>
      <w:sz w:val="28"/>
      <w:szCs w:val="28"/>
      <w:u w:val="single"/>
    </w:rPr>
  </w:style>
  <w:style w:type="character" w:styleId="ab">
    <w:name w:val="page number"/>
    <w:basedOn w:val="a0"/>
    <w:rsid w:val="00486183"/>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c">
    <w:name w:val="Balloon Text"/>
    <w:basedOn w:val="a"/>
    <w:link w:val="ad"/>
    <w:semiHidden/>
    <w:unhideWhenUsed/>
    <w:rsid w:val="00325C14"/>
    <w:pPr>
      <w:spacing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4C2DFB"/>
    <w:rPr>
      <w:rFonts w:ascii="Arial" w:eastAsia="Arial Unicode MS" w:hAnsi="Arial" w:cs="David"/>
      <w:snapToGrid w:val="0"/>
      <w:sz w:val="14"/>
    </w:rPr>
  </w:style>
  <w:style w:type="character" w:customStyle="1" w:styleId="10">
    <w:name w:val="כותרת 1 תו"/>
    <w:basedOn w:val="a0"/>
    <w:link w:val="1"/>
    <w:uiPriority w:val="9"/>
    <w:rsid w:val="00486183"/>
    <w:rPr>
      <w:rFonts w:asciiTheme="majorHAnsi" w:eastAsiaTheme="majorEastAsia" w:hAnsiTheme="majorHAnsi" w:cs="David"/>
      <w:bCs/>
      <w:sz w:val="32"/>
      <w:szCs w:val="36"/>
    </w:rPr>
  </w:style>
  <w:style w:type="character" w:customStyle="1" w:styleId="20">
    <w:name w:val="כותרת 2 תו"/>
    <w:basedOn w:val="a0"/>
    <w:link w:val="2"/>
    <w:rsid w:val="00486183"/>
    <w:rPr>
      <w:rFonts w:asciiTheme="majorHAnsi" w:eastAsiaTheme="majorEastAsia" w:hAnsiTheme="majorHAnsi" w:cs="David"/>
      <w:bCs/>
      <w:sz w:val="26"/>
      <w:szCs w:val="36"/>
      <w:u w:val="single"/>
    </w:rPr>
  </w:style>
  <w:style w:type="character" w:customStyle="1" w:styleId="30">
    <w:name w:val="כותרת 3 תו"/>
    <w:basedOn w:val="a0"/>
    <w:link w:val="3"/>
    <w:rsid w:val="00486183"/>
    <w:rPr>
      <w:rFonts w:asciiTheme="majorHAnsi" w:eastAsiaTheme="majorEastAsia" w:hAnsiTheme="majorHAnsi" w:cs="David"/>
      <w:sz w:val="24"/>
      <w:szCs w:val="28"/>
      <w:u w:val="double"/>
    </w:rPr>
  </w:style>
  <w:style w:type="character" w:customStyle="1" w:styleId="40">
    <w:name w:val="כותרת 4 תו"/>
    <w:basedOn w:val="a0"/>
    <w:link w:val="4"/>
    <w:uiPriority w:val="9"/>
    <w:rsid w:val="00486183"/>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486183"/>
    <w:rPr>
      <w:rFonts w:ascii="David" w:eastAsiaTheme="minorHAnsi" w:hAnsi="David" w:cs="David"/>
      <w:color w:val="000000" w:themeColor="text1"/>
      <w:sz w:val="24"/>
      <w:szCs w:val="24"/>
    </w:rPr>
  </w:style>
  <w:style w:type="paragraph" w:styleId="ae">
    <w:name w:val="TOC Heading"/>
    <w:basedOn w:val="1"/>
    <w:next w:val="a"/>
    <w:uiPriority w:val="39"/>
    <w:unhideWhenUsed/>
    <w:qFormat/>
    <w:rsid w:val="00486183"/>
    <w:pPr>
      <w:widowControl/>
      <w:spacing w:before="120" w:after="120"/>
      <w:outlineLvl w:val="9"/>
    </w:pPr>
    <w:rPr>
      <w:rtl/>
      <w:cs/>
    </w:rPr>
  </w:style>
  <w:style w:type="paragraph" w:styleId="TOC1">
    <w:name w:val="toc 1"/>
    <w:basedOn w:val="a"/>
    <w:next w:val="a"/>
    <w:autoRedefine/>
    <w:uiPriority w:val="39"/>
    <w:unhideWhenUsed/>
    <w:rsid w:val="00486183"/>
    <w:pPr>
      <w:tabs>
        <w:tab w:val="right" w:leader="dot" w:pos="9629"/>
      </w:tabs>
      <w:spacing w:after="100"/>
    </w:pPr>
    <w:rPr>
      <w:bCs/>
      <w:szCs w:val="22"/>
    </w:rPr>
  </w:style>
  <w:style w:type="paragraph" w:styleId="TOC2">
    <w:name w:val="toc 2"/>
    <w:basedOn w:val="a"/>
    <w:next w:val="a"/>
    <w:uiPriority w:val="39"/>
    <w:unhideWhenUsed/>
    <w:rsid w:val="00486183"/>
    <w:pPr>
      <w:tabs>
        <w:tab w:val="right" w:leader="dot" w:pos="9628"/>
      </w:tabs>
      <w:spacing w:after="100"/>
    </w:pPr>
    <w:rPr>
      <w:szCs w:val="22"/>
    </w:rPr>
  </w:style>
  <w:style w:type="character" w:styleId="Hyperlink">
    <w:name w:val="Hyperlink"/>
    <w:basedOn w:val="a0"/>
    <w:uiPriority w:val="99"/>
    <w:unhideWhenUsed/>
    <w:rsid w:val="00486183"/>
    <w:rPr>
      <w:color w:val="0000FF" w:themeColor="hyperlink"/>
      <w:u w:val="single"/>
    </w:rPr>
  </w:style>
  <w:style w:type="paragraph" w:styleId="TOC3">
    <w:name w:val="toc 3"/>
    <w:basedOn w:val="a"/>
    <w:next w:val="a"/>
    <w:uiPriority w:val="39"/>
    <w:unhideWhenUsed/>
    <w:rsid w:val="00486183"/>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486183"/>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486183"/>
    <w:pPr>
      <w:tabs>
        <w:tab w:val="right" w:leader="dot" w:pos="9628"/>
      </w:tabs>
      <w:spacing w:after="100"/>
      <w:ind w:left="567"/>
    </w:pPr>
    <w:rPr>
      <w:szCs w:val="22"/>
    </w:rPr>
  </w:style>
  <w:style w:type="paragraph" w:styleId="TOC6">
    <w:name w:val="toc 6"/>
    <w:basedOn w:val="a"/>
    <w:next w:val="a"/>
    <w:autoRedefine/>
    <w:semiHidden/>
    <w:unhideWhenUsed/>
    <w:rsid w:val="00486183"/>
    <w:pPr>
      <w:spacing w:after="100"/>
      <w:ind w:left="850"/>
    </w:pPr>
  </w:style>
  <w:style w:type="paragraph" w:styleId="TOC7">
    <w:name w:val="toc 7"/>
    <w:basedOn w:val="a"/>
    <w:next w:val="a"/>
    <w:autoRedefine/>
    <w:semiHidden/>
    <w:unhideWhenUsed/>
    <w:rsid w:val="00486183"/>
    <w:pPr>
      <w:spacing w:after="100"/>
      <w:ind w:left="1020"/>
    </w:pPr>
  </w:style>
  <w:style w:type="paragraph" w:styleId="TOC8">
    <w:name w:val="toc 8"/>
    <w:basedOn w:val="a"/>
    <w:next w:val="a"/>
    <w:autoRedefine/>
    <w:semiHidden/>
    <w:unhideWhenUsed/>
    <w:rsid w:val="00486183"/>
    <w:pPr>
      <w:spacing w:after="100"/>
      <w:ind w:left="1190"/>
    </w:pPr>
  </w:style>
  <w:style w:type="paragraph" w:styleId="TOC9">
    <w:name w:val="toc 9"/>
    <w:basedOn w:val="a"/>
    <w:next w:val="a"/>
    <w:autoRedefine/>
    <w:semiHidden/>
    <w:unhideWhenUsed/>
    <w:rsid w:val="00486183"/>
    <w:pPr>
      <w:spacing w:after="100"/>
      <w:ind w:left="1360"/>
    </w:pPr>
  </w:style>
  <w:style w:type="paragraph" w:customStyle="1" w:styleId="TableHead2">
    <w:name w:val="Table Head2"/>
    <w:basedOn w:val="TableHead"/>
    <w:qFormat/>
    <w:rsid w:val="00486183"/>
    <w:pPr>
      <w:outlineLvl w:val="9"/>
    </w:pPr>
  </w:style>
  <w:style w:type="paragraph" w:customStyle="1" w:styleId="TableSideHeading2">
    <w:name w:val="Table SideHeading2"/>
    <w:basedOn w:val="TableSideHeading"/>
    <w:autoRedefine/>
    <w:qFormat/>
    <w:rsid w:val="00486183"/>
    <w:pPr>
      <w:keepLines w:val="0"/>
      <w:outlineLvl w:val="9"/>
    </w:pPr>
  </w:style>
  <w:style w:type="paragraph" w:customStyle="1" w:styleId="0">
    <w:name w:val="סגנון שורה ראשונה:  0  ס''מ"/>
    <w:basedOn w:val="2"/>
    <w:rsid w:val="00486183"/>
    <w:rPr>
      <w:rFonts w:eastAsia="Times New Roman"/>
    </w:rPr>
  </w:style>
  <w:style w:type="paragraph" w:styleId="af">
    <w:name w:val="List Paragraph"/>
    <w:basedOn w:val="a"/>
    <w:uiPriority w:val="34"/>
    <w:qFormat/>
    <w:rsid w:val="00486183"/>
    <w:pPr>
      <w:widowControl/>
      <w:spacing w:line="259" w:lineRule="auto"/>
    </w:pPr>
    <w:rPr>
      <w:rFonts w:asciiTheme="minorHAnsi" w:hAnsiTheme="minorHAnsi"/>
      <w:sz w:val="22"/>
    </w:rPr>
  </w:style>
  <w:style w:type="table" w:styleId="af0">
    <w:name w:val="Table Grid"/>
    <w:basedOn w:val="a1"/>
    <w:rsid w:val="0048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4861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4861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486183"/>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486183"/>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6369">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ABE13442BF316646AF5951F2A6F4E844" ma:contentTypeVersion="" ma:contentTypeDescription="צור מסמך חדש." ma:contentTypeScope="" ma:versionID="3e09f08e861ef8c9ca8a66bc33319a22">
  <xsd:schema xmlns:xsd="http://www.w3.org/2001/XMLSchema" xmlns:xs="http://www.w3.org/2001/XMLSchema" xmlns:p="http://schemas.microsoft.com/office/2006/metadata/properties" xmlns:ns2="290d5b49-c690-4c6f-bbb9-1e50dab33eee" targetNamespace="http://schemas.microsoft.com/office/2006/metadata/properties" ma:root="true" ma:fieldsID="d7dd2f529bbe50785394ddfd47ca1ac1"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A8490FD2-9BC9-4062-B717-31093337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0d5b49-c690-4c6f-bbb9-1e50dab33ee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8FADF31-E614-42F0-B8C3-B5B58F2A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408</Words>
  <Characters>2330</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טליה דניאלה ווייס עמר</cp:lastModifiedBy>
  <cp:revision>7</cp:revision>
  <cp:lastPrinted>2021-05-19T10:12:00Z</cp:lastPrinted>
  <dcterms:created xsi:type="dcterms:W3CDTF">2015-04-20T09:58:00Z</dcterms:created>
  <dcterms:modified xsi:type="dcterms:W3CDTF">2021-05-19T10:13:00Z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0x010100ABE13442BF316646AF5951F2A6F4E844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2157929</vt:r8>
  </property>
</Properties>
</file>