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2158300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 xml:space="preserve">אביר </w:t>
      </w:r>
      <w:proofErr w:type="spellStart"/>
      <w:r>
        <w:rPr>
          <w:rFonts w:hint="cs"/>
          <w:b/>
          <w:bCs/>
          <w:rtl/>
        </w:rPr>
        <w:t>קארה</w:t>
      </w:r>
      <w:bookmarkEnd w:id="3"/>
      <w:proofErr w:type="spellEnd"/>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5421BB7F" w:rsidR="00E13C27" w:rsidRPr="00E06736" w:rsidRDefault="00904591" w:rsidP="00CC74C8">
      <w:pPr>
        <w:pStyle w:val="David"/>
        <w:spacing w:line="240" w:lineRule="auto"/>
        <w:ind w:left="6424" w:firstLine="56"/>
        <w:rPr>
          <w:rtl/>
        </w:rPr>
      </w:pPr>
      <w:bookmarkStart w:id="4" w:name="Private_Number"/>
      <w:r>
        <w:rPr>
          <w:rFonts w:hint="cs"/>
          <w:rtl/>
        </w:rPr>
        <w:t>פ/1134/24</w:t>
      </w:r>
      <w:bookmarkEnd w:id="4"/>
    </w:p>
    <w:p w14:paraId="7F6961AC" w14:textId="77777777" w:rsidR="00E13C27" w:rsidRDefault="00E13C27" w:rsidP="00E13C27">
      <w:pPr>
        <w:ind w:left="2880" w:firstLine="720"/>
        <w:rPr>
          <w:sz w:val="26"/>
          <w:szCs w:val="26"/>
          <w:rtl/>
        </w:rPr>
      </w:pPr>
    </w:p>
    <w:p w14:paraId="0AB0EA77" w14:textId="1463F21A" w:rsidR="00456676" w:rsidRDefault="00A443CF" w:rsidP="00053DAA">
      <w:pPr>
        <w:pStyle w:val="HeadHatzaotHok"/>
        <w:rPr>
          <w:rtl/>
        </w:rPr>
      </w:pPr>
      <w:bookmarkStart w:id="5" w:name="LGS_Subject"/>
      <w:r>
        <w:rPr>
          <w:rFonts w:hint="cs"/>
          <w:rtl/>
        </w:rPr>
        <w:t xml:space="preserve">הצעת חוק התפלגות סיעה (תיקוני חקיקה), </w:t>
      </w:r>
      <w:proofErr w:type="spellStart"/>
      <w:r>
        <w:rPr>
          <w:rFonts w:hint="cs"/>
          <w:rtl/>
        </w:rPr>
        <w:t>התשפ"א</w:t>
      </w:r>
      <w:proofErr w:type="spellEnd"/>
      <w:r w:rsidR="00053DAA">
        <w:rPr>
          <w:rFonts w:hint="eastAsia"/>
          <w:rtl/>
        </w:rPr>
        <w:t>–</w:t>
      </w:r>
      <w:r>
        <w:rPr>
          <w:rFonts w:hint="cs"/>
          <w:rtl/>
        </w:rPr>
        <w:t>2021</w:t>
      </w:r>
      <w:bookmarkEnd w:id="5"/>
    </w:p>
    <w:tbl>
      <w:tblPr>
        <w:bidiVisual/>
        <w:tblW w:w="9639" w:type="dxa"/>
        <w:tblLayout w:type="fixed"/>
        <w:tblCellMar>
          <w:top w:w="57" w:type="dxa"/>
          <w:left w:w="0" w:type="dxa"/>
          <w:bottom w:w="57" w:type="dxa"/>
          <w:right w:w="0" w:type="dxa"/>
        </w:tblCellMar>
        <w:tblLook w:val="01E0" w:firstRow="1" w:lastRow="1" w:firstColumn="1" w:lastColumn="1" w:noHBand="0" w:noVBand="0"/>
      </w:tblPr>
      <w:tblGrid>
        <w:gridCol w:w="1872"/>
        <w:gridCol w:w="624"/>
        <w:gridCol w:w="7143"/>
      </w:tblGrid>
      <w:tr w:rsidR="00456676" w:rsidRPr="00456676" w14:paraId="4B4A02EF" w14:textId="77777777" w:rsidTr="00CC74C8">
        <w:trPr>
          <w:cantSplit/>
        </w:trPr>
        <w:tc>
          <w:tcPr>
            <w:tcW w:w="1872" w:type="dxa"/>
            <w:hideMark/>
          </w:tcPr>
          <w:p w14:paraId="4640A39E" w14:textId="77777777" w:rsidR="00456676" w:rsidRPr="00CC74C8" w:rsidRDefault="00456676" w:rsidP="00CC74C8">
            <w:pPr>
              <w:pStyle w:val="TableSideHeading"/>
              <w:outlineLvl w:val="9"/>
              <w:rPr>
                <w:rtl/>
              </w:rPr>
            </w:pPr>
            <w:r w:rsidRPr="00CC74C8">
              <w:rPr>
                <w:rFonts w:hint="cs"/>
                <w:rtl/>
              </w:rPr>
              <w:t>תיקון חוק הכנסת</w:t>
            </w:r>
          </w:p>
        </w:tc>
        <w:tc>
          <w:tcPr>
            <w:tcW w:w="624" w:type="dxa"/>
            <w:hideMark/>
          </w:tcPr>
          <w:p w14:paraId="38D1B279" w14:textId="77777777" w:rsidR="00456676" w:rsidRPr="00CC74C8" w:rsidRDefault="00456676" w:rsidP="00CC74C8">
            <w:pPr>
              <w:pStyle w:val="TableText"/>
              <w:jc w:val="both"/>
              <w:rPr>
                <w:rtl/>
              </w:rPr>
            </w:pPr>
            <w:r w:rsidRPr="00CC74C8">
              <w:rPr>
                <w:rtl/>
              </w:rPr>
              <w:t>1.</w:t>
            </w:r>
          </w:p>
        </w:tc>
        <w:tc>
          <w:tcPr>
            <w:tcW w:w="7143" w:type="dxa"/>
            <w:hideMark/>
          </w:tcPr>
          <w:p w14:paraId="5FB8B022" w14:textId="6B6C5097" w:rsidR="00456676" w:rsidRPr="00CC74C8" w:rsidRDefault="00456676" w:rsidP="00CC74C8">
            <w:pPr>
              <w:pStyle w:val="TableBlock"/>
              <w:rPr>
                <w:rtl/>
              </w:rPr>
            </w:pPr>
            <w:r w:rsidRPr="00CC74C8">
              <w:rPr>
                <w:rFonts w:hint="cs"/>
                <w:rtl/>
              </w:rPr>
              <w:t>בחוק הכנסת</w:t>
            </w:r>
            <w:r w:rsidR="00053DAA" w:rsidRPr="00CC74C8">
              <w:rPr>
                <w:rFonts w:hint="cs"/>
                <w:rtl/>
              </w:rPr>
              <w:t>,</w:t>
            </w:r>
            <w:r w:rsidRPr="00CC74C8">
              <w:rPr>
                <w:rFonts w:hint="cs"/>
                <w:rtl/>
              </w:rPr>
              <w:t xml:space="preserve"> </w:t>
            </w:r>
            <w:proofErr w:type="spellStart"/>
            <w:r w:rsidRPr="00CC74C8">
              <w:rPr>
                <w:rFonts w:hint="cs"/>
                <w:rtl/>
              </w:rPr>
              <w:t>התשנ"ד</w:t>
            </w:r>
            <w:proofErr w:type="spellEnd"/>
            <w:r w:rsidRPr="00CC74C8">
              <w:rPr>
                <w:rFonts w:hint="eastAsia"/>
                <w:rtl/>
              </w:rPr>
              <w:t>–</w:t>
            </w:r>
            <w:r w:rsidRPr="00CC74C8">
              <w:rPr>
                <w:rFonts w:hint="cs"/>
                <w:rtl/>
              </w:rPr>
              <w:t>1994</w:t>
            </w:r>
            <w:r w:rsidRPr="00CC74C8">
              <w:rPr>
                <w:rFonts w:ascii="David" w:hAnsi="David"/>
                <w:sz w:val="26"/>
                <w:vertAlign w:val="superscript"/>
                <w:rtl/>
              </w:rPr>
              <w:footnoteReference w:id="2"/>
            </w:r>
            <w:r w:rsidRPr="00CC74C8">
              <w:rPr>
                <w:rFonts w:hint="cs"/>
                <w:rtl/>
              </w:rPr>
              <w:t>, בסעיף 59, במקום פסקה (1) יבוא:</w:t>
            </w:r>
          </w:p>
        </w:tc>
      </w:tr>
      <w:tr w:rsidR="00456676" w:rsidRPr="00456676" w14:paraId="18DD13C6" w14:textId="77777777" w:rsidTr="00CC74C8">
        <w:trPr>
          <w:cantSplit/>
        </w:trPr>
        <w:tc>
          <w:tcPr>
            <w:tcW w:w="1872" w:type="dxa"/>
          </w:tcPr>
          <w:p w14:paraId="715F6AF4" w14:textId="77777777" w:rsidR="00456676" w:rsidRPr="00CC74C8" w:rsidRDefault="00456676" w:rsidP="00CC74C8">
            <w:pPr>
              <w:pStyle w:val="TableSideHeading"/>
              <w:outlineLvl w:val="9"/>
              <w:rPr>
                <w:rtl/>
              </w:rPr>
            </w:pPr>
          </w:p>
        </w:tc>
        <w:tc>
          <w:tcPr>
            <w:tcW w:w="624" w:type="dxa"/>
          </w:tcPr>
          <w:p w14:paraId="74971490" w14:textId="77777777" w:rsidR="00456676" w:rsidRPr="00CC74C8" w:rsidRDefault="00456676" w:rsidP="00CC74C8">
            <w:pPr>
              <w:pStyle w:val="TableText"/>
              <w:jc w:val="both"/>
              <w:rPr>
                <w:rtl/>
              </w:rPr>
            </w:pPr>
          </w:p>
        </w:tc>
        <w:tc>
          <w:tcPr>
            <w:tcW w:w="7143" w:type="dxa"/>
          </w:tcPr>
          <w:p w14:paraId="62FCD750" w14:textId="4571D55D" w:rsidR="00456676" w:rsidRPr="00CC74C8" w:rsidRDefault="00456676" w:rsidP="00CC74C8">
            <w:pPr>
              <w:pStyle w:val="TableBlock"/>
              <w:rPr>
                <w:rtl/>
              </w:rPr>
            </w:pPr>
            <w:r w:rsidRPr="00CC74C8">
              <w:rPr>
                <w:rFonts w:hint="cs"/>
                <w:rtl/>
              </w:rPr>
              <w:t>"(1)</w:t>
            </w:r>
            <w:r w:rsidRPr="00CC74C8">
              <w:rPr>
                <w:rtl/>
              </w:rPr>
              <w:tab/>
            </w:r>
            <w:r w:rsidRPr="00CC74C8">
              <w:rPr>
                <w:rFonts w:hint="cs"/>
                <w:rtl/>
              </w:rPr>
              <w:t>ההתפלגות היא של קבוצה של ארבעה חברי הכנסת לפחות</w:t>
            </w:r>
            <w:r w:rsidR="00053DAA" w:rsidRPr="00CC74C8">
              <w:rPr>
                <w:rFonts w:hint="cs"/>
                <w:rtl/>
              </w:rPr>
              <w:t>;</w:t>
            </w:r>
            <w:r w:rsidRPr="00CC74C8">
              <w:rPr>
                <w:rFonts w:hint="cs"/>
                <w:rtl/>
              </w:rPr>
              <w:t>"</w:t>
            </w:r>
            <w:r w:rsidR="00053DAA" w:rsidRPr="00CC74C8">
              <w:rPr>
                <w:rFonts w:hint="cs"/>
                <w:rtl/>
              </w:rPr>
              <w:t>.</w:t>
            </w:r>
          </w:p>
        </w:tc>
      </w:tr>
      <w:tr w:rsidR="00456676" w:rsidRPr="00456676" w14:paraId="5E68DFF1" w14:textId="77777777" w:rsidTr="00CC74C8">
        <w:trPr>
          <w:cantSplit/>
        </w:trPr>
        <w:tc>
          <w:tcPr>
            <w:tcW w:w="1872" w:type="dxa"/>
            <w:hideMark/>
          </w:tcPr>
          <w:p w14:paraId="744C4222" w14:textId="77777777" w:rsidR="00456676" w:rsidRPr="00CC74C8" w:rsidRDefault="00456676" w:rsidP="00CC74C8">
            <w:pPr>
              <w:pStyle w:val="TableSideHeading"/>
              <w:outlineLvl w:val="9"/>
              <w:rPr>
                <w:rtl/>
              </w:rPr>
            </w:pPr>
            <w:r w:rsidRPr="00CC74C8">
              <w:rPr>
                <w:rFonts w:hint="cs"/>
                <w:rtl/>
              </w:rPr>
              <w:t>תיקון חוק מימון מפלגות</w:t>
            </w:r>
          </w:p>
        </w:tc>
        <w:tc>
          <w:tcPr>
            <w:tcW w:w="624" w:type="dxa"/>
            <w:hideMark/>
          </w:tcPr>
          <w:p w14:paraId="2C91FCD4" w14:textId="77777777" w:rsidR="00456676" w:rsidRPr="00CC74C8" w:rsidRDefault="00456676" w:rsidP="00CC74C8">
            <w:pPr>
              <w:pStyle w:val="TableText"/>
              <w:jc w:val="both"/>
              <w:rPr>
                <w:rtl/>
              </w:rPr>
            </w:pPr>
            <w:r w:rsidRPr="00CC74C8">
              <w:rPr>
                <w:rFonts w:hint="cs"/>
                <w:rtl/>
              </w:rPr>
              <w:t>2</w:t>
            </w:r>
            <w:r w:rsidRPr="00CC74C8">
              <w:rPr>
                <w:rtl/>
              </w:rPr>
              <w:t>.</w:t>
            </w:r>
          </w:p>
        </w:tc>
        <w:tc>
          <w:tcPr>
            <w:tcW w:w="7143" w:type="dxa"/>
            <w:hideMark/>
          </w:tcPr>
          <w:p w14:paraId="779D08D6" w14:textId="77777777" w:rsidR="00456676" w:rsidRPr="00CC74C8" w:rsidRDefault="00456676" w:rsidP="00CC74C8">
            <w:pPr>
              <w:pStyle w:val="TableBlock"/>
              <w:rPr>
                <w:rtl/>
              </w:rPr>
            </w:pPr>
            <w:bookmarkStart w:id="6" w:name="_GoBack"/>
            <w:bookmarkEnd w:id="6"/>
            <w:r w:rsidRPr="00CC74C8">
              <w:rPr>
                <w:rFonts w:hint="cs"/>
                <w:rtl/>
              </w:rPr>
              <w:t xml:space="preserve">בחוק מימון מפלגות, </w:t>
            </w:r>
            <w:proofErr w:type="spellStart"/>
            <w:r w:rsidRPr="00CC74C8">
              <w:rPr>
                <w:rFonts w:hint="cs"/>
                <w:rtl/>
              </w:rPr>
              <w:t>התשל"ג</w:t>
            </w:r>
            <w:proofErr w:type="spellEnd"/>
            <w:r w:rsidRPr="00CC74C8">
              <w:rPr>
                <w:rFonts w:hint="eastAsia"/>
                <w:rtl/>
              </w:rPr>
              <w:t>–</w:t>
            </w:r>
            <w:r w:rsidRPr="00CC74C8">
              <w:rPr>
                <w:rFonts w:hint="cs"/>
                <w:rtl/>
              </w:rPr>
              <w:t>1973</w:t>
            </w:r>
            <w:r w:rsidRPr="00CC74C8">
              <w:rPr>
                <w:rFonts w:ascii="David" w:hAnsi="David"/>
                <w:sz w:val="26"/>
                <w:vertAlign w:val="superscript"/>
                <w:rtl/>
              </w:rPr>
              <w:footnoteReference w:id="3"/>
            </w:r>
            <w:r w:rsidRPr="00CC74C8">
              <w:rPr>
                <w:rFonts w:hint="cs"/>
                <w:rtl/>
              </w:rPr>
              <w:t xml:space="preserve">, סעיף 13(ג) </w:t>
            </w:r>
            <w:r w:rsidRPr="00CC74C8">
              <w:rPr>
                <w:rtl/>
              </w:rPr>
              <w:t>–</w:t>
            </w:r>
            <w:r w:rsidRPr="00CC74C8">
              <w:rPr>
                <w:rFonts w:hint="cs"/>
                <w:rtl/>
              </w:rPr>
              <w:t xml:space="preserve"> בטל.</w:t>
            </w:r>
          </w:p>
        </w:tc>
      </w:tr>
    </w:tbl>
    <w:p w14:paraId="7F6961CA" w14:textId="77777777" w:rsidR="002D1EE3" w:rsidRDefault="002D1EE3" w:rsidP="002D1EE3">
      <w:pPr>
        <w:pStyle w:val="HeadDivreiHesber"/>
      </w:pPr>
      <w:r w:rsidRPr="0027450A">
        <w:rPr>
          <w:rFonts w:hint="cs"/>
          <w:rtl/>
        </w:rPr>
        <w:t>דברי הסבר</w:t>
      </w:r>
    </w:p>
    <w:p w14:paraId="3BB9AB69" w14:textId="77777777" w:rsidR="00A94078" w:rsidRDefault="00A94078" w:rsidP="00A94078">
      <w:pPr>
        <w:pStyle w:val="Hesber"/>
      </w:pPr>
      <w:r>
        <w:rPr>
          <w:rFonts w:hint="cs"/>
          <w:rtl/>
        </w:rPr>
        <w:t xml:space="preserve">סעיף 6א לחוק-יסוד: הכנסת קובע הגבלות על חבר הכנסת שפרש מסיעתו ולא התפטר מהכנסת. הסעיף מוסיף כי </w:t>
      </w:r>
      <w:r>
        <w:rPr>
          <w:rFonts w:ascii="FrankRuehl" w:hAnsi="FrankRuehl" w:hint="cs"/>
          <w:sz w:val="26"/>
          <w:rtl/>
        </w:rPr>
        <w:t>"הוראה זו לא תחול על התפלגות סיעה בתנאים שנקבעו בחוק".</w:t>
      </w:r>
      <w:r>
        <w:rPr>
          <w:rFonts w:hint="cs"/>
          <w:rtl/>
        </w:rPr>
        <w:t xml:space="preserve"> סעיף 59 לחוק הכנסת, </w:t>
      </w:r>
      <w:proofErr w:type="spellStart"/>
      <w:r>
        <w:rPr>
          <w:rFonts w:hint="cs"/>
          <w:rtl/>
        </w:rPr>
        <w:t>התשנ"ד</w:t>
      </w:r>
      <w:proofErr w:type="spellEnd"/>
      <w:r>
        <w:rPr>
          <w:rFonts w:hint="cs"/>
          <w:rtl/>
        </w:rPr>
        <w:t xml:space="preserve">–1994, משלים הוראה זו וקובע את התנאים להתפלגות. </w:t>
      </w:r>
    </w:p>
    <w:p w14:paraId="5CF1BD39" w14:textId="62C91AD3" w:rsidR="00A94078" w:rsidRDefault="00A94078" w:rsidP="00A94078">
      <w:pPr>
        <w:pStyle w:val="Hesber"/>
        <w:rPr>
          <w:rtl/>
        </w:rPr>
      </w:pPr>
      <w:r>
        <w:rPr>
          <w:rFonts w:hint="cs"/>
          <w:rtl/>
        </w:rPr>
        <w:t>מוצע לקבוע כי התפלגות לעניין סעיף 6א לחוק היסוד תהא מותרת עבור ארבעה חברי כנסת לפחות, בלי קשר לגודל הסיעה שממנה הם מתפלגים. בנוסף, תבוטל המגבלה על מימון הוצאות שוטפות לסיעה שהתפלגה בשנתיים הראשונות לכהונת הכנסת.</w:t>
      </w:r>
    </w:p>
    <w:p w14:paraId="7F6961CB" w14:textId="77777777" w:rsidR="00E13C27" w:rsidRDefault="00E13C27" w:rsidP="00E13C27">
      <w:pPr>
        <w:pStyle w:val="Hesber"/>
        <w:rPr>
          <w:rtl/>
        </w:rPr>
      </w:pPr>
    </w:p>
    <w:p w14:paraId="5D40404C" w14:textId="77777777" w:rsidR="00832B37" w:rsidRDefault="00CC74C8">
      <w:pPr>
        <w:jc w:val="left"/>
      </w:pPr>
      <w:bookmarkStart w:id="7" w:name="selectedDocDateB"/>
      <w:bookmarkEnd w:id="7"/>
      <w:r>
        <w:rPr>
          <w:rFonts w:eastAsia="David" w:hint="cs"/>
          <w:sz w:val="26"/>
          <w:szCs w:val="26"/>
          <w:rtl/>
        </w:rPr>
        <w:t>--------------------------------</w:t>
      </w:r>
    </w:p>
    <w:p w14:paraId="04EF8672" w14:textId="77777777" w:rsidR="00832B37" w:rsidRDefault="00CC74C8">
      <w:pPr>
        <w:jc w:val="left"/>
      </w:pPr>
      <w:r>
        <w:rPr>
          <w:rFonts w:eastAsia="David" w:hint="cs"/>
          <w:sz w:val="26"/>
          <w:szCs w:val="26"/>
          <w:rtl/>
        </w:rPr>
        <w:t>הוגשה ליו"ר הכנסת והסגנים</w:t>
      </w:r>
    </w:p>
    <w:p w14:paraId="740566ED" w14:textId="77777777" w:rsidR="00832B37" w:rsidRDefault="00CC74C8">
      <w:pPr>
        <w:jc w:val="left"/>
      </w:pPr>
      <w:r>
        <w:rPr>
          <w:rFonts w:eastAsia="David" w:hint="cs"/>
          <w:sz w:val="26"/>
          <w:szCs w:val="26"/>
          <w:rtl/>
        </w:rPr>
        <w:t xml:space="preserve">והונחה על </w:t>
      </w:r>
      <w:r>
        <w:rPr>
          <w:rFonts w:eastAsia="David" w:hint="cs"/>
          <w:sz w:val="26"/>
          <w:szCs w:val="26"/>
          <w:rtl/>
        </w:rPr>
        <w:t>שולחן הכנסת ביום</w:t>
      </w:r>
    </w:p>
    <w:p w14:paraId="0E4A960D" w14:textId="77777777" w:rsidR="00832B37" w:rsidRDefault="00CC74C8">
      <w:pPr>
        <w:jc w:val="left"/>
      </w:pPr>
      <w:r>
        <w:rPr>
          <w:rFonts w:eastAsia="David" w:hint="cs"/>
          <w:sz w:val="26"/>
          <w:szCs w:val="26"/>
          <w:rtl/>
        </w:rPr>
        <w:t xml:space="preserve">י"ג בסיוון </w:t>
      </w:r>
      <w:proofErr w:type="spellStart"/>
      <w:r>
        <w:rPr>
          <w:rFonts w:eastAsia="David" w:hint="cs"/>
          <w:sz w:val="26"/>
          <w:szCs w:val="26"/>
          <w:rtl/>
        </w:rPr>
        <w:t>התשפ"א</w:t>
      </w:r>
      <w:proofErr w:type="spellEnd"/>
      <w:r>
        <w:rPr>
          <w:rFonts w:eastAsia="David" w:hint="cs"/>
          <w:sz w:val="26"/>
          <w:szCs w:val="26"/>
          <w:rtl/>
        </w:rPr>
        <w:t xml:space="preserve"> (24.05.2021) </w:t>
      </w:r>
    </w:p>
    <w:p w14:paraId="2AFD94BF" w14:textId="77777777" w:rsidR="00832B37" w:rsidRDefault="00832B37">
      <w:pPr>
        <w:spacing w:line="276" w:lineRule="auto"/>
        <w:jc w:val="left"/>
      </w:pPr>
    </w:p>
    <w:sectPr w:rsidR="00832B37" w:rsidSect="00CC74C8">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Ruehl">
    <w:altName w:val="Narkisim"/>
    <w:charset w:val="00"/>
    <w:family w:val="swiss"/>
    <w:pitch w:val="variable"/>
    <w:sig w:usb0="00000000"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CC74C8">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8641775" w14:textId="77777777" w:rsidR="00456676" w:rsidRDefault="00456676" w:rsidP="00456676">
      <w:pPr>
        <w:pStyle w:val="a4"/>
      </w:pPr>
      <w:r>
        <w:rPr>
          <w:rStyle w:val="a5"/>
        </w:rPr>
        <w:footnoteRef/>
      </w:r>
      <w:r>
        <w:rPr>
          <w:rtl/>
        </w:rPr>
        <w:t xml:space="preserve"> ס"ח </w:t>
      </w:r>
      <w:proofErr w:type="spellStart"/>
      <w:r>
        <w:rPr>
          <w:rFonts w:hint="cs"/>
          <w:rtl/>
        </w:rPr>
        <w:t>ה</w:t>
      </w:r>
      <w:r>
        <w:rPr>
          <w:rtl/>
        </w:rPr>
        <w:t>תשנ"ד</w:t>
      </w:r>
      <w:proofErr w:type="spellEnd"/>
      <w:r>
        <w:rPr>
          <w:rFonts w:hint="cs"/>
          <w:rtl/>
        </w:rPr>
        <w:t>, עמ' 140.</w:t>
      </w:r>
    </w:p>
  </w:footnote>
  <w:footnote w:id="3">
    <w:p w14:paraId="32E4EDD3" w14:textId="77777777" w:rsidR="00456676" w:rsidRDefault="00456676" w:rsidP="00456676">
      <w:pPr>
        <w:pStyle w:val="a4"/>
      </w:pPr>
      <w:r>
        <w:rPr>
          <w:rStyle w:val="a5"/>
        </w:rPr>
        <w:footnoteRef/>
      </w:r>
      <w:r>
        <w:rPr>
          <w:rtl/>
        </w:rPr>
        <w:t xml:space="preserve"> </w:t>
      </w:r>
      <w:r>
        <w:rPr>
          <w:rFonts w:hint="cs"/>
          <w:rtl/>
        </w:rPr>
        <w:t xml:space="preserve">ס"ח </w:t>
      </w:r>
      <w:proofErr w:type="spellStart"/>
      <w:r>
        <w:rPr>
          <w:rFonts w:hint="cs"/>
          <w:rtl/>
        </w:rPr>
        <w:t>התשל"ג</w:t>
      </w:r>
      <w:proofErr w:type="spellEnd"/>
      <w:r>
        <w:rPr>
          <w:rFonts w:hint="cs"/>
          <w:rtl/>
        </w:rPr>
        <w:t>, עמ' 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53DAA"/>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56676"/>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32B37"/>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078"/>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C74C8"/>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B465EFF1-6901-433E-A6AF-7F53E5C8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4C8"/>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CC74C8"/>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CC74C8"/>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CC74C8"/>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CC74C8"/>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CC74C8"/>
    <w:pPr>
      <w:spacing w:line="259" w:lineRule="auto"/>
      <w:outlineLvl w:val="4"/>
    </w:pPr>
    <w:rPr>
      <w:color w:val="000000" w:themeColor="text1"/>
    </w:rPr>
  </w:style>
  <w:style w:type="character" w:default="1" w:styleId="a0">
    <w:name w:val="Default Paragraph Font"/>
    <w:uiPriority w:val="1"/>
    <w:semiHidden/>
    <w:unhideWhenUsed/>
    <w:rsid w:val="00CC74C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C74C8"/>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CC74C8"/>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CC74C8"/>
    <w:rPr>
      <w:sz w:val="36"/>
      <w:szCs w:val="52"/>
    </w:rPr>
  </w:style>
  <w:style w:type="paragraph" w:customStyle="1" w:styleId="Cover3-Haknesset">
    <w:name w:val="Cover 3-Haknesset"/>
    <w:basedOn w:val="Cover1-Reshumot"/>
    <w:rsid w:val="00CC74C8"/>
    <w:rPr>
      <w:b/>
      <w:bCs/>
      <w:spacing w:val="60"/>
    </w:rPr>
  </w:style>
  <w:style w:type="paragraph" w:customStyle="1" w:styleId="Cover4-Date">
    <w:name w:val="Cover 4-Date"/>
    <w:basedOn w:val="a"/>
    <w:rsid w:val="00CC74C8"/>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CC74C8"/>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CC74C8"/>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CC74C8"/>
    <w:pPr>
      <w:spacing w:before="120" w:after="120"/>
    </w:pPr>
    <w:rPr>
      <w:color w:val="FF0000"/>
      <w:w w:val="80"/>
    </w:rPr>
  </w:style>
  <w:style w:type="paragraph" w:styleId="a3">
    <w:name w:val="endnote text"/>
    <w:basedOn w:val="a"/>
    <w:semiHidden/>
    <w:rsid w:val="00CC74C8"/>
    <w:pPr>
      <w:ind w:left="227" w:hanging="227"/>
    </w:pPr>
    <w:rPr>
      <w:sz w:val="14"/>
      <w:szCs w:val="22"/>
    </w:rPr>
  </w:style>
  <w:style w:type="paragraph" w:customStyle="1" w:styleId="TableText">
    <w:name w:val="Table Text"/>
    <w:basedOn w:val="a"/>
    <w:rsid w:val="00CC74C8"/>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CC74C8"/>
    <w:pPr>
      <w:outlineLvl w:val="2"/>
    </w:pPr>
  </w:style>
  <w:style w:type="paragraph" w:customStyle="1" w:styleId="TableBlock">
    <w:name w:val="Table Block"/>
    <w:basedOn w:val="TableText"/>
    <w:rsid w:val="00CC74C8"/>
    <w:pPr>
      <w:jc w:val="both"/>
    </w:pPr>
  </w:style>
  <w:style w:type="paragraph" w:customStyle="1" w:styleId="TableHead">
    <w:name w:val="Table Head"/>
    <w:basedOn w:val="TableText"/>
    <w:rsid w:val="00CC74C8"/>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CC74C8"/>
    <w:pPr>
      <w:outlineLvl w:val="9"/>
    </w:pPr>
  </w:style>
  <w:style w:type="paragraph" w:customStyle="1" w:styleId="Hesber">
    <w:name w:val="Hesber"/>
    <w:basedOn w:val="a"/>
    <w:rsid w:val="00CC74C8"/>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CC74C8"/>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CC74C8"/>
    <w:rPr>
      <w:vertAlign w:val="superscript"/>
    </w:rPr>
  </w:style>
  <w:style w:type="paragraph" w:customStyle="1" w:styleId="HesberHeading">
    <w:name w:val="Hesber Heading"/>
    <w:basedOn w:val="Hesber"/>
    <w:rsid w:val="00CC74C8"/>
    <w:pPr>
      <w:tabs>
        <w:tab w:val="left" w:pos="624"/>
        <w:tab w:val="left" w:pos="1247"/>
      </w:tabs>
    </w:pPr>
    <w:rPr>
      <w:b/>
      <w:bCs/>
    </w:rPr>
  </w:style>
  <w:style w:type="paragraph" w:customStyle="1" w:styleId="HesberWriters">
    <w:name w:val="Hesber Writers"/>
    <w:basedOn w:val="Hesber"/>
    <w:rsid w:val="00CC74C8"/>
    <w:pPr>
      <w:spacing w:before="120" w:after="120"/>
      <w:ind w:left="1418"/>
      <w:jc w:val="right"/>
    </w:pPr>
    <w:rPr>
      <w:b/>
      <w:bCs/>
    </w:rPr>
  </w:style>
  <w:style w:type="paragraph" w:customStyle="1" w:styleId="Hesber1st">
    <w:name w:val="Hesber 1st"/>
    <w:basedOn w:val="Hesber"/>
    <w:rsid w:val="00CC74C8"/>
    <w:pPr>
      <w:tabs>
        <w:tab w:val="left" w:pos="680"/>
        <w:tab w:val="left" w:pos="1020"/>
      </w:tabs>
      <w:ind w:firstLine="0"/>
    </w:pPr>
  </w:style>
  <w:style w:type="character" w:styleId="a6">
    <w:name w:val="endnote reference"/>
    <w:basedOn w:val="a0"/>
    <w:semiHidden/>
    <w:rsid w:val="00CC74C8"/>
    <w:rPr>
      <w:vertAlign w:val="superscript"/>
    </w:rPr>
  </w:style>
  <w:style w:type="paragraph" w:customStyle="1" w:styleId="TableBlockOutdent">
    <w:name w:val="Table BlockOutdent"/>
    <w:basedOn w:val="TableBlock"/>
    <w:rsid w:val="00CC74C8"/>
    <w:pPr>
      <w:ind w:left="624" w:hanging="624"/>
    </w:pPr>
  </w:style>
  <w:style w:type="paragraph" w:styleId="a7">
    <w:name w:val="header"/>
    <w:basedOn w:val="a"/>
    <w:rsid w:val="00CC74C8"/>
    <w:pPr>
      <w:tabs>
        <w:tab w:val="center" w:pos="4153"/>
        <w:tab w:val="right" w:pos="8306"/>
      </w:tabs>
    </w:pPr>
  </w:style>
  <w:style w:type="paragraph" w:styleId="a8">
    <w:name w:val="footer"/>
    <w:basedOn w:val="a"/>
    <w:rsid w:val="00CC74C8"/>
    <w:pPr>
      <w:tabs>
        <w:tab w:val="center" w:pos="4153"/>
        <w:tab w:val="right" w:pos="8306"/>
      </w:tabs>
    </w:pPr>
  </w:style>
  <w:style w:type="paragraph" w:customStyle="1" w:styleId="HeadDivreiHesber">
    <w:name w:val="Head DivreiHesber"/>
    <w:basedOn w:val="a"/>
    <w:rsid w:val="00CC74C8"/>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CC74C8"/>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CC74C8"/>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CC74C8"/>
    <w:rPr>
      <w:rFonts w:asciiTheme="majorHAnsi" w:eastAsiaTheme="majorEastAsia" w:hAnsiTheme="majorHAnsi" w:cs="David"/>
      <w:bCs/>
      <w:sz w:val="32"/>
      <w:szCs w:val="36"/>
    </w:rPr>
  </w:style>
  <w:style w:type="character" w:customStyle="1" w:styleId="20">
    <w:name w:val="כותרת 2 תו"/>
    <w:basedOn w:val="a0"/>
    <w:link w:val="2"/>
    <w:rsid w:val="00CC74C8"/>
    <w:rPr>
      <w:rFonts w:asciiTheme="majorHAnsi" w:eastAsiaTheme="majorEastAsia" w:hAnsiTheme="majorHAnsi" w:cs="David"/>
      <w:bCs/>
      <w:sz w:val="26"/>
      <w:szCs w:val="36"/>
      <w:u w:val="single"/>
    </w:rPr>
  </w:style>
  <w:style w:type="character" w:customStyle="1" w:styleId="30">
    <w:name w:val="כותרת 3 תו"/>
    <w:basedOn w:val="a0"/>
    <w:link w:val="3"/>
    <w:rsid w:val="00CC74C8"/>
    <w:rPr>
      <w:rFonts w:asciiTheme="majorHAnsi" w:eastAsiaTheme="majorEastAsia" w:hAnsiTheme="majorHAnsi" w:cs="David"/>
      <w:sz w:val="24"/>
      <w:szCs w:val="28"/>
      <w:u w:val="double"/>
    </w:rPr>
  </w:style>
  <w:style w:type="character" w:customStyle="1" w:styleId="40">
    <w:name w:val="כותרת 4 תו"/>
    <w:basedOn w:val="a0"/>
    <w:link w:val="4"/>
    <w:uiPriority w:val="9"/>
    <w:rsid w:val="00CC74C8"/>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CC74C8"/>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CC74C8"/>
    <w:pPr>
      <w:widowControl/>
      <w:spacing w:before="120" w:after="120"/>
      <w:outlineLvl w:val="9"/>
    </w:pPr>
    <w:rPr>
      <w:rtl/>
      <w:cs/>
    </w:rPr>
  </w:style>
  <w:style w:type="paragraph" w:styleId="TOC1">
    <w:name w:val="toc 1"/>
    <w:basedOn w:val="a"/>
    <w:next w:val="a"/>
    <w:autoRedefine/>
    <w:uiPriority w:val="39"/>
    <w:unhideWhenUsed/>
    <w:rsid w:val="00CC74C8"/>
    <w:pPr>
      <w:tabs>
        <w:tab w:val="right" w:leader="dot" w:pos="9629"/>
      </w:tabs>
      <w:spacing w:after="100"/>
    </w:pPr>
    <w:rPr>
      <w:bCs/>
      <w:szCs w:val="22"/>
    </w:rPr>
  </w:style>
  <w:style w:type="paragraph" w:styleId="TOC2">
    <w:name w:val="toc 2"/>
    <w:basedOn w:val="a"/>
    <w:next w:val="a"/>
    <w:uiPriority w:val="39"/>
    <w:unhideWhenUsed/>
    <w:rsid w:val="00CC74C8"/>
    <w:pPr>
      <w:tabs>
        <w:tab w:val="right" w:leader="dot" w:pos="9628"/>
      </w:tabs>
      <w:spacing w:after="100"/>
    </w:pPr>
    <w:rPr>
      <w:szCs w:val="22"/>
    </w:rPr>
  </w:style>
  <w:style w:type="character" w:styleId="Hyperlink">
    <w:name w:val="Hyperlink"/>
    <w:basedOn w:val="a0"/>
    <w:uiPriority w:val="99"/>
    <w:unhideWhenUsed/>
    <w:rsid w:val="00CC74C8"/>
    <w:rPr>
      <w:color w:val="0000FF" w:themeColor="hyperlink"/>
      <w:u w:val="single"/>
    </w:rPr>
  </w:style>
  <w:style w:type="paragraph" w:styleId="TOC3">
    <w:name w:val="toc 3"/>
    <w:basedOn w:val="a"/>
    <w:next w:val="a"/>
    <w:uiPriority w:val="39"/>
    <w:unhideWhenUsed/>
    <w:rsid w:val="00CC74C8"/>
    <w:pPr>
      <w:tabs>
        <w:tab w:val="right" w:leader="dot" w:pos="9629"/>
      </w:tabs>
      <w:spacing w:after="100"/>
      <w:ind w:left="567"/>
    </w:pPr>
    <w:rPr>
      <w:szCs w:val="22"/>
    </w:rPr>
  </w:style>
  <w:style w:type="paragraph" w:styleId="TOC4">
    <w:name w:val="toc 4"/>
    <w:basedOn w:val="a"/>
    <w:next w:val="a"/>
    <w:autoRedefine/>
    <w:unhideWhenUsed/>
    <w:qFormat/>
    <w:rsid w:val="00CC74C8"/>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CC74C8"/>
    <w:pPr>
      <w:tabs>
        <w:tab w:val="right" w:leader="dot" w:pos="9628"/>
      </w:tabs>
      <w:spacing w:after="100"/>
      <w:ind w:left="567"/>
    </w:pPr>
    <w:rPr>
      <w:szCs w:val="22"/>
    </w:rPr>
  </w:style>
  <w:style w:type="paragraph" w:styleId="TOC6">
    <w:name w:val="toc 6"/>
    <w:basedOn w:val="a"/>
    <w:next w:val="a"/>
    <w:autoRedefine/>
    <w:semiHidden/>
    <w:unhideWhenUsed/>
    <w:rsid w:val="00CC74C8"/>
    <w:pPr>
      <w:spacing w:after="100"/>
      <w:ind w:left="850"/>
    </w:pPr>
  </w:style>
  <w:style w:type="paragraph" w:styleId="TOC7">
    <w:name w:val="toc 7"/>
    <w:basedOn w:val="a"/>
    <w:next w:val="a"/>
    <w:autoRedefine/>
    <w:semiHidden/>
    <w:unhideWhenUsed/>
    <w:rsid w:val="00CC74C8"/>
    <w:pPr>
      <w:spacing w:after="100"/>
      <w:ind w:left="1020"/>
    </w:pPr>
  </w:style>
  <w:style w:type="paragraph" w:styleId="TOC8">
    <w:name w:val="toc 8"/>
    <w:basedOn w:val="a"/>
    <w:next w:val="a"/>
    <w:autoRedefine/>
    <w:semiHidden/>
    <w:unhideWhenUsed/>
    <w:rsid w:val="00CC74C8"/>
    <w:pPr>
      <w:spacing w:after="100"/>
      <w:ind w:left="1190"/>
    </w:pPr>
  </w:style>
  <w:style w:type="paragraph" w:styleId="TOC9">
    <w:name w:val="toc 9"/>
    <w:basedOn w:val="a"/>
    <w:next w:val="a"/>
    <w:autoRedefine/>
    <w:semiHidden/>
    <w:unhideWhenUsed/>
    <w:rsid w:val="00CC74C8"/>
    <w:pPr>
      <w:spacing w:after="100"/>
      <w:ind w:left="1360"/>
    </w:pPr>
  </w:style>
  <w:style w:type="paragraph" w:customStyle="1" w:styleId="TableHead2">
    <w:name w:val="Table Head2"/>
    <w:basedOn w:val="TableHead"/>
    <w:qFormat/>
    <w:rsid w:val="00CC74C8"/>
    <w:pPr>
      <w:outlineLvl w:val="9"/>
    </w:pPr>
  </w:style>
  <w:style w:type="paragraph" w:customStyle="1" w:styleId="TableSideHeading2">
    <w:name w:val="Table SideHeading2"/>
    <w:basedOn w:val="TableSideHeading"/>
    <w:autoRedefine/>
    <w:qFormat/>
    <w:rsid w:val="00CC74C8"/>
    <w:pPr>
      <w:keepLines w:val="0"/>
      <w:outlineLvl w:val="9"/>
    </w:pPr>
  </w:style>
  <w:style w:type="paragraph" w:customStyle="1" w:styleId="0">
    <w:name w:val="סגנון שורה ראשונה:  0  ס''מ"/>
    <w:basedOn w:val="2"/>
    <w:rsid w:val="00CC74C8"/>
    <w:rPr>
      <w:rFonts w:eastAsia="Times New Roman"/>
    </w:rPr>
  </w:style>
  <w:style w:type="paragraph" w:styleId="ae">
    <w:name w:val="List Paragraph"/>
    <w:basedOn w:val="a"/>
    <w:uiPriority w:val="34"/>
    <w:qFormat/>
    <w:rsid w:val="00CC74C8"/>
    <w:pPr>
      <w:widowControl/>
      <w:spacing w:line="259" w:lineRule="auto"/>
    </w:pPr>
    <w:rPr>
      <w:rFonts w:asciiTheme="minorHAnsi" w:hAnsiTheme="minorHAnsi"/>
      <w:sz w:val="22"/>
    </w:rPr>
  </w:style>
  <w:style w:type="table" w:styleId="af">
    <w:name w:val="Table Grid"/>
    <w:basedOn w:val="a1"/>
    <w:rsid w:val="00CC7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CC74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CC74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CC74C8"/>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CC74C8"/>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88787">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1BA51074-CE3A-4518-A9DD-39DE10E39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F72A1-042E-421A-B3C5-E817D40E5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145</Words>
  <Characters>831</Characters>
  <Application>Microsoft Office Word</Application>
  <DocSecurity>0</DocSecurity>
  <Lines>6</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7</cp:revision>
  <cp:lastPrinted>2021-05-19T06:46:00Z</cp:lastPrinted>
  <dcterms:created xsi:type="dcterms:W3CDTF">2015-04-20T09:58:00Z</dcterms:created>
  <dcterms:modified xsi:type="dcterms:W3CDTF">2021-05-19T06:46:00Z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2158300</vt:r8>
  </property>
</Properties>
</file>