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2156976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יועז הנדל</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23D4A0D" w:rsidR="00E13C27" w:rsidRPr="00E06736" w:rsidRDefault="00373344" w:rsidP="00904591">
      <w:pPr>
        <w:pStyle w:val="David"/>
        <w:spacing w:line="240" w:lineRule="auto"/>
        <w:ind w:left="3544"/>
        <w:rPr>
          <w:rtl/>
        </w:rPr>
      </w:pPr>
      <w:r>
        <w:rPr>
          <w:rtl/>
        </w:rPr>
        <w:tab/>
      </w:r>
      <w:r>
        <w:rPr>
          <w:rFonts w:hint="cs"/>
          <w:rtl/>
        </w:rPr>
        <w:t xml:space="preserve">     </w:t>
      </w:r>
      <w:r w:rsidR="00904591">
        <w:t xml:space="preserve">                                            </w:t>
      </w:r>
      <w:r w:rsidR="008F1308">
        <w:t xml:space="preserve"> </w:t>
      </w:r>
      <w:bookmarkStart w:id="4" w:name="Private_Number"/>
      <w:r w:rsidR="00904591">
        <w:rPr>
          <w:rFonts w:hint="cs"/>
          <w:rtl/>
        </w:rPr>
        <w:t>פ/891/24</w:t>
      </w:r>
      <w:bookmarkEnd w:id="4"/>
    </w:p>
    <w:p w14:paraId="7F6961AD" w14:textId="77777777" w:rsidR="00E13C27" w:rsidRPr="00F67051" w:rsidRDefault="00A443CF" w:rsidP="0021633A">
      <w:pPr>
        <w:pStyle w:val="HeadHatzaotHok"/>
        <w:rPr>
          <w:rtl/>
        </w:rPr>
      </w:pPr>
      <w:bookmarkStart w:id="5" w:name="LGS_Subject"/>
      <w:r>
        <w:rPr>
          <w:rFonts w:hint="cs"/>
          <w:rtl/>
        </w:rPr>
        <w:t>הצעת חוק עיקול ותפיסה מידתיים של נכסים המוחזקים בידי צד שלישי (תיקוני חקיקה), התשפ"א–2021</w:t>
      </w:r>
      <w:bookmarkEnd w:id="5"/>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80305C" w14:paraId="133E3E3E" w14:textId="77777777" w:rsidTr="0080305C">
        <w:trPr>
          <w:cantSplit/>
          <w:trHeight w:val="60"/>
        </w:trPr>
        <w:tc>
          <w:tcPr>
            <w:tcW w:w="1871" w:type="dxa"/>
          </w:tcPr>
          <w:p w14:paraId="60036FEE" w14:textId="77777777" w:rsidR="0080305C" w:rsidRPr="0080305C" w:rsidRDefault="0080305C" w:rsidP="0080305C">
            <w:pPr>
              <w:pStyle w:val="TableSideHeading"/>
              <w:outlineLvl w:val="9"/>
            </w:pPr>
            <w:r w:rsidRPr="0080305C">
              <w:rPr>
                <w:rFonts w:hint="cs"/>
                <w:rtl/>
              </w:rPr>
              <w:t>תיקון פקודת המסים (גבייה)</w:t>
            </w:r>
          </w:p>
        </w:tc>
        <w:tc>
          <w:tcPr>
            <w:tcW w:w="624" w:type="dxa"/>
          </w:tcPr>
          <w:p w14:paraId="7EE9E47C" w14:textId="77777777" w:rsidR="0080305C" w:rsidRPr="0080305C" w:rsidRDefault="0080305C" w:rsidP="0080305C">
            <w:pPr>
              <w:pStyle w:val="TableText"/>
              <w:jc w:val="both"/>
              <w:rPr>
                <w:rtl/>
              </w:rPr>
            </w:pPr>
            <w:r w:rsidRPr="0080305C">
              <w:rPr>
                <w:rFonts w:hint="cs"/>
                <w:rtl/>
              </w:rPr>
              <w:t>1.</w:t>
            </w:r>
          </w:p>
        </w:tc>
        <w:tc>
          <w:tcPr>
            <w:tcW w:w="7146" w:type="dxa"/>
          </w:tcPr>
          <w:p w14:paraId="6DEF5FE1" w14:textId="77777777" w:rsidR="0080305C" w:rsidRPr="0080305C" w:rsidRDefault="0080305C" w:rsidP="0080305C">
            <w:pPr>
              <w:pStyle w:val="TableBlock"/>
              <w:rPr>
                <w:rtl/>
              </w:rPr>
            </w:pPr>
            <w:r w:rsidRPr="0080305C">
              <w:rPr>
                <w:rFonts w:hint="cs"/>
                <w:rtl/>
              </w:rPr>
              <w:t>בפקודת המסים (גבייה)</w:t>
            </w:r>
            <w:r w:rsidRPr="00EA6352">
              <w:rPr>
                <w:rStyle w:val="a6"/>
                <w:rFonts w:ascii="David" w:hAnsi="David"/>
                <w:sz w:val="26"/>
                <w:rtl/>
              </w:rPr>
              <w:footnoteReference w:id="2"/>
            </w:r>
            <w:r w:rsidRPr="0080305C">
              <w:rPr>
                <w:rFonts w:hint="cs"/>
                <w:rtl/>
              </w:rPr>
              <w:t>, בסעיף 7, בסופו יבוא:</w:t>
            </w:r>
          </w:p>
        </w:tc>
      </w:tr>
      <w:tr w:rsidR="0080305C" w14:paraId="4C524E10" w14:textId="77777777" w:rsidTr="0080305C">
        <w:trPr>
          <w:cantSplit/>
          <w:trHeight w:val="60"/>
        </w:trPr>
        <w:tc>
          <w:tcPr>
            <w:tcW w:w="1871" w:type="dxa"/>
          </w:tcPr>
          <w:p w14:paraId="0491153C" w14:textId="77777777" w:rsidR="0080305C" w:rsidRPr="0080305C" w:rsidRDefault="0080305C" w:rsidP="0080305C">
            <w:pPr>
              <w:pStyle w:val="TableSideHeading"/>
              <w:rPr>
                <w:rtl/>
              </w:rPr>
            </w:pPr>
          </w:p>
        </w:tc>
        <w:tc>
          <w:tcPr>
            <w:tcW w:w="624" w:type="dxa"/>
          </w:tcPr>
          <w:p w14:paraId="4CE84469" w14:textId="77777777" w:rsidR="0080305C" w:rsidRPr="0080305C" w:rsidRDefault="0080305C" w:rsidP="0080305C">
            <w:pPr>
              <w:pStyle w:val="TableText"/>
              <w:rPr>
                <w:rtl/>
              </w:rPr>
            </w:pPr>
          </w:p>
        </w:tc>
        <w:tc>
          <w:tcPr>
            <w:tcW w:w="7146" w:type="dxa"/>
          </w:tcPr>
          <w:p w14:paraId="05955108" w14:textId="32D78F6D" w:rsidR="0080305C" w:rsidRPr="0080305C" w:rsidRDefault="0080305C" w:rsidP="0080305C">
            <w:pPr>
              <w:pStyle w:val="TableBlock"/>
              <w:rPr>
                <w:rtl/>
              </w:rPr>
            </w:pPr>
            <w:r w:rsidRPr="0080305C">
              <w:rPr>
                <w:rFonts w:hint="cs"/>
                <w:rtl/>
              </w:rPr>
              <w:t>"(4)</w:t>
            </w:r>
            <w:r w:rsidRPr="0080305C">
              <w:rPr>
                <w:rFonts w:hint="cs"/>
                <w:rtl/>
              </w:rPr>
              <w:tab/>
              <w:t xml:space="preserve">ערך הנכסים שיעוקלו מכוח סעיף 7(1) לא יעלה על פי 1.5 מגובה החוב."   </w:t>
            </w:r>
          </w:p>
        </w:tc>
      </w:tr>
      <w:tr w:rsidR="0080305C" w14:paraId="1FFFC3E9" w14:textId="77777777" w:rsidTr="0080305C">
        <w:trPr>
          <w:cantSplit/>
          <w:trHeight w:val="60"/>
        </w:trPr>
        <w:tc>
          <w:tcPr>
            <w:tcW w:w="1871" w:type="dxa"/>
          </w:tcPr>
          <w:p w14:paraId="1A43D95F" w14:textId="77777777" w:rsidR="0080305C" w:rsidRPr="0080305C" w:rsidRDefault="0080305C" w:rsidP="0080305C">
            <w:pPr>
              <w:pStyle w:val="TableSideHeading"/>
              <w:outlineLvl w:val="9"/>
              <w:rPr>
                <w:rtl/>
              </w:rPr>
            </w:pPr>
            <w:r w:rsidRPr="0080305C">
              <w:rPr>
                <w:rFonts w:hint="cs"/>
                <w:rtl/>
              </w:rPr>
              <w:t>תיקון חוק המרכז לגביית קנסות, אגרות והוצאות</w:t>
            </w:r>
          </w:p>
        </w:tc>
        <w:tc>
          <w:tcPr>
            <w:tcW w:w="624" w:type="dxa"/>
          </w:tcPr>
          <w:p w14:paraId="37F6E38F" w14:textId="77777777" w:rsidR="0080305C" w:rsidRPr="0080305C" w:rsidRDefault="0080305C" w:rsidP="0080305C">
            <w:pPr>
              <w:pStyle w:val="TableText"/>
              <w:jc w:val="both"/>
              <w:rPr>
                <w:rtl/>
              </w:rPr>
            </w:pPr>
            <w:r w:rsidRPr="0080305C">
              <w:rPr>
                <w:rFonts w:hint="cs"/>
                <w:rtl/>
              </w:rPr>
              <w:t xml:space="preserve">2.   </w:t>
            </w:r>
          </w:p>
        </w:tc>
        <w:tc>
          <w:tcPr>
            <w:tcW w:w="7146" w:type="dxa"/>
          </w:tcPr>
          <w:p w14:paraId="1584BAD2" w14:textId="77777777" w:rsidR="0080305C" w:rsidRPr="0080305C" w:rsidRDefault="0080305C" w:rsidP="0080305C">
            <w:pPr>
              <w:pStyle w:val="TableBlock"/>
              <w:rPr>
                <w:rtl/>
              </w:rPr>
            </w:pPr>
            <w:r w:rsidRPr="0080305C">
              <w:rPr>
                <w:rFonts w:hint="cs"/>
                <w:rtl/>
              </w:rPr>
              <w:t>בחוק המרכז לגביית קנסות, אגרות והוצאות, התשנ"ה–1995</w:t>
            </w:r>
            <w:r w:rsidRPr="00EA6352">
              <w:rPr>
                <w:rStyle w:val="a6"/>
                <w:rFonts w:ascii="David" w:hAnsi="David"/>
                <w:sz w:val="26"/>
                <w:rtl/>
              </w:rPr>
              <w:footnoteReference w:id="3"/>
            </w:r>
            <w:r w:rsidRPr="0080305C">
              <w:rPr>
                <w:rFonts w:hint="cs"/>
                <w:rtl/>
              </w:rPr>
              <w:t xml:space="preserve">, בסעיף 3 אחרי סעיף קטן (ה) יבוא: </w:t>
            </w:r>
          </w:p>
        </w:tc>
      </w:tr>
      <w:tr w:rsidR="0080305C" w14:paraId="3F7D13F9" w14:textId="77777777" w:rsidTr="0080305C">
        <w:trPr>
          <w:cantSplit/>
          <w:trHeight w:val="60"/>
        </w:trPr>
        <w:tc>
          <w:tcPr>
            <w:tcW w:w="1871" w:type="dxa"/>
          </w:tcPr>
          <w:p w14:paraId="320B8F45" w14:textId="77777777" w:rsidR="0080305C" w:rsidRPr="00EA6352" w:rsidRDefault="0080305C" w:rsidP="00EA6352">
            <w:pPr>
              <w:pStyle w:val="TableSideHeading"/>
              <w:outlineLvl w:val="9"/>
              <w:rPr>
                <w:rtl/>
              </w:rPr>
            </w:pPr>
          </w:p>
        </w:tc>
        <w:tc>
          <w:tcPr>
            <w:tcW w:w="624" w:type="dxa"/>
          </w:tcPr>
          <w:p w14:paraId="00842ACE" w14:textId="77777777" w:rsidR="0080305C" w:rsidRPr="0080305C" w:rsidRDefault="0080305C" w:rsidP="0080305C">
            <w:pPr>
              <w:pStyle w:val="TableText"/>
              <w:keepLines w:val="0"/>
              <w:rPr>
                <w:sz w:val="8"/>
                <w:szCs w:val="14"/>
              </w:rPr>
            </w:pPr>
          </w:p>
        </w:tc>
        <w:tc>
          <w:tcPr>
            <w:tcW w:w="7146" w:type="dxa"/>
          </w:tcPr>
          <w:p w14:paraId="696AC10E" w14:textId="77777777" w:rsidR="0080305C" w:rsidRPr="0080305C" w:rsidRDefault="0080305C" w:rsidP="0080305C">
            <w:pPr>
              <w:pStyle w:val="TableBlock"/>
            </w:pPr>
            <w:r w:rsidRPr="0080305C">
              <w:rPr>
                <w:rFonts w:hint="cs"/>
                <w:rtl/>
              </w:rPr>
              <w:t>"(ה1)</w:t>
            </w:r>
            <w:r w:rsidRPr="0080305C">
              <w:rPr>
                <w:rFonts w:hint="cs"/>
                <w:rtl/>
              </w:rPr>
              <w:tab/>
              <w:t>על אף האמור בכל דין, לא יעוקלו נכסים, המוחזקים בידי צד שלישי, בשווי העולה על פי 1.5 מגובה החוב."</w:t>
            </w:r>
          </w:p>
        </w:tc>
      </w:tr>
      <w:tr w:rsidR="0080305C" w14:paraId="51800722" w14:textId="77777777" w:rsidTr="0080305C">
        <w:trPr>
          <w:cantSplit/>
          <w:trHeight w:val="60"/>
        </w:trPr>
        <w:tc>
          <w:tcPr>
            <w:tcW w:w="1871" w:type="dxa"/>
          </w:tcPr>
          <w:p w14:paraId="3C740D40" w14:textId="77777777" w:rsidR="0080305C" w:rsidRPr="0080305C" w:rsidRDefault="0080305C" w:rsidP="0080305C">
            <w:pPr>
              <w:pStyle w:val="TableSideHeading"/>
              <w:outlineLvl w:val="9"/>
              <w:rPr>
                <w:rtl/>
              </w:rPr>
            </w:pPr>
            <w:r w:rsidRPr="0080305C">
              <w:rPr>
                <w:rFonts w:hint="cs"/>
                <w:rtl/>
              </w:rPr>
              <w:t>תיקון חוק ההוצאה לפועל</w:t>
            </w:r>
          </w:p>
        </w:tc>
        <w:tc>
          <w:tcPr>
            <w:tcW w:w="624" w:type="dxa"/>
          </w:tcPr>
          <w:p w14:paraId="4B2D2944" w14:textId="77777777" w:rsidR="0080305C" w:rsidRPr="0080305C" w:rsidRDefault="0080305C" w:rsidP="0080305C">
            <w:pPr>
              <w:pStyle w:val="TableText"/>
              <w:jc w:val="both"/>
              <w:rPr>
                <w:rtl/>
              </w:rPr>
            </w:pPr>
            <w:r w:rsidRPr="0080305C">
              <w:rPr>
                <w:rFonts w:hint="cs"/>
                <w:rtl/>
              </w:rPr>
              <w:t>3.</w:t>
            </w:r>
          </w:p>
        </w:tc>
        <w:tc>
          <w:tcPr>
            <w:tcW w:w="7146" w:type="dxa"/>
          </w:tcPr>
          <w:p w14:paraId="1E94E774" w14:textId="77777777" w:rsidR="0080305C" w:rsidRPr="0080305C" w:rsidRDefault="0080305C" w:rsidP="0080305C">
            <w:pPr>
              <w:pStyle w:val="TableBlock"/>
              <w:rPr>
                <w:rtl/>
              </w:rPr>
            </w:pPr>
            <w:r w:rsidRPr="0080305C">
              <w:rPr>
                <w:rFonts w:hint="cs"/>
                <w:rtl/>
              </w:rPr>
              <w:t>בחוק ההוצאה לפועל, התשכ"ז–1967</w:t>
            </w:r>
            <w:r w:rsidRPr="00EA6352">
              <w:rPr>
                <w:rStyle w:val="a6"/>
                <w:rFonts w:ascii="David" w:hAnsi="David"/>
                <w:sz w:val="26"/>
                <w:rtl/>
              </w:rPr>
              <w:footnoteReference w:id="4"/>
            </w:r>
            <w:r w:rsidRPr="0080305C">
              <w:rPr>
                <w:rFonts w:hint="cs"/>
                <w:rtl/>
              </w:rPr>
              <w:t>, בסעיף 43, בסופו יבוא "על אף האמור בכל דין, לא יעוקלו נכסים, המוחזקים בידי צד שלישי, בשווי העולה על פי 1.5 מגובה החוב."</w:t>
            </w:r>
          </w:p>
        </w:tc>
      </w:tr>
    </w:tbl>
    <w:p w14:paraId="7F6961CA" w14:textId="77777777" w:rsidR="002D1EE3" w:rsidRDefault="002D1EE3" w:rsidP="002D1EE3">
      <w:pPr>
        <w:pStyle w:val="HeadDivreiHesber"/>
        <w:rPr>
          <w:rtl/>
        </w:rPr>
      </w:pPr>
      <w:r w:rsidRPr="0027450A">
        <w:rPr>
          <w:rFonts w:hint="cs"/>
          <w:rtl/>
        </w:rPr>
        <w:t>דברי הסבר</w:t>
      </w:r>
    </w:p>
    <w:p w14:paraId="5DE50005" w14:textId="77777777" w:rsidR="0080305C" w:rsidRPr="00EA6352" w:rsidRDefault="0080305C" w:rsidP="00EA6352">
      <w:pPr>
        <w:pStyle w:val="Hesber"/>
        <w:rPr>
          <w:rtl/>
        </w:rPr>
      </w:pPr>
      <w:r w:rsidRPr="00EA6352">
        <w:rPr>
          <w:rFonts w:hint="cs"/>
          <w:rtl/>
        </w:rPr>
        <w:t xml:space="preserve">במסגרת גביית חובות וקנסות, רשויות שונות מעקלות חשבונות בנק של אזרחים פרטיים. בהתאם למצב החוקי כיום, עיקול זה נעשה ללא כל התייחסות מידתית לגובה החוב, כך שגם כאשר מדובר בחוב העומד על מאות שקלים בודדים, יכולה הרשות הגובה לעקל חשבון בו ישנם כמה אלפי שקלים או יותר מכך. </w:t>
      </w:r>
    </w:p>
    <w:p w14:paraId="353E966F" w14:textId="77777777" w:rsidR="0080305C" w:rsidRPr="00EA6352" w:rsidRDefault="0080305C" w:rsidP="00EA6352">
      <w:pPr>
        <w:pStyle w:val="Hesber"/>
        <w:rPr>
          <w:rtl/>
        </w:rPr>
      </w:pPr>
      <w:r w:rsidRPr="00EA6352">
        <w:rPr>
          <w:rFonts w:hint="cs"/>
          <w:rtl/>
        </w:rPr>
        <w:t xml:space="preserve">עיקול חשבון הבנק של אדם מותיר אותו ללא יכולת להתנהל באופן סדור ומשבית את שגרת יומו. מדובר בפגיעה מהותית בחופש הקניין, שעליה להיעשות במשורה ובזהירות רבה, בצורה מידתית ומאוזנת. כיום הרשויות וגופי הגביה עושים שימוש לא סביר בכוחן זה, ומעקלים חשבונות וסכומי כסף גבוהים ללא כל הגבלה. </w:t>
      </w:r>
    </w:p>
    <w:p w14:paraId="3D1DF944" w14:textId="77777777" w:rsidR="0080305C" w:rsidRPr="00EA6352" w:rsidRDefault="0080305C" w:rsidP="00EA6352">
      <w:pPr>
        <w:pStyle w:val="Hesber"/>
        <w:rPr>
          <w:rtl/>
        </w:rPr>
      </w:pPr>
      <w:r w:rsidRPr="00EA6352">
        <w:rPr>
          <w:rFonts w:hint="cs"/>
          <w:rtl/>
        </w:rPr>
        <w:t xml:space="preserve">מעבר לכך, כאשר מדובר בעצמאי המקבל תשלומים מלקוחותיו - לקוח המבקש להעביר תשלום למי </w:t>
      </w:r>
      <w:r w:rsidRPr="00EA6352">
        <w:rPr>
          <w:rFonts w:hint="cs"/>
          <w:rtl/>
        </w:rPr>
        <w:lastRenderedPageBreak/>
        <w:t xml:space="preserve">שחשבונו עוקל, יקבל התראה כי החשבון אליו הוא מבקש להעביר תשלום הוא חשבון מעוקל, מה שעשוי לפגוע קשות בשמו הטוב ובמוניטין שלו. פגיעה זו לרוב אינה פרופורציונאלית לחוב עצמו, ומרבית הנפגעים במקרים אלו הם אנשים מן השורה אשר נקלעו לסיטואציה בתום לב ולא מתוך כוונת מכוון להימנע מתשלום. </w:t>
      </w:r>
    </w:p>
    <w:p w14:paraId="41F0707B" w14:textId="77777777" w:rsidR="0080305C" w:rsidRPr="00EA6352" w:rsidRDefault="0080305C" w:rsidP="00EA6352">
      <w:pPr>
        <w:pStyle w:val="Hesber"/>
        <w:rPr>
          <w:rtl/>
        </w:rPr>
      </w:pPr>
      <w:r w:rsidRPr="00EA6352">
        <w:rPr>
          <w:rFonts w:hint="cs"/>
          <w:rtl/>
        </w:rPr>
        <w:t xml:space="preserve">הצעת חוק זו מבקשת להגביל את העיקול כך שיהא באופן יחסי לגובה החוב, אך באותה העת מותירה מרווח תמרון רחב </w:t>
      </w:r>
      <w:r w:rsidRPr="00EA6352">
        <w:rPr>
          <w:rtl/>
        </w:rPr>
        <w:t>–</w:t>
      </w:r>
      <w:r w:rsidRPr="00EA6352">
        <w:rPr>
          <w:rFonts w:hint="cs"/>
          <w:rtl/>
        </w:rPr>
        <w:t xml:space="preserve"> בגובה חצי מהחוב - עבור כיסוי אגרות, עמלות גביה, ריביות וכיוצא באלו, זאת כדי לשמור על יכולת הגבייה של הרשויות השונות. </w:t>
      </w:r>
    </w:p>
    <w:p w14:paraId="44B3235F" w14:textId="06EA0C74" w:rsidR="00887344" w:rsidRDefault="0080305C" w:rsidP="00107F88">
      <w:pPr>
        <w:pStyle w:val="Hesber"/>
        <w:rPr>
          <w:rtl/>
        </w:rPr>
      </w:pPr>
      <w:r w:rsidRPr="00EA6352">
        <w:rPr>
          <w:rFonts w:hint="cs"/>
          <w:rtl/>
        </w:rPr>
        <w:t>הצע</w:t>
      </w:r>
      <w:r w:rsidR="00107F88">
        <w:rPr>
          <w:rFonts w:hint="cs"/>
          <w:rtl/>
        </w:rPr>
        <w:t>ו</w:t>
      </w:r>
      <w:r w:rsidRPr="00EA6352">
        <w:rPr>
          <w:rFonts w:hint="cs"/>
          <w:rtl/>
        </w:rPr>
        <w:t>ת חוק זה</w:t>
      </w:r>
      <w:r w:rsidR="00107F88">
        <w:rPr>
          <w:rFonts w:hint="cs"/>
          <w:rtl/>
        </w:rPr>
        <w:t>ות</w:t>
      </w:r>
      <w:r w:rsidRPr="00EA6352">
        <w:rPr>
          <w:rFonts w:hint="cs"/>
          <w:rtl/>
        </w:rPr>
        <w:t xml:space="preserve"> הונח</w:t>
      </w:r>
      <w:r w:rsidR="00107F88">
        <w:rPr>
          <w:rFonts w:hint="cs"/>
          <w:rtl/>
        </w:rPr>
        <w:t>ו</w:t>
      </w:r>
      <w:r w:rsidRPr="00EA6352">
        <w:rPr>
          <w:rFonts w:hint="cs"/>
          <w:rtl/>
        </w:rPr>
        <w:t xml:space="preserve"> על שולחן הכנסת העשרים ושתיים על ידי חבר הכנסת יועז הנדל וקבוצת חברי הכנסת (</w:t>
      </w:r>
      <w:r w:rsidRPr="00EA6352">
        <w:rPr>
          <w:rtl/>
        </w:rPr>
        <w:t>פ/1391/22</w:t>
      </w:r>
      <w:r w:rsidRPr="00EA6352">
        <w:rPr>
          <w:rFonts w:hint="cs"/>
          <w:rtl/>
        </w:rPr>
        <w:t>)</w:t>
      </w:r>
      <w:r w:rsidR="00CF2C1E" w:rsidRPr="00EA6352">
        <w:rPr>
          <w:rFonts w:hint="cs"/>
          <w:rtl/>
        </w:rPr>
        <w:t>, ועל שולחן הכנסת העשרים ושלוש על ידי חבר הכנסת יועז הנדל (</w:t>
      </w:r>
      <w:r w:rsidR="00CF2C1E" w:rsidRPr="00EA6352">
        <w:rPr>
          <w:rtl/>
        </w:rPr>
        <w:t>פ/719/23</w:t>
      </w:r>
      <w:r w:rsidR="00CF2C1E" w:rsidRPr="00EA6352">
        <w:rPr>
          <w:rFonts w:hint="cs"/>
          <w:rtl/>
        </w:rPr>
        <w:t xml:space="preserve">). </w:t>
      </w:r>
    </w:p>
    <w:p w14:paraId="66D9E7D9" w14:textId="115E5B7D" w:rsidR="000A3F23" w:rsidRDefault="00A66635" w:rsidP="00EA6352">
      <w:pPr>
        <w:pStyle w:val="Hesber"/>
        <w:rPr>
          <w:rtl/>
        </w:rPr>
      </w:pPr>
      <w:r>
        <w:rPr>
          <w:rFonts w:hint="cs"/>
          <w:rtl/>
        </w:rPr>
        <w:t>הצעת החוק זהה ל</w:t>
      </w:r>
      <w:r w:rsidR="000A3F23">
        <w:rPr>
          <w:rFonts w:hint="cs"/>
          <w:rtl/>
        </w:rPr>
        <w:t>פ/719/23 ולפיכך ל</w:t>
      </w:r>
      <w:bookmarkStart w:id="6" w:name="_GoBack"/>
      <w:bookmarkEnd w:id="6"/>
      <w:r w:rsidR="000A3F23">
        <w:rPr>
          <w:rFonts w:hint="cs"/>
          <w:rtl/>
        </w:rPr>
        <w:t xml:space="preserve">א נבדקה מחדש על ידי הלשכה המשפטית של הכנסת. </w:t>
      </w:r>
    </w:p>
    <w:p w14:paraId="7F6961CB" w14:textId="77777777" w:rsidR="00E13C27" w:rsidRDefault="00E13C27" w:rsidP="00E13C27">
      <w:pPr>
        <w:pStyle w:val="Hesber"/>
        <w:rPr>
          <w:rtl/>
        </w:rPr>
      </w:pPr>
    </w:p>
    <w:p w14:paraId="53168CBB" w14:textId="77777777" w:rsidR="008E4577" w:rsidRDefault="00A66635">
      <w:pPr>
        <w:jc w:val="left"/>
      </w:pPr>
      <w:bookmarkStart w:id="7" w:name="selectedDocDateB"/>
      <w:bookmarkEnd w:id="7"/>
      <w:r>
        <w:rPr>
          <w:rFonts w:eastAsia="David" w:hint="cs"/>
          <w:sz w:val="26"/>
          <w:szCs w:val="26"/>
          <w:rtl/>
        </w:rPr>
        <w:t>--------------------------------</w:t>
      </w:r>
    </w:p>
    <w:p w14:paraId="2321B1BC" w14:textId="77777777" w:rsidR="008E4577" w:rsidRDefault="00A66635">
      <w:pPr>
        <w:jc w:val="left"/>
      </w:pPr>
      <w:r>
        <w:rPr>
          <w:rFonts w:eastAsia="David" w:hint="cs"/>
          <w:sz w:val="26"/>
          <w:szCs w:val="26"/>
          <w:rtl/>
        </w:rPr>
        <w:t>הוגשה ליו"ר הכנסת והסגנים</w:t>
      </w:r>
    </w:p>
    <w:p w14:paraId="5EAC3DEE" w14:textId="77777777" w:rsidR="008E4577" w:rsidRDefault="00A66635">
      <w:pPr>
        <w:jc w:val="left"/>
      </w:pPr>
      <w:r>
        <w:rPr>
          <w:rFonts w:eastAsia="David" w:hint="cs"/>
          <w:sz w:val="26"/>
          <w:szCs w:val="26"/>
          <w:rtl/>
        </w:rPr>
        <w:t>והונחה על שולחן הכנסת ביום</w:t>
      </w:r>
    </w:p>
    <w:p w14:paraId="10D0BBFD" w14:textId="77777777" w:rsidR="008E4577" w:rsidRDefault="00A66635">
      <w:pPr>
        <w:jc w:val="left"/>
      </w:pPr>
      <w:r>
        <w:rPr>
          <w:rFonts w:eastAsia="David" w:hint="cs"/>
          <w:sz w:val="26"/>
          <w:szCs w:val="26"/>
          <w:rtl/>
        </w:rPr>
        <w:t xml:space="preserve">ז' בסיוון התשפ"א (18.05.2021) </w:t>
      </w:r>
    </w:p>
    <w:p w14:paraId="380280DE" w14:textId="77777777" w:rsidR="008E4577" w:rsidRDefault="008E4577">
      <w:pPr>
        <w:spacing w:line="276" w:lineRule="auto"/>
        <w:jc w:val="left"/>
      </w:pPr>
    </w:p>
    <w:sectPr w:rsidR="008E457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07F8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A635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79E93D2" w14:textId="77777777" w:rsidR="0080305C" w:rsidRDefault="0080305C" w:rsidP="0080305C">
      <w:pPr>
        <w:pStyle w:val="a4"/>
        <w:rPr>
          <w:rtl/>
        </w:rPr>
      </w:pPr>
      <w:r>
        <w:rPr>
          <w:rStyle w:val="a6"/>
        </w:rPr>
        <w:footnoteRef/>
      </w:r>
      <w:r>
        <w:rPr>
          <w:rFonts w:hint="cs"/>
          <w:rtl/>
        </w:rPr>
        <w:t xml:space="preserve"> חוקי א"י, כרך ב', עמ' (ע) 1374, (א) 1399.</w:t>
      </w:r>
    </w:p>
  </w:footnote>
  <w:footnote w:id="3">
    <w:p w14:paraId="5999AB6A" w14:textId="77777777" w:rsidR="0080305C" w:rsidRDefault="0080305C" w:rsidP="0080305C">
      <w:pPr>
        <w:pStyle w:val="a4"/>
        <w:rPr>
          <w:rtl/>
        </w:rPr>
      </w:pPr>
      <w:r>
        <w:rPr>
          <w:rStyle w:val="a6"/>
        </w:rPr>
        <w:footnoteRef/>
      </w:r>
      <w:r>
        <w:rPr>
          <w:rFonts w:hint="cs"/>
          <w:rtl/>
        </w:rPr>
        <w:t xml:space="preserve"> ס"ח התשנ"ה, עמ' 170.</w:t>
      </w:r>
    </w:p>
  </w:footnote>
  <w:footnote w:id="4">
    <w:p w14:paraId="7751F053" w14:textId="77777777" w:rsidR="0080305C" w:rsidRDefault="0080305C" w:rsidP="0080305C">
      <w:pPr>
        <w:pStyle w:val="a4"/>
        <w:rPr>
          <w:rtl/>
        </w:rPr>
      </w:pPr>
      <w:r>
        <w:rPr>
          <w:rStyle w:val="a6"/>
        </w:rPr>
        <w:footnoteRef/>
      </w:r>
      <w:r>
        <w:rPr>
          <w:rFonts w:hint="cs"/>
          <w:rtl/>
        </w:rPr>
        <w:t xml:space="preserve"> ס"ח התשכ"ז, עמ'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3F23"/>
    <w:rsid w:val="000A542E"/>
    <w:rsid w:val="00102B6B"/>
    <w:rsid w:val="001052D4"/>
    <w:rsid w:val="0010644B"/>
    <w:rsid w:val="00107F88"/>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3344"/>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7F4672"/>
    <w:rsid w:val="0080305C"/>
    <w:rsid w:val="00810BCD"/>
    <w:rsid w:val="00812C98"/>
    <w:rsid w:val="00814D92"/>
    <w:rsid w:val="0083181D"/>
    <w:rsid w:val="00843EB2"/>
    <w:rsid w:val="00865572"/>
    <w:rsid w:val="00874BBC"/>
    <w:rsid w:val="00887344"/>
    <w:rsid w:val="00892135"/>
    <w:rsid w:val="00895449"/>
    <w:rsid w:val="00897879"/>
    <w:rsid w:val="008A6870"/>
    <w:rsid w:val="008C2DDC"/>
    <w:rsid w:val="008C7516"/>
    <w:rsid w:val="008E4577"/>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66635"/>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CF2C1E"/>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6352"/>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E13C726-A9E7-4376-827E-3CADA07C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35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A635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A635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A635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A6352"/>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A635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A635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A6352"/>
    <w:rPr>
      <w:sz w:val="36"/>
      <w:szCs w:val="52"/>
    </w:rPr>
  </w:style>
  <w:style w:type="paragraph" w:customStyle="1" w:styleId="Cover3-Haknesset">
    <w:name w:val="Cover 3-Haknesset"/>
    <w:basedOn w:val="Cover1-Reshumot"/>
    <w:rsid w:val="00EA6352"/>
    <w:rPr>
      <w:b/>
      <w:bCs/>
      <w:spacing w:val="60"/>
    </w:rPr>
  </w:style>
  <w:style w:type="paragraph" w:customStyle="1" w:styleId="Cover4-Date">
    <w:name w:val="Cover 4-Date"/>
    <w:basedOn w:val="a"/>
    <w:rsid w:val="00EA635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A635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A635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A6352"/>
    <w:pPr>
      <w:spacing w:before="120" w:after="120"/>
    </w:pPr>
    <w:rPr>
      <w:color w:val="FF0000"/>
      <w:w w:val="80"/>
    </w:rPr>
  </w:style>
  <w:style w:type="paragraph" w:styleId="a3">
    <w:name w:val="endnote text"/>
    <w:basedOn w:val="a"/>
    <w:semiHidden/>
    <w:rsid w:val="00EA6352"/>
    <w:pPr>
      <w:ind w:left="227" w:hanging="227"/>
    </w:pPr>
    <w:rPr>
      <w:sz w:val="14"/>
      <w:szCs w:val="22"/>
    </w:rPr>
  </w:style>
  <w:style w:type="paragraph" w:customStyle="1" w:styleId="TableText">
    <w:name w:val="Table Text"/>
    <w:basedOn w:val="a"/>
    <w:rsid w:val="00EA635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A6352"/>
    <w:pPr>
      <w:outlineLvl w:val="2"/>
    </w:pPr>
  </w:style>
  <w:style w:type="paragraph" w:customStyle="1" w:styleId="TableBlock">
    <w:name w:val="Table Block"/>
    <w:basedOn w:val="TableText"/>
    <w:rsid w:val="00EA6352"/>
    <w:pPr>
      <w:jc w:val="both"/>
    </w:pPr>
  </w:style>
  <w:style w:type="paragraph" w:customStyle="1" w:styleId="TableHead">
    <w:name w:val="Table Head"/>
    <w:basedOn w:val="TableText"/>
    <w:rsid w:val="00EA635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A6352"/>
    <w:pPr>
      <w:outlineLvl w:val="9"/>
    </w:pPr>
  </w:style>
  <w:style w:type="paragraph" w:customStyle="1" w:styleId="Hesber">
    <w:name w:val="Hesber"/>
    <w:basedOn w:val="a"/>
    <w:rsid w:val="00EA6352"/>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EA6352"/>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EA6352"/>
    <w:rPr>
      <w:vertAlign w:val="superscript"/>
    </w:rPr>
  </w:style>
  <w:style w:type="paragraph" w:customStyle="1" w:styleId="HesberHeading">
    <w:name w:val="Hesber Heading"/>
    <w:basedOn w:val="Hesber"/>
    <w:rsid w:val="00EA6352"/>
    <w:pPr>
      <w:tabs>
        <w:tab w:val="left" w:pos="624"/>
        <w:tab w:val="left" w:pos="1247"/>
      </w:tabs>
    </w:pPr>
    <w:rPr>
      <w:b/>
      <w:bCs/>
    </w:rPr>
  </w:style>
  <w:style w:type="paragraph" w:customStyle="1" w:styleId="HesberWriters">
    <w:name w:val="Hesber Writers"/>
    <w:basedOn w:val="Hesber"/>
    <w:rsid w:val="00EA6352"/>
    <w:pPr>
      <w:spacing w:before="120" w:after="120"/>
      <w:ind w:left="1418"/>
      <w:jc w:val="right"/>
    </w:pPr>
    <w:rPr>
      <w:b/>
      <w:bCs/>
    </w:rPr>
  </w:style>
  <w:style w:type="paragraph" w:customStyle="1" w:styleId="Hesber1st">
    <w:name w:val="Hesber 1st"/>
    <w:basedOn w:val="Hesber"/>
    <w:rsid w:val="00EA6352"/>
    <w:pPr>
      <w:tabs>
        <w:tab w:val="left" w:pos="680"/>
        <w:tab w:val="left" w:pos="1020"/>
      </w:tabs>
      <w:ind w:firstLine="0"/>
    </w:pPr>
  </w:style>
  <w:style w:type="character" w:styleId="a7">
    <w:name w:val="endnote reference"/>
    <w:basedOn w:val="a0"/>
    <w:semiHidden/>
    <w:rsid w:val="00EA6352"/>
    <w:rPr>
      <w:vertAlign w:val="superscript"/>
    </w:rPr>
  </w:style>
  <w:style w:type="paragraph" w:customStyle="1" w:styleId="TableBlockOutdent">
    <w:name w:val="Table BlockOutdent"/>
    <w:basedOn w:val="TableBlock"/>
    <w:rsid w:val="00EA6352"/>
    <w:pPr>
      <w:ind w:left="624" w:hanging="624"/>
    </w:pPr>
  </w:style>
  <w:style w:type="paragraph" w:styleId="a8">
    <w:name w:val="header"/>
    <w:basedOn w:val="a"/>
    <w:rsid w:val="00EA6352"/>
    <w:pPr>
      <w:tabs>
        <w:tab w:val="center" w:pos="4153"/>
        <w:tab w:val="right" w:pos="8306"/>
      </w:tabs>
    </w:pPr>
  </w:style>
  <w:style w:type="paragraph" w:styleId="a9">
    <w:name w:val="footer"/>
    <w:basedOn w:val="a"/>
    <w:rsid w:val="00EA6352"/>
    <w:pPr>
      <w:tabs>
        <w:tab w:val="center" w:pos="4153"/>
        <w:tab w:val="right" w:pos="8306"/>
      </w:tabs>
    </w:pPr>
  </w:style>
  <w:style w:type="paragraph" w:customStyle="1" w:styleId="HeadDivreiHesber">
    <w:name w:val="Head DivreiHesber"/>
    <w:basedOn w:val="a"/>
    <w:rsid w:val="00EA635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A6352"/>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A635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87344"/>
    <w:rPr>
      <w:rFonts w:ascii="Arial" w:eastAsia="Arial Unicode MS" w:hAnsi="Arial" w:cs="David"/>
      <w:snapToGrid w:val="0"/>
      <w:sz w:val="14"/>
    </w:rPr>
  </w:style>
  <w:style w:type="character" w:customStyle="1" w:styleId="10">
    <w:name w:val="כותרת 1 תו"/>
    <w:basedOn w:val="a0"/>
    <w:link w:val="1"/>
    <w:uiPriority w:val="9"/>
    <w:rsid w:val="00EA6352"/>
    <w:rPr>
      <w:rFonts w:asciiTheme="majorHAnsi" w:eastAsiaTheme="majorEastAsia" w:hAnsiTheme="majorHAnsi" w:cs="David"/>
      <w:bCs/>
      <w:sz w:val="32"/>
      <w:szCs w:val="36"/>
    </w:rPr>
  </w:style>
  <w:style w:type="character" w:customStyle="1" w:styleId="20">
    <w:name w:val="כותרת 2 תו"/>
    <w:basedOn w:val="a0"/>
    <w:link w:val="2"/>
    <w:rsid w:val="00EA6352"/>
    <w:rPr>
      <w:rFonts w:asciiTheme="majorHAnsi" w:eastAsiaTheme="majorEastAsia" w:hAnsiTheme="majorHAnsi" w:cs="David"/>
      <w:bCs/>
      <w:sz w:val="26"/>
      <w:szCs w:val="36"/>
      <w:u w:val="single"/>
    </w:rPr>
  </w:style>
  <w:style w:type="character" w:customStyle="1" w:styleId="30">
    <w:name w:val="כותרת 3 תו"/>
    <w:basedOn w:val="a0"/>
    <w:link w:val="3"/>
    <w:rsid w:val="00EA6352"/>
    <w:rPr>
      <w:rFonts w:asciiTheme="majorHAnsi" w:eastAsiaTheme="majorEastAsia" w:hAnsiTheme="majorHAnsi" w:cs="David"/>
      <w:sz w:val="24"/>
      <w:szCs w:val="28"/>
      <w:u w:val="double"/>
    </w:rPr>
  </w:style>
  <w:style w:type="character" w:customStyle="1" w:styleId="40">
    <w:name w:val="כותרת 4 תו"/>
    <w:basedOn w:val="a0"/>
    <w:link w:val="4"/>
    <w:uiPriority w:val="9"/>
    <w:rsid w:val="00EA635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A6352"/>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EA6352"/>
    <w:pPr>
      <w:widowControl/>
      <w:spacing w:before="120" w:after="120"/>
      <w:outlineLvl w:val="9"/>
    </w:pPr>
    <w:rPr>
      <w:rtl/>
      <w:cs/>
    </w:rPr>
  </w:style>
  <w:style w:type="paragraph" w:styleId="TOC1">
    <w:name w:val="toc 1"/>
    <w:basedOn w:val="a"/>
    <w:next w:val="a"/>
    <w:autoRedefine/>
    <w:uiPriority w:val="39"/>
    <w:unhideWhenUsed/>
    <w:rsid w:val="00EA6352"/>
    <w:pPr>
      <w:tabs>
        <w:tab w:val="right" w:leader="dot" w:pos="9629"/>
      </w:tabs>
      <w:spacing w:after="100"/>
    </w:pPr>
    <w:rPr>
      <w:bCs/>
      <w:szCs w:val="22"/>
    </w:rPr>
  </w:style>
  <w:style w:type="paragraph" w:styleId="TOC2">
    <w:name w:val="toc 2"/>
    <w:basedOn w:val="a"/>
    <w:next w:val="a"/>
    <w:uiPriority w:val="39"/>
    <w:unhideWhenUsed/>
    <w:rsid w:val="00EA6352"/>
    <w:pPr>
      <w:tabs>
        <w:tab w:val="right" w:leader="dot" w:pos="9628"/>
      </w:tabs>
      <w:spacing w:after="100"/>
    </w:pPr>
    <w:rPr>
      <w:szCs w:val="22"/>
    </w:rPr>
  </w:style>
  <w:style w:type="character" w:styleId="Hyperlink">
    <w:name w:val="Hyperlink"/>
    <w:basedOn w:val="a0"/>
    <w:uiPriority w:val="99"/>
    <w:unhideWhenUsed/>
    <w:rsid w:val="00EA6352"/>
    <w:rPr>
      <w:color w:val="0000FF" w:themeColor="hyperlink"/>
      <w:u w:val="single"/>
    </w:rPr>
  </w:style>
  <w:style w:type="paragraph" w:styleId="TOC3">
    <w:name w:val="toc 3"/>
    <w:basedOn w:val="a"/>
    <w:next w:val="a"/>
    <w:uiPriority w:val="39"/>
    <w:unhideWhenUsed/>
    <w:rsid w:val="00EA6352"/>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A635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A6352"/>
    <w:pPr>
      <w:tabs>
        <w:tab w:val="right" w:leader="dot" w:pos="9628"/>
      </w:tabs>
      <w:spacing w:after="100"/>
      <w:ind w:left="567"/>
    </w:pPr>
    <w:rPr>
      <w:szCs w:val="22"/>
    </w:rPr>
  </w:style>
  <w:style w:type="paragraph" w:styleId="TOC6">
    <w:name w:val="toc 6"/>
    <w:basedOn w:val="a"/>
    <w:next w:val="a"/>
    <w:autoRedefine/>
    <w:semiHidden/>
    <w:unhideWhenUsed/>
    <w:rsid w:val="00EA6352"/>
    <w:pPr>
      <w:spacing w:after="100"/>
      <w:ind w:left="850"/>
    </w:pPr>
  </w:style>
  <w:style w:type="paragraph" w:styleId="TOC7">
    <w:name w:val="toc 7"/>
    <w:basedOn w:val="a"/>
    <w:next w:val="a"/>
    <w:autoRedefine/>
    <w:semiHidden/>
    <w:unhideWhenUsed/>
    <w:rsid w:val="00EA6352"/>
    <w:pPr>
      <w:spacing w:after="100"/>
      <w:ind w:left="1020"/>
    </w:pPr>
  </w:style>
  <w:style w:type="paragraph" w:styleId="TOC8">
    <w:name w:val="toc 8"/>
    <w:basedOn w:val="a"/>
    <w:next w:val="a"/>
    <w:autoRedefine/>
    <w:semiHidden/>
    <w:unhideWhenUsed/>
    <w:rsid w:val="00EA6352"/>
    <w:pPr>
      <w:spacing w:after="100"/>
      <w:ind w:left="1190"/>
    </w:pPr>
  </w:style>
  <w:style w:type="paragraph" w:styleId="TOC9">
    <w:name w:val="toc 9"/>
    <w:basedOn w:val="a"/>
    <w:next w:val="a"/>
    <w:autoRedefine/>
    <w:semiHidden/>
    <w:unhideWhenUsed/>
    <w:rsid w:val="00EA6352"/>
    <w:pPr>
      <w:spacing w:after="100"/>
      <w:ind w:left="1360"/>
    </w:pPr>
  </w:style>
  <w:style w:type="paragraph" w:customStyle="1" w:styleId="TableHead2">
    <w:name w:val="Table Head2"/>
    <w:basedOn w:val="TableHead"/>
    <w:qFormat/>
    <w:rsid w:val="00EA6352"/>
    <w:pPr>
      <w:outlineLvl w:val="9"/>
    </w:pPr>
  </w:style>
  <w:style w:type="paragraph" w:customStyle="1" w:styleId="TableSideHeading2">
    <w:name w:val="Table SideHeading2"/>
    <w:basedOn w:val="TableSideHeading"/>
    <w:autoRedefine/>
    <w:qFormat/>
    <w:rsid w:val="00EA6352"/>
    <w:pPr>
      <w:keepLines w:val="0"/>
      <w:outlineLvl w:val="9"/>
    </w:pPr>
  </w:style>
  <w:style w:type="paragraph" w:customStyle="1" w:styleId="0">
    <w:name w:val="סגנון שורה ראשונה:  0  ס''מ"/>
    <w:basedOn w:val="2"/>
    <w:rsid w:val="00EA6352"/>
    <w:rPr>
      <w:rFonts w:eastAsia="Times New Roman"/>
    </w:rPr>
  </w:style>
  <w:style w:type="paragraph" w:styleId="af">
    <w:name w:val="List Paragraph"/>
    <w:basedOn w:val="a"/>
    <w:uiPriority w:val="34"/>
    <w:qFormat/>
    <w:rsid w:val="00EA6352"/>
    <w:pPr>
      <w:widowControl/>
      <w:spacing w:line="259" w:lineRule="auto"/>
    </w:pPr>
    <w:rPr>
      <w:rFonts w:asciiTheme="minorHAnsi" w:hAnsiTheme="minorHAnsi"/>
      <w:sz w:val="22"/>
    </w:rPr>
  </w:style>
  <w:style w:type="table" w:styleId="af0">
    <w:name w:val="Table Grid"/>
    <w:basedOn w:val="a1"/>
    <w:rsid w:val="00EA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A63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A63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EA635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A635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2.xml><?xml version="1.0" encoding="utf-8"?>
<ds:datastoreItem xmlns:ds="http://schemas.openxmlformats.org/officeDocument/2006/customXml" ds:itemID="{3DADA551-96DF-48B4-837C-B2565F93D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A899D91D-355A-4972-B1EA-116CF6CD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353</Words>
  <Characters>2015</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11</cp:revision>
  <cp:lastPrinted>2021-05-11T11:58:00Z</cp:lastPrinted>
  <dcterms:created xsi:type="dcterms:W3CDTF">2015-04-20T09:58:00Z</dcterms:created>
  <dcterms:modified xsi:type="dcterms:W3CDTF">2021-05-12T07:35:00Z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2156976</vt:r8>
  </property>
</Properties>
</file>